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695A9" w14:textId="523E5F6D" w:rsidR="007D160C" w:rsidRPr="00AC2741" w:rsidRDefault="00DF6B5B">
      <w:pPr>
        <w:spacing w:before="240" w:after="240" w:line="360" w:lineRule="auto"/>
        <w:jc w:val="both"/>
        <w:rPr>
          <w:rFonts w:ascii="Palatino Linotype" w:eastAsia="Palatino Linotype" w:hAnsi="Palatino Linotype" w:cs="Palatino Linotype"/>
          <w:sz w:val="22"/>
          <w:szCs w:val="22"/>
        </w:rPr>
      </w:pPr>
      <w:bookmarkStart w:id="0" w:name="_heading=h.a55ynvfjznn" w:colFirst="0" w:colLast="0"/>
      <w:bookmarkEnd w:id="0"/>
      <w:r w:rsidRPr="00AC2741">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781FC9" w:rsidRPr="00AC2741">
        <w:rPr>
          <w:rFonts w:ascii="Palatino Linotype" w:eastAsia="Palatino Linotype" w:hAnsi="Palatino Linotype" w:cs="Palatino Linotype"/>
          <w:b/>
          <w:sz w:val="22"/>
          <w:szCs w:val="22"/>
        </w:rPr>
        <w:t>cinco de marzo</w:t>
      </w:r>
      <w:r w:rsidR="003759F9" w:rsidRPr="00AC2741">
        <w:rPr>
          <w:rFonts w:ascii="Palatino Linotype" w:eastAsia="Palatino Linotype" w:hAnsi="Palatino Linotype" w:cs="Palatino Linotype"/>
          <w:b/>
          <w:sz w:val="22"/>
          <w:szCs w:val="22"/>
        </w:rPr>
        <w:t xml:space="preserve"> de dos mil veintiséis</w:t>
      </w:r>
      <w:r w:rsidRPr="00AC2741">
        <w:rPr>
          <w:rFonts w:ascii="Palatino Linotype" w:eastAsia="Palatino Linotype" w:hAnsi="Palatino Linotype" w:cs="Palatino Linotype"/>
          <w:sz w:val="22"/>
          <w:szCs w:val="22"/>
        </w:rPr>
        <w:t xml:space="preserve">. </w:t>
      </w:r>
    </w:p>
    <w:p w14:paraId="1BD8605E" w14:textId="03442B19" w:rsidR="007D160C" w:rsidRPr="00AC2741" w:rsidRDefault="00DF6B5B">
      <w:pPr>
        <w:spacing w:before="240" w:after="240"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Visto</w:t>
      </w:r>
      <w:r w:rsidRPr="00AC2741">
        <w:rPr>
          <w:rFonts w:ascii="Palatino Linotype" w:eastAsia="Palatino Linotype" w:hAnsi="Palatino Linotype" w:cs="Palatino Linotype"/>
          <w:sz w:val="22"/>
          <w:szCs w:val="22"/>
        </w:rPr>
        <w:t xml:space="preserve"> el expediente formado con motivo del recurso de revisión </w:t>
      </w:r>
      <w:r w:rsidR="00781FC9" w:rsidRPr="00AC2741">
        <w:rPr>
          <w:rFonts w:ascii="Palatino Linotype" w:eastAsia="Palatino Linotype" w:hAnsi="Palatino Linotype" w:cs="Palatino Linotype"/>
          <w:b/>
          <w:sz w:val="22"/>
          <w:szCs w:val="22"/>
        </w:rPr>
        <w:t>0810</w:t>
      </w:r>
      <w:r w:rsidR="003759F9" w:rsidRPr="00AC2741">
        <w:rPr>
          <w:rFonts w:ascii="Palatino Linotype" w:eastAsia="Palatino Linotype" w:hAnsi="Palatino Linotype" w:cs="Palatino Linotype"/>
          <w:b/>
          <w:sz w:val="22"/>
          <w:szCs w:val="22"/>
        </w:rPr>
        <w:t>9</w:t>
      </w:r>
      <w:r w:rsidRPr="00AC2741">
        <w:rPr>
          <w:rFonts w:ascii="Palatino Linotype" w:eastAsia="Palatino Linotype" w:hAnsi="Palatino Linotype" w:cs="Palatino Linotype"/>
          <w:b/>
          <w:sz w:val="22"/>
          <w:szCs w:val="22"/>
        </w:rPr>
        <w:t>/INFOEM/AD/RR/2025</w:t>
      </w:r>
      <w:r w:rsidRPr="00AC2741">
        <w:rPr>
          <w:rFonts w:ascii="Palatino Linotype" w:eastAsia="Palatino Linotype" w:hAnsi="Palatino Linotype" w:cs="Palatino Linotype"/>
          <w:sz w:val="22"/>
          <w:szCs w:val="22"/>
        </w:rPr>
        <w:t xml:space="preserve">, interpuesto por </w:t>
      </w:r>
      <w:r w:rsidR="00392773" w:rsidRPr="00392773">
        <w:rPr>
          <w:rFonts w:ascii="Palatino Linotype" w:eastAsia="Palatino Linotype" w:hAnsi="Palatino Linotype" w:cs="Palatino Linotype"/>
          <w:b/>
          <w:bCs/>
          <w:sz w:val="22"/>
          <w:szCs w:val="22"/>
        </w:rPr>
        <w:t>XXXXXXX XXXXXX XXXXXXXXX</w:t>
      </w:r>
      <w:r w:rsidRPr="00392773">
        <w:rPr>
          <w:rFonts w:ascii="Palatino Linotype" w:eastAsia="Palatino Linotype" w:hAnsi="Palatino Linotype" w:cs="Palatino Linotype"/>
          <w:b/>
          <w:bCs/>
          <w:sz w:val="22"/>
          <w:szCs w:val="22"/>
        </w:rPr>
        <w:t>,</w:t>
      </w:r>
      <w:bookmarkStart w:id="1" w:name="_GoBack"/>
      <w:bookmarkEnd w:id="1"/>
      <w:r w:rsidRPr="00AC2741">
        <w:rPr>
          <w:rFonts w:ascii="Palatino Linotype" w:eastAsia="Palatino Linotype" w:hAnsi="Palatino Linotype" w:cs="Palatino Linotype"/>
          <w:sz w:val="22"/>
          <w:szCs w:val="22"/>
        </w:rPr>
        <w:t xml:space="preserve"> en lo sucesivo</w:t>
      </w:r>
      <w:r w:rsidRPr="00AC2741">
        <w:rPr>
          <w:rFonts w:ascii="Palatino Linotype" w:eastAsia="Palatino Linotype" w:hAnsi="Palatino Linotype" w:cs="Palatino Linotype"/>
          <w:b/>
          <w:sz w:val="22"/>
          <w:szCs w:val="22"/>
        </w:rPr>
        <w:t xml:space="preserve"> </w:t>
      </w:r>
      <w:r w:rsidRPr="00AC2741">
        <w:rPr>
          <w:rFonts w:ascii="Palatino Linotype" w:eastAsia="Palatino Linotype" w:hAnsi="Palatino Linotype" w:cs="Palatino Linotype"/>
          <w:sz w:val="22"/>
          <w:szCs w:val="22"/>
        </w:rPr>
        <w:t xml:space="preserve">la parte </w:t>
      </w:r>
      <w:r w:rsidRPr="00AC2741">
        <w:rPr>
          <w:rFonts w:ascii="Palatino Linotype" w:eastAsia="Palatino Linotype" w:hAnsi="Palatino Linotype" w:cs="Palatino Linotype"/>
          <w:b/>
          <w:sz w:val="22"/>
          <w:szCs w:val="22"/>
        </w:rPr>
        <w:t>Recurrente,</w:t>
      </w:r>
      <w:r w:rsidRPr="00AC2741">
        <w:rPr>
          <w:rFonts w:ascii="Palatino Linotype" w:eastAsia="Palatino Linotype" w:hAnsi="Palatino Linotype" w:cs="Palatino Linotype"/>
          <w:sz w:val="22"/>
          <w:szCs w:val="22"/>
        </w:rPr>
        <w:t xml:space="preserve"> en contra de la respuesta a su solicitud de acceso a datos personales con número de folio</w:t>
      </w:r>
      <w:r w:rsidRPr="00AC2741">
        <w:t xml:space="preserve"> </w:t>
      </w:r>
      <w:r w:rsidR="00BD1D2C" w:rsidRPr="00AC2741">
        <w:rPr>
          <w:rFonts w:ascii="Palatino Linotype" w:eastAsia="Palatino Linotype" w:hAnsi="Palatino Linotype" w:cs="Palatino Linotype"/>
          <w:b/>
          <w:bCs/>
          <w:sz w:val="22"/>
          <w:szCs w:val="22"/>
        </w:rPr>
        <w:t>00003/ST/AD/2025</w:t>
      </w:r>
      <w:r w:rsidRPr="00AC2741">
        <w:rPr>
          <w:rFonts w:ascii="Palatino Linotype" w:eastAsia="Palatino Linotype" w:hAnsi="Palatino Linotype" w:cs="Palatino Linotype"/>
          <w:b/>
          <w:sz w:val="22"/>
          <w:szCs w:val="22"/>
        </w:rPr>
        <w:t xml:space="preserve">, </w:t>
      </w:r>
      <w:r w:rsidRPr="00AC2741">
        <w:rPr>
          <w:rFonts w:ascii="Palatino Linotype" w:eastAsia="Palatino Linotype" w:hAnsi="Palatino Linotype" w:cs="Palatino Linotype"/>
          <w:sz w:val="22"/>
          <w:szCs w:val="22"/>
        </w:rPr>
        <w:t xml:space="preserve">por parte de la </w:t>
      </w:r>
      <w:r w:rsidR="00BD1D2C" w:rsidRPr="00AC2741">
        <w:rPr>
          <w:rFonts w:ascii="Palatino Linotype" w:eastAsia="Palatino Linotype" w:hAnsi="Palatino Linotype" w:cs="Palatino Linotype"/>
          <w:b/>
          <w:bCs/>
          <w:sz w:val="22"/>
          <w:szCs w:val="22"/>
        </w:rPr>
        <w:t>Secretaría del Trabajo</w:t>
      </w:r>
      <w:r w:rsidRPr="00AC2741">
        <w:rPr>
          <w:rFonts w:ascii="Palatino Linotype" w:eastAsia="Palatino Linotype" w:hAnsi="Palatino Linotype" w:cs="Palatino Linotype"/>
          <w:b/>
          <w:sz w:val="22"/>
          <w:szCs w:val="22"/>
        </w:rPr>
        <w:t xml:space="preserve">, </w:t>
      </w:r>
      <w:r w:rsidRPr="00AC2741">
        <w:rPr>
          <w:rFonts w:ascii="Palatino Linotype" w:eastAsia="Palatino Linotype" w:hAnsi="Palatino Linotype" w:cs="Palatino Linotype"/>
          <w:sz w:val="22"/>
          <w:szCs w:val="22"/>
        </w:rPr>
        <w:t xml:space="preserve">en lo sucesivo el </w:t>
      </w:r>
      <w:r w:rsidRPr="00AC2741">
        <w:rPr>
          <w:rFonts w:ascii="Palatino Linotype" w:eastAsia="Palatino Linotype" w:hAnsi="Palatino Linotype" w:cs="Palatino Linotype"/>
          <w:b/>
          <w:sz w:val="22"/>
          <w:szCs w:val="22"/>
        </w:rPr>
        <w:t xml:space="preserve">Sujeto Obligado, </w:t>
      </w:r>
      <w:r w:rsidRPr="00AC2741">
        <w:rPr>
          <w:rFonts w:ascii="Palatino Linotype" w:eastAsia="Palatino Linotype" w:hAnsi="Palatino Linotype" w:cs="Palatino Linotype"/>
          <w:sz w:val="22"/>
          <w:szCs w:val="22"/>
        </w:rPr>
        <w:t xml:space="preserve">se procede a dictar la presente resolución con base en los siguientes: </w:t>
      </w:r>
    </w:p>
    <w:p w14:paraId="56F5C63F" w14:textId="77777777" w:rsidR="007D160C" w:rsidRPr="00AC2741" w:rsidRDefault="00DF6B5B">
      <w:pPr>
        <w:spacing w:before="240" w:after="240" w:line="360" w:lineRule="auto"/>
        <w:jc w:val="center"/>
        <w:rPr>
          <w:rFonts w:ascii="Palatino Linotype" w:eastAsia="Palatino Linotype" w:hAnsi="Palatino Linotype" w:cs="Palatino Linotype"/>
          <w:b/>
          <w:sz w:val="22"/>
          <w:szCs w:val="22"/>
        </w:rPr>
      </w:pPr>
      <w:r w:rsidRPr="00AC2741">
        <w:rPr>
          <w:rFonts w:ascii="Palatino Linotype" w:eastAsia="Palatino Linotype" w:hAnsi="Palatino Linotype" w:cs="Palatino Linotype"/>
          <w:b/>
          <w:sz w:val="22"/>
          <w:szCs w:val="22"/>
        </w:rPr>
        <w:t>I. A N T E C E D E N T E S</w:t>
      </w:r>
    </w:p>
    <w:p w14:paraId="2DC33F65" w14:textId="6860A033" w:rsidR="007D160C" w:rsidRPr="00AC2741" w:rsidRDefault="00DF6B5B">
      <w:pPr>
        <w:spacing w:before="240" w:after="240"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1. Solicitud de acceso a datos personales.</w:t>
      </w:r>
      <w:r w:rsidRPr="00AC2741">
        <w:rPr>
          <w:rFonts w:ascii="Palatino Linotype" w:eastAsia="Palatino Linotype" w:hAnsi="Palatino Linotype" w:cs="Palatino Linotype"/>
          <w:sz w:val="22"/>
          <w:szCs w:val="22"/>
        </w:rPr>
        <w:t xml:space="preserve"> El </w:t>
      </w:r>
      <w:r w:rsidR="00BD1D2C" w:rsidRPr="00AC2741">
        <w:rPr>
          <w:rFonts w:ascii="Palatino Linotype" w:eastAsia="Palatino Linotype" w:hAnsi="Palatino Linotype" w:cs="Palatino Linotype"/>
          <w:b/>
          <w:sz w:val="22"/>
          <w:szCs w:val="22"/>
        </w:rPr>
        <w:t>trece de junio</w:t>
      </w:r>
      <w:r w:rsidRPr="00AC2741">
        <w:rPr>
          <w:rFonts w:ascii="Palatino Linotype" w:eastAsia="Palatino Linotype" w:hAnsi="Palatino Linotype" w:cs="Palatino Linotype"/>
          <w:b/>
          <w:sz w:val="22"/>
          <w:szCs w:val="22"/>
        </w:rPr>
        <w:t xml:space="preserve"> de dos mil veinticinco,</w:t>
      </w:r>
      <w:r w:rsidRPr="00AC2741">
        <w:rPr>
          <w:rFonts w:ascii="Palatino Linotype" w:eastAsia="Palatino Linotype" w:hAnsi="Palatino Linotype" w:cs="Palatino Linotype"/>
          <w:sz w:val="22"/>
          <w:szCs w:val="22"/>
        </w:rPr>
        <w:t xml:space="preserve"> </w:t>
      </w:r>
      <w:r w:rsidRPr="00AC2741">
        <w:rPr>
          <w:rFonts w:ascii="Palatino Linotype" w:eastAsia="Palatino Linotype" w:hAnsi="Palatino Linotype" w:cs="Palatino Linotype"/>
          <w:b/>
          <w:sz w:val="22"/>
          <w:szCs w:val="22"/>
        </w:rPr>
        <w:t>la parte</w:t>
      </w:r>
      <w:r w:rsidRPr="00AC2741">
        <w:rPr>
          <w:rFonts w:ascii="Palatino Linotype" w:eastAsia="Palatino Linotype" w:hAnsi="Palatino Linotype" w:cs="Palatino Linotype"/>
          <w:sz w:val="22"/>
          <w:szCs w:val="22"/>
        </w:rPr>
        <w:t xml:space="preserve"> </w:t>
      </w:r>
      <w:r w:rsidRPr="00AC2741">
        <w:rPr>
          <w:rFonts w:ascii="Palatino Linotype" w:eastAsia="Palatino Linotype" w:hAnsi="Palatino Linotype" w:cs="Palatino Linotype"/>
          <w:b/>
          <w:sz w:val="22"/>
          <w:szCs w:val="22"/>
        </w:rPr>
        <w:t xml:space="preserve">Recurrente </w:t>
      </w:r>
      <w:r w:rsidRPr="00AC2741">
        <w:rPr>
          <w:rFonts w:ascii="Palatino Linotype" w:eastAsia="Palatino Linotype" w:hAnsi="Palatino Linotype" w:cs="Palatino Linotype"/>
          <w:sz w:val="22"/>
          <w:szCs w:val="22"/>
        </w:rPr>
        <w:t xml:space="preserve">presentó, a través del Sistema de Acceso, Rectificación, Cancelación y Oposición de Datos Personales del Estado de México, en lo subsecuente el </w:t>
      </w:r>
      <w:r w:rsidRPr="00AC2741">
        <w:rPr>
          <w:rFonts w:ascii="Palatino Linotype" w:eastAsia="Palatino Linotype" w:hAnsi="Palatino Linotype" w:cs="Palatino Linotype"/>
          <w:b/>
          <w:sz w:val="22"/>
          <w:szCs w:val="22"/>
        </w:rPr>
        <w:t>SARCOEM,</w:t>
      </w:r>
      <w:r w:rsidRPr="00AC2741">
        <w:rPr>
          <w:rFonts w:ascii="Palatino Linotype" w:eastAsia="Palatino Linotype" w:hAnsi="Palatino Linotype" w:cs="Palatino Linotype"/>
          <w:sz w:val="22"/>
          <w:szCs w:val="22"/>
        </w:rPr>
        <w:t xml:space="preserve"> ante el </w:t>
      </w:r>
      <w:r w:rsidRPr="00AC2741">
        <w:rPr>
          <w:rFonts w:ascii="Palatino Linotype" w:eastAsia="Palatino Linotype" w:hAnsi="Palatino Linotype" w:cs="Palatino Linotype"/>
          <w:b/>
          <w:sz w:val="22"/>
          <w:szCs w:val="22"/>
        </w:rPr>
        <w:t>Sujeto Obligado</w:t>
      </w:r>
      <w:r w:rsidRPr="00AC2741">
        <w:rPr>
          <w:rFonts w:ascii="Palatino Linotype" w:eastAsia="Palatino Linotype" w:hAnsi="Palatino Linotype" w:cs="Palatino Linotype"/>
          <w:sz w:val="22"/>
          <w:szCs w:val="22"/>
        </w:rPr>
        <w:t xml:space="preserve">, la solicitud de acceso a datos personales, mediante la cual requirió le fuese entregado lo siguiente: </w:t>
      </w:r>
    </w:p>
    <w:p w14:paraId="3663DDBC" w14:textId="332D09A4" w:rsidR="007D160C" w:rsidRPr="00AC2741" w:rsidRDefault="00DF6B5B">
      <w:pPr>
        <w:spacing w:before="240" w:after="240"/>
        <w:ind w:left="851" w:right="902"/>
        <w:jc w:val="both"/>
        <w:rPr>
          <w:rFonts w:ascii="Palatino Linotype" w:eastAsia="Palatino Linotype" w:hAnsi="Palatino Linotype" w:cs="Palatino Linotype"/>
          <w:b/>
          <w:i/>
          <w:sz w:val="22"/>
          <w:szCs w:val="22"/>
        </w:rPr>
      </w:pPr>
      <w:bookmarkStart w:id="2" w:name="_heading=h.gjdgxs" w:colFirst="0" w:colLast="0"/>
      <w:bookmarkEnd w:id="2"/>
      <w:r w:rsidRPr="00AC2741">
        <w:rPr>
          <w:rFonts w:ascii="Palatino Linotype" w:eastAsia="Palatino Linotype" w:hAnsi="Palatino Linotype" w:cs="Palatino Linotype"/>
          <w:i/>
          <w:sz w:val="22"/>
          <w:szCs w:val="22"/>
        </w:rPr>
        <w:t>“</w:t>
      </w:r>
      <w:r w:rsidR="00BD1D2C" w:rsidRPr="00AC2741">
        <w:rPr>
          <w:i/>
          <w:sz w:val="22"/>
        </w:rPr>
        <w:t>Solicito un informe detallado del seguimiento otorgado al expediente numero TECA/CSJ/0185/2023, INFORME EL PROCEDIMIENTO A SEGUIR SEGUN MANUAL DE PROCEDIMIENTOS, ACCIONES EMPRENDIDAS, EVIDENCIA EN EL QUE CONSTATE COMO SE LE HA INFORMADO AL COMPARECIENTE, ESTATUS ACTUAL Y SANCIONES EMPRENDIDAS AL ORGANISMO QUE INCURRIO EN INCUMPLIMIENTO AL PAGO DE CONVENIO</w:t>
      </w:r>
      <w:r w:rsidRPr="00AC2741">
        <w:rPr>
          <w:rFonts w:ascii="Palatino Linotype" w:eastAsia="Palatino Linotype" w:hAnsi="Palatino Linotype" w:cs="Palatino Linotype"/>
          <w:i/>
          <w:sz w:val="22"/>
          <w:szCs w:val="22"/>
        </w:rPr>
        <w:t xml:space="preserve">” (sic) </w:t>
      </w:r>
    </w:p>
    <w:p w14:paraId="303E392F" w14:textId="77777777" w:rsidR="007D160C" w:rsidRPr="00AC2741" w:rsidRDefault="00DF6B5B">
      <w:pPr>
        <w:spacing w:before="240" w:after="240" w:line="360" w:lineRule="auto"/>
        <w:jc w:val="both"/>
        <w:rPr>
          <w:rFonts w:ascii="Palatino Linotype" w:eastAsia="Palatino Linotype" w:hAnsi="Palatino Linotype" w:cs="Palatino Linotype"/>
          <w:b/>
          <w:sz w:val="22"/>
          <w:szCs w:val="22"/>
        </w:rPr>
      </w:pPr>
      <w:r w:rsidRPr="00AC2741">
        <w:rPr>
          <w:rFonts w:ascii="Palatino Linotype" w:eastAsia="Palatino Linotype" w:hAnsi="Palatino Linotype" w:cs="Palatino Linotype"/>
          <w:b/>
          <w:sz w:val="22"/>
          <w:szCs w:val="22"/>
        </w:rPr>
        <w:t>Modalidad de acceso a la información:</w:t>
      </w:r>
      <w:r w:rsidRPr="00AC2741">
        <w:rPr>
          <w:rFonts w:ascii="Palatino Linotype" w:eastAsia="Palatino Linotype" w:hAnsi="Palatino Linotype" w:cs="Palatino Linotype"/>
          <w:sz w:val="22"/>
          <w:szCs w:val="22"/>
        </w:rPr>
        <w:t xml:space="preserve"> a través de</w:t>
      </w:r>
      <w:r w:rsidRPr="00AC2741">
        <w:rPr>
          <w:rFonts w:ascii="Palatino Linotype" w:eastAsia="Palatino Linotype" w:hAnsi="Palatino Linotype" w:cs="Palatino Linotype"/>
          <w:b/>
          <w:sz w:val="22"/>
          <w:szCs w:val="22"/>
        </w:rPr>
        <w:t xml:space="preserve"> </w:t>
      </w:r>
      <w:r w:rsidRPr="00AC2741">
        <w:rPr>
          <w:rFonts w:ascii="Palatino Linotype" w:eastAsia="Palatino Linotype" w:hAnsi="Palatino Linotype" w:cs="Palatino Linotype"/>
          <w:b/>
          <w:sz w:val="22"/>
          <w:szCs w:val="22"/>
          <w:u w:val="single"/>
        </w:rPr>
        <w:t xml:space="preserve">copias </w:t>
      </w:r>
      <w:r w:rsidR="00630EDD" w:rsidRPr="00AC2741">
        <w:rPr>
          <w:rFonts w:ascii="Palatino Linotype" w:eastAsia="Palatino Linotype" w:hAnsi="Palatino Linotype" w:cs="Palatino Linotype"/>
          <w:b/>
          <w:sz w:val="22"/>
          <w:szCs w:val="22"/>
          <w:u w:val="single"/>
        </w:rPr>
        <w:t>certificadas</w:t>
      </w:r>
      <w:r w:rsidRPr="00AC2741">
        <w:rPr>
          <w:rFonts w:ascii="Palatino Linotype" w:eastAsia="Palatino Linotype" w:hAnsi="Palatino Linotype" w:cs="Palatino Linotype"/>
          <w:b/>
          <w:sz w:val="22"/>
          <w:szCs w:val="22"/>
        </w:rPr>
        <w:t xml:space="preserve"> (con costo).</w:t>
      </w:r>
    </w:p>
    <w:p w14:paraId="5E248947" w14:textId="77777777" w:rsidR="007D160C" w:rsidRPr="00AC2741" w:rsidRDefault="007D160C">
      <w:pPr>
        <w:spacing w:before="240" w:after="240" w:line="360" w:lineRule="auto"/>
        <w:jc w:val="both"/>
        <w:rPr>
          <w:rFonts w:ascii="Palatino Linotype" w:eastAsia="Palatino Linotype" w:hAnsi="Palatino Linotype" w:cs="Palatino Linotype"/>
          <w:b/>
          <w:sz w:val="22"/>
          <w:szCs w:val="22"/>
        </w:rPr>
      </w:pPr>
    </w:p>
    <w:p w14:paraId="3AB35464" w14:textId="77777777" w:rsidR="006E190E" w:rsidRPr="00AC2741" w:rsidRDefault="006E190E" w:rsidP="006E190E">
      <w:pPr>
        <w:spacing w:after="160" w:line="360" w:lineRule="auto"/>
        <w:ind w:left="567" w:right="900"/>
        <w:rPr>
          <w:rFonts w:ascii="Palatino Linotype" w:eastAsia="Calibri" w:hAnsi="Palatino Linotype"/>
          <w:b/>
          <w:sz w:val="22"/>
          <w:lang w:eastAsia="en-US"/>
        </w:rPr>
      </w:pPr>
      <w:bookmarkStart w:id="3" w:name="_heading=h.3dy6vkm" w:colFirst="0" w:colLast="0"/>
      <w:bookmarkEnd w:id="3"/>
      <w:r w:rsidRPr="00AC2741">
        <w:rPr>
          <w:rFonts w:ascii="Palatino Linotype" w:eastAsia="Calibri" w:hAnsi="Palatino Linotype"/>
          <w:b/>
          <w:sz w:val="22"/>
          <w:lang w:eastAsia="en-US"/>
        </w:rPr>
        <w:lastRenderedPageBreak/>
        <w:t xml:space="preserve">Archivos adjuntos: </w:t>
      </w:r>
    </w:p>
    <w:p w14:paraId="24A44569" w14:textId="59B3FA46" w:rsidR="00630EDD" w:rsidRPr="00AC2741" w:rsidRDefault="00630EDD" w:rsidP="00BD1D2C">
      <w:pPr>
        <w:spacing w:after="160" w:line="360" w:lineRule="auto"/>
        <w:ind w:left="567" w:right="900"/>
        <w:jc w:val="both"/>
        <w:rPr>
          <w:rFonts w:ascii="Palatino Linotype" w:eastAsia="Calibri" w:hAnsi="Palatino Linotype"/>
          <w:b/>
          <w:sz w:val="22"/>
          <w:lang w:eastAsia="en-US"/>
        </w:rPr>
      </w:pPr>
      <w:r w:rsidRPr="00AC2741">
        <w:rPr>
          <w:rFonts w:ascii="Palatino Linotype" w:eastAsia="Calibri" w:hAnsi="Palatino Linotype"/>
          <w:b/>
          <w:sz w:val="22"/>
          <w:lang w:eastAsia="en-US"/>
        </w:rPr>
        <w:t>-</w:t>
      </w:r>
      <w:r w:rsidR="00BD1D2C" w:rsidRPr="00AC2741">
        <w:rPr>
          <w:rFonts w:ascii="Palatino Linotype" w:eastAsia="Calibri" w:hAnsi="Palatino Linotype"/>
          <w:b/>
          <w:sz w:val="22"/>
          <w:lang w:eastAsia="en-US"/>
        </w:rPr>
        <w:t>La Primera Foja de lo que parece ser un Convenio celebrado el 16 de marzo de 2023 entre la persona solicitante y el Apoderado Legal del Ayuntamiento de Toluca, Estado de México, dentro del expediente TECA/CSJ/0185/2023, con la finalidad de acordar la entrega de un finiquito y prestaciones a que tuvo derecho la particular por haber laborado para dicho ente público.</w:t>
      </w:r>
    </w:p>
    <w:p w14:paraId="35D80EAC" w14:textId="460E12DC" w:rsidR="007D160C" w:rsidRPr="00AC2741" w:rsidRDefault="00DF6B5B" w:rsidP="003759F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 xml:space="preserve">2. </w:t>
      </w:r>
      <w:r w:rsidR="00BD1D2C" w:rsidRPr="00AC2741">
        <w:rPr>
          <w:rFonts w:ascii="Palatino Linotype" w:eastAsia="Palatino Linotype" w:hAnsi="Palatino Linotype" w:cs="Palatino Linotype"/>
          <w:b/>
          <w:sz w:val="22"/>
          <w:szCs w:val="22"/>
        </w:rPr>
        <w:t>Información en poder de otro Sujeto Obligado</w:t>
      </w:r>
      <w:r w:rsidRPr="00AC2741">
        <w:rPr>
          <w:rFonts w:ascii="Palatino Linotype" w:eastAsia="Palatino Linotype" w:hAnsi="Palatino Linotype" w:cs="Palatino Linotype"/>
          <w:b/>
          <w:sz w:val="22"/>
          <w:szCs w:val="22"/>
        </w:rPr>
        <w:t xml:space="preserve">. </w:t>
      </w:r>
      <w:r w:rsidRPr="00AC2741">
        <w:rPr>
          <w:rFonts w:ascii="Palatino Linotype" w:eastAsia="Palatino Linotype" w:hAnsi="Palatino Linotype" w:cs="Palatino Linotype"/>
          <w:sz w:val="22"/>
          <w:szCs w:val="22"/>
        </w:rPr>
        <w:t>El</w:t>
      </w:r>
      <w:r w:rsidRPr="00AC2741">
        <w:rPr>
          <w:rFonts w:ascii="Palatino Linotype" w:eastAsia="Palatino Linotype" w:hAnsi="Palatino Linotype" w:cs="Palatino Linotype"/>
          <w:b/>
          <w:sz w:val="22"/>
          <w:szCs w:val="22"/>
        </w:rPr>
        <w:t xml:space="preserve"> </w:t>
      </w:r>
      <w:r w:rsidR="00630EDD" w:rsidRPr="00AC2741">
        <w:rPr>
          <w:rFonts w:ascii="Palatino Linotype" w:eastAsia="Palatino Linotype" w:hAnsi="Palatino Linotype" w:cs="Palatino Linotype"/>
          <w:b/>
          <w:sz w:val="22"/>
          <w:szCs w:val="22"/>
        </w:rPr>
        <w:t xml:space="preserve">diecisiete de </w:t>
      </w:r>
      <w:r w:rsidR="00BD1D2C" w:rsidRPr="00AC2741">
        <w:rPr>
          <w:rFonts w:ascii="Palatino Linotype" w:eastAsia="Palatino Linotype" w:hAnsi="Palatino Linotype" w:cs="Palatino Linotype"/>
          <w:b/>
          <w:sz w:val="22"/>
          <w:szCs w:val="22"/>
        </w:rPr>
        <w:t>junio</w:t>
      </w:r>
      <w:r w:rsidRPr="00AC2741">
        <w:rPr>
          <w:rFonts w:ascii="Palatino Linotype" w:eastAsia="Palatino Linotype" w:hAnsi="Palatino Linotype" w:cs="Palatino Linotype"/>
          <w:b/>
          <w:sz w:val="22"/>
          <w:szCs w:val="22"/>
        </w:rPr>
        <w:t xml:space="preserve"> de dos mil veinticinco</w:t>
      </w:r>
      <w:r w:rsidRPr="00AC2741">
        <w:rPr>
          <w:rFonts w:ascii="Palatino Linotype" w:eastAsia="Palatino Linotype" w:hAnsi="Palatino Linotype" w:cs="Palatino Linotype"/>
          <w:sz w:val="22"/>
          <w:szCs w:val="22"/>
        </w:rPr>
        <w:t>, el</w:t>
      </w:r>
      <w:r w:rsidRPr="00AC2741">
        <w:rPr>
          <w:rFonts w:ascii="Palatino Linotype" w:eastAsia="Palatino Linotype" w:hAnsi="Palatino Linotype" w:cs="Palatino Linotype"/>
          <w:b/>
          <w:sz w:val="22"/>
          <w:szCs w:val="22"/>
        </w:rPr>
        <w:t xml:space="preserve"> Sujeto Obligado </w:t>
      </w:r>
      <w:r w:rsidR="00BD1D2C" w:rsidRPr="00AC2741">
        <w:rPr>
          <w:rFonts w:ascii="Palatino Linotype" w:eastAsia="Palatino Linotype" w:hAnsi="Palatino Linotype" w:cs="Palatino Linotype"/>
          <w:sz w:val="22"/>
          <w:szCs w:val="22"/>
        </w:rPr>
        <w:t>declinó su competencia para conocer de la solicitud</w:t>
      </w:r>
      <w:r w:rsidRPr="00AC2741">
        <w:rPr>
          <w:rFonts w:ascii="Palatino Linotype" w:eastAsia="Palatino Linotype" w:hAnsi="Palatino Linotype" w:cs="Palatino Linotype"/>
          <w:sz w:val="22"/>
          <w:szCs w:val="22"/>
        </w:rPr>
        <w:t>, en los siguientes términos:</w:t>
      </w:r>
    </w:p>
    <w:p w14:paraId="62285A73" w14:textId="31EBEE62" w:rsidR="007D160C" w:rsidRPr="00AC2741" w:rsidRDefault="00DF6B5B" w:rsidP="00BD1D2C">
      <w:pPr>
        <w:spacing w:before="240" w:after="240" w:line="276" w:lineRule="auto"/>
        <w:ind w:left="567" w:right="900"/>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sz w:val="22"/>
          <w:szCs w:val="22"/>
        </w:rPr>
        <w:t>“…</w:t>
      </w:r>
      <w:r w:rsidR="00BD1D2C" w:rsidRPr="00AC2741">
        <w:rPr>
          <w:rFonts w:ascii="Palatino Linotype" w:eastAsia="Palatino Linotype" w:hAnsi="Palatino Linotype" w:cs="Palatino Linotype"/>
          <w:i/>
          <w:sz w:val="22"/>
          <w:szCs w:val="22"/>
        </w:rPr>
        <w:t>Con base en el Reglamento Interior y el Manual General de Organización ambos de la Secretaría del Trabajo del Gobierno del Estado de México, dicha solicitud no es competencia de esta dependencia. Por lo que atendiendo al artículo 122 de la Ley en la materia, se hace de su conocimiento que es competente para conocer de su solicitud el Tribunal Estatal de Conciliación y Arbitraje del Gobierno del Estado de México (TECA), sugiriéndole dirigirse a la Unidad de Transparencia del Sujeto Obligado antes mencionado. Si bien es cierto el Tribunal Estatal de Conciliación y Arbitraje del Gobierno del Estado de México, está sectorizado a la Secretaría del Trabajo, lo es también que, con fundamento en el Artículo 60 de la Ley Orgánica de la Administración Pública del Estado de México, éste es organismo autónomo, dotado de plena jurisdicción; asimismo, por lo establecido en el artículo 3 fracción XLI de la Ley de Transparencia y Acceso a la Información Pública del Estado de México y Municipios, adquiere la condición de Sujeto Obligado. La normatividad podrá consultarse en las siguientes direcciones de URL: https://legislacion.edomex.gob.mx/sites/legislacion.edomex.gob.mx/files/files/pdf/ley/vig/leyvig017.pdf y https://legislacion.edomex.gob.mx/sites/legislacion.edomex.gob.mx/files/files/pdf/ley/vig/leyvig233.pdf</w:t>
      </w:r>
      <w:r w:rsidRPr="00AC2741">
        <w:rPr>
          <w:rFonts w:ascii="Palatino Linotype" w:eastAsia="Palatino Linotype" w:hAnsi="Palatino Linotype" w:cs="Palatino Linotype"/>
          <w:i/>
          <w:sz w:val="22"/>
          <w:szCs w:val="22"/>
        </w:rPr>
        <w:t>”</w:t>
      </w:r>
    </w:p>
    <w:p w14:paraId="4122CBD0" w14:textId="77777777" w:rsidR="007D160C" w:rsidRPr="00AC2741" w:rsidRDefault="00DF6B5B">
      <w:pPr>
        <w:spacing w:before="240" w:after="240" w:line="276" w:lineRule="auto"/>
        <w:ind w:left="567" w:right="900"/>
        <w:jc w:val="both"/>
        <w:rPr>
          <w:rFonts w:ascii="Palatino Linotype" w:eastAsia="Palatino Linotype" w:hAnsi="Palatino Linotype" w:cs="Palatino Linotype"/>
          <w:b/>
          <w:sz w:val="22"/>
          <w:szCs w:val="22"/>
        </w:rPr>
      </w:pPr>
      <w:r w:rsidRPr="00AC2741">
        <w:rPr>
          <w:rFonts w:ascii="Palatino Linotype" w:eastAsia="Palatino Linotype" w:hAnsi="Palatino Linotype" w:cs="Palatino Linotype"/>
          <w:b/>
          <w:sz w:val="22"/>
          <w:szCs w:val="22"/>
        </w:rPr>
        <w:t xml:space="preserve">Archivos adjuntos: </w:t>
      </w:r>
    </w:p>
    <w:p w14:paraId="6EF1C2D3" w14:textId="6BB68C81" w:rsidR="007D160C" w:rsidRPr="00AC2741" w:rsidRDefault="00DF6B5B">
      <w:pPr>
        <w:spacing w:before="240" w:after="240" w:line="360" w:lineRule="auto"/>
        <w:ind w:left="567" w:right="900"/>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i/>
          <w:sz w:val="22"/>
          <w:szCs w:val="22"/>
        </w:rPr>
        <w:lastRenderedPageBreak/>
        <w:t>“</w:t>
      </w:r>
      <w:r w:rsidR="00BD1D2C" w:rsidRPr="00AC2741">
        <w:rPr>
          <w:rFonts w:ascii="Palatino Linotype" w:eastAsia="Palatino Linotype" w:hAnsi="Palatino Linotype" w:cs="Palatino Linotype"/>
          <w:b/>
          <w:i/>
          <w:sz w:val="22"/>
          <w:szCs w:val="22"/>
        </w:rPr>
        <w:t>Resp.Incomp.00003.AD.pdf</w:t>
      </w:r>
      <w:r w:rsidRPr="00AC2741">
        <w:rPr>
          <w:rFonts w:ascii="Palatino Linotype" w:eastAsia="Palatino Linotype" w:hAnsi="Palatino Linotype" w:cs="Palatino Linotype"/>
          <w:b/>
          <w:i/>
          <w:sz w:val="22"/>
          <w:szCs w:val="22"/>
        </w:rPr>
        <w:t xml:space="preserve">”: </w:t>
      </w:r>
      <w:r w:rsidRPr="00AC2741">
        <w:rPr>
          <w:rFonts w:ascii="Palatino Linotype" w:eastAsia="Palatino Linotype" w:hAnsi="Palatino Linotype" w:cs="Palatino Linotype"/>
          <w:sz w:val="22"/>
          <w:szCs w:val="22"/>
        </w:rPr>
        <w:t xml:space="preserve">Consiste en un </w:t>
      </w:r>
      <w:r w:rsidR="009328C0" w:rsidRPr="00AC2741">
        <w:rPr>
          <w:rFonts w:ascii="Palatino Linotype" w:eastAsia="Palatino Linotype" w:hAnsi="Palatino Linotype" w:cs="Palatino Linotype"/>
          <w:sz w:val="22"/>
          <w:szCs w:val="22"/>
        </w:rPr>
        <w:t>oficio del 17 de junio de 2025 a través del cual la Titular de la Unidad de Transparencia declinó su competencia para conocer de la solicitud de acceso a datos, en razón de que, si bien el Tribunal Estatal de Conciliación y Arbitraje, bajo el cual se encuentra substanciándose el expediente referido en la solicitud, está sectorizado a la Secretaría del Trabajo, es un órgano autónomo, y sujeto obligado diferente, orientando a la particular a dirigir su solicitud, ante la Unidad de Transparencia de dicho Tribunal</w:t>
      </w:r>
      <w:r w:rsidR="001648B0" w:rsidRPr="00AC2741">
        <w:rPr>
          <w:rFonts w:ascii="Palatino Linotype" w:eastAsia="Palatino Linotype" w:hAnsi="Palatino Linotype" w:cs="Palatino Linotype"/>
          <w:sz w:val="22"/>
          <w:szCs w:val="22"/>
        </w:rPr>
        <w:t>, además de indicar que para ejercer los derechos ARCO, el titular o su representante legal debe acreditar su identidad o representación.</w:t>
      </w:r>
    </w:p>
    <w:p w14:paraId="6E131799" w14:textId="4BA900B2" w:rsidR="007D160C" w:rsidRPr="00AC2741" w:rsidRDefault="00376D9E" w:rsidP="00376D9E">
      <w:pPr>
        <w:spacing w:before="240" w:after="240" w:line="360" w:lineRule="auto"/>
        <w:ind w:right="49"/>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3.</w:t>
      </w:r>
      <w:r w:rsidR="00DF6B5B" w:rsidRPr="00AC2741">
        <w:rPr>
          <w:rFonts w:ascii="Palatino Linotype" w:eastAsia="Palatino Linotype" w:hAnsi="Palatino Linotype" w:cs="Palatino Linotype"/>
          <w:b/>
          <w:sz w:val="22"/>
          <w:szCs w:val="22"/>
        </w:rPr>
        <w:t xml:space="preserve"> Interposición del recurso de revisión. </w:t>
      </w:r>
      <w:r w:rsidR="00DF6B5B" w:rsidRPr="00AC2741">
        <w:rPr>
          <w:rFonts w:ascii="Palatino Linotype" w:eastAsia="Palatino Linotype" w:hAnsi="Palatino Linotype" w:cs="Palatino Linotype"/>
          <w:sz w:val="22"/>
          <w:szCs w:val="22"/>
        </w:rPr>
        <w:t xml:space="preserve">El </w:t>
      </w:r>
      <w:r w:rsidRPr="00AC2741">
        <w:rPr>
          <w:rFonts w:ascii="Palatino Linotype" w:eastAsia="Palatino Linotype" w:hAnsi="Palatino Linotype" w:cs="Palatino Linotype"/>
          <w:b/>
          <w:sz w:val="22"/>
          <w:szCs w:val="22"/>
        </w:rPr>
        <w:t>tres de julio</w:t>
      </w:r>
      <w:r w:rsidR="00D505DE" w:rsidRPr="00AC2741">
        <w:rPr>
          <w:rFonts w:ascii="Palatino Linotype" w:eastAsia="Palatino Linotype" w:hAnsi="Palatino Linotype" w:cs="Palatino Linotype"/>
          <w:b/>
          <w:sz w:val="22"/>
          <w:szCs w:val="22"/>
        </w:rPr>
        <w:t xml:space="preserve"> de dos mil veinticinco</w:t>
      </w:r>
      <w:r w:rsidR="00EA592B" w:rsidRPr="00AC2741">
        <w:rPr>
          <w:rFonts w:ascii="Palatino Linotype" w:eastAsia="Palatino Linotype" w:hAnsi="Palatino Linotype" w:cs="Palatino Linotype"/>
          <w:b/>
          <w:sz w:val="22"/>
          <w:szCs w:val="22"/>
        </w:rPr>
        <w:t xml:space="preserve">, </w:t>
      </w:r>
      <w:r w:rsidR="00DF6B5B" w:rsidRPr="00AC2741">
        <w:rPr>
          <w:rFonts w:ascii="Palatino Linotype" w:eastAsia="Palatino Linotype" w:hAnsi="Palatino Linotype" w:cs="Palatino Linotype"/>
          <w:sz w:val="22"/>
          <w:szCs w:val="22"/>
        </w:rPr>
        <w:t xml:space="preserve">la parte </w:t>
      </w:r>
      <w:r w:rsidR="00DF6B5B" w:rsidRPr="00AC2741">
        <w:rPr>
          <w:rFonts w:ascii="Palatino Linotype" w:eastAsia="Palatino Linotype" w:hAnsi="Palatino Linotype" w:cs="Palatino Linotype"/>
          <w:b/>
          <w:sz w:val="22"/>
          <w:szCs w:val="22"/>
        </w:rPr>
        <w:t>Recurrente</w:t>
      </w:r>
      <w:r w:rsidR="00DF6B5B" w:rsidRPr="00AC2741">
        <w:rPr>
          <w:rFonts w:ascii="Palatino Linotype" w:eastAsia="Palatino Linotype" w:hAnsi="Palatino Linotype" w:cs="Palatino Linotype"/>
          <w:sz w:val="22"/>
          <w:szCs w:val="22"/>
        </w:rPr>
        <w:t xml:space="preserve"> interpuso el recurso de revisión a través del </w:t>
      </w:r>
      <w:r w:rsidR="00DF6B5B" w:rsidRPr="00AC2741">
        <w:rPr>
          <w:rFonts w:ascii="Palatino Linotype" w:eastAsia="Palatino Linotype" w:hAnsi="Palatino Linotype" w:cs="Palatino Linotype"/>
          <w:b/>
          <w:sz w:val="22"/>
          <w:szCs w:val="22"/>
        </w:rPr>
        <w:t xml:space="preserve">SARCOEM, </w:t>
      </w:r>
      <w:r w:rsidR="00DF6B5B" w:rsidRPr="00AC2741">
        <w:rPr>
          <w:rFonts w:ascii="Palatino Linotype" w:eastAsia="Palatino Linotype" w:hAnsi="Palatino Linotype" w:cs="Palatino Linotype"/>
          <w:sz w:val="22"/>
          <w:szCs w:val="22"/>
        </w:rPr>
        <w:t>en donde se manifestó de la siguiente manera:</w:t>
      </w:r>
    </w:p>
    <w:p w14:paraId="6D7D49E8" w14:textId="77777777" w:rsidR="007D160C" w:rsidRPr="00AC2741" w:rsidRDefault="00DF6B5B">
      <w:pPr>
        <w:tabs>
          <w:tab w:val="left" w:pos="2745"/>
        </w:tabs>
        <w:spacing w:before="240" w:after="240" w:line="360" w:lineRule="auto"/>
        <w:ind w:left="567"/>
        <w:jc w:val="both"/>
        <w:rPr>
          <w:rFonts w:ascii="Palatino Linotype" w:eastAsia="Palatino Linotype" w:hAnsi="Palatino Linotype" w:cs="Palatino Linotype"/>
          <w:b/>
          <w:sz w:val="22"/>
          <w:szCs w:val="22"/>
        </w:rPr>
      </w:pPr>
      <w:r w:rsidRPr="00AC2741">
        <w:rPr>
          <w:rFonts w:ascii="Palatino Linotype" w:eastAsia="Palatino Linotype" w:hAnsi="Palatino Linotype" w:cs="Palatino Linotype"/>
          <w:b/>
          <w:sz w:val="22"/>
          <w:szCs w:val="22"/>
        </w:rPr>
        <w:t xml:space="preserve">a) Acto impugnado: </w:t>
      </w:r>
    </w:p>
    <w:p w14:paraId="7A8936E6" w14:textId="5D9553D1" w:rsidR="007D160C" w:rsidRPr="00AC2741" w:rsidRDefault="00376D9E">
      <w:pPr>
        <w:tabs>
          <w:tab w:val="left" w:pos="2745"/>
        </w:tabs>
        <w:spacing w:before="240" w:after="240"/>
        <w:ind w:left="851" w:right="900"/>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“La dependencia manifiesta que es menester de otra dependencia gubernamental</w:t>
      </w:r>
      <w:r w:rsidR="00DF6B5B" w:rsidRPr="00AC2741">
        <w:rPr>
          <w:rFonts w:ascii="Palatino Linotype" w:eastAsia="Palatino Linotype" w:hAnsi="Palatino Linotype" w:cs="Palatino Linotype"/>
          <w:i/>
          <w:sz w:val="22"/>
          <w:szCs w:val="22"/>
        </w:rPr>
        <w:t>” (sic)</w:t>
      </w:r>
    </w:p>
    <w:p w14:paraId="7D0C0BDD" w14:textId="77777777" w:rsidR="007D160C" w:rsidRPr="00AC2741" w:rsidRDefault="00DF6B5B">
      <w:pPr>
        <w:spacing w:line="360" w:lineRule="auto"/>
        <w:ind w:left="567"/>
        <w:jc w:val="both"/>
        <w:rPr>
          <w:rFonts w:ascii="Palatino Linotype" w:eastAsia="Palatino Linotype" w:hAnsi="Palatino Linotype" w:cs="Palatino Linotype"/>
          <w:sz w:val="22"/>
          <w:szCs w:val="22"/>
        </w:rPr>
      </w:pPr>
      <w:bookmarkStart w:id="4" w:name="_heading=h.30j0zll" w:colFirst="0" w:colLast="0"/>
      <w:bookmarkEnd w:id="4"/>
      <w:r w:rsidRPr="00AC2741">
        <w:rPr>
          <w:rFonts w:ascii="Palatino Linotype" w:eastAsia="Palatino Linotype" w:hAnsi="Palatino Linotype" w:cs="Palatino Linotype"/>
          <w:b/>
          <w:sz w:val="22"/>
          <w:szCs w:val="22"/>
        </w:rPr>
        <w:t>b) Razones o motivos de inconformidad</w:t>
      </w:r>
      <w:r w:rsidRPr="00AC2741">
        <w:rPr>
          <w:rFonts w:ascii="Palatino Linotype" w:eastAsia="Palatino Linotype" w:hAnsi="Palatino Linotype" w:cs="Palatino Linotype"/>
          <w:sz w:val="22"/>
          <w:szCs w:val="22"/>
        </w:rPr>
        <w:t xml:space="preserve">: </w:t>
      </w:r>
    </w:p>
    <w:p w14:paraId="5230164B" w14:textId="1598B153" w:rsidR="007D160C" w:rsidRPr="00AC2741" w:rsidRDefault="00DF6B5B">
      <w:pPr>
        <w:tabs>
          <w:tab w:val="left" w:pos="2745"/>
        </w:tabs>
        <w:spacing w:before="240" w:after="240"/>
        <w:ind w:left="851" w:right="900"/>
        <w:jc w:val="both"/>
        <w:rPr>
          <w:rFonts w:ascii="Palatino Linotype" w:eastAsia="Palatino Linotype" w:hAnsi="Palatino Linotype" w:cs="Palatino Linotype"/>
          <w:i/>
          <w:sz w:val="22"/>
          <w:szCs w:val="22"/>
        </w:rPr>
      </w:pPr>
      <w:bookmarkStart w:id="5" w:name="_heading=h.2et92p0" w:colFirst="0" w:colLast="0"/>
      <w:bookmarkEnd w:id="5"/>
      <w:r w:rsidRPr="00AC2741">
        <w:rPr>
          <w:rFonts w:ascii="Palatino Linotype" w:eastAsia="Palatino Linotype" w:hAnsi="Palatino Linotype" w:cs="Palatino Linotype"/>
          <w:i/>
          <w:sz w:val="22"/>
          <w:szCs w:val="22"/>
        </w:rPr>
        <w:t>“</w:t>
      </w:r>
      <w:r w:rsidR="00376D9E" w:rsidRPr="00AC2741">
        <w:rPr>
          <w:rFonts w:ascii="Palatino Linotype" w:eastAsia="Palatino Linotype" w:hAnsi="Palatino Linotype" w:cs="Palatino Linotype"/>
          <w:i/>
          <w:sz w:val="22"/>
          <w:szCs w:val="22"/>
        </w:rPr>
        <w:t>El Convenio fue realizado ante la Secretaria de Trabajo, el poder que otorgo fue a personal de la secretaria de trabajo, como es que esta dependencia manifiesta su incompetencia a la solicitud del seguimiento otorgado a dicho convenio</w:t>
      </w:r>
      <w:r w:rsidRPr="00AC2741">
        <w:rPr>
          <w:rFonts w:ascii="Palatino Linotype" w:eastAsia="Palatino Linotype" w:hAnsi="Palatino Linotype" w:cs="Palatino Linotype"/>
          <w:i/>
          <w:sz w:val="22"/>
          <w:szCs w:val="22"/>
        </w:rPr>
        <w:t>” (sic)</w:t>
      </w:r>
    </w:p>
    <w:p w14:paraId="19D42293" w14:textId="77777777" w:rsidR="00397962" w:rsidRPr="00AC2741" w:rsidRDefault="00397962" w:rsidP="00D505DE">
      <w:pPr>
        <w:spacing w:after="160" w:line="276" w:lineRule="auto"/>
        <w:ind w:right="993"/>
        <w:contextualSpacing/>
        <w:jc w:val="both"/>
        <w:rPr>
          <w:rFonts w:ascii="Palatino Linotype" w:eastAsia="Calibri" w:hAnsi="Palatino Linotype"/>
          <w:sz w:val="22"/>
          <w:lang w:eastAsia="en-US"/>
        </w:rPr>
      </w:pPr>
    </w:p>
    <w:p w14:paraId="7A3F2762" w14:textId="187D68EC" w:rsidR="007D160C" w:rsidRPr="00AC2741" w:rsidRDefault="00A73FD8">
      <w:pPr>
        <w:spacing w:line="360" w:lineRule="auto"/>
        <w:ind w:right="51"/>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4</w:t>
      </w:r>
      <w:r w:rsidR="00DF6B5B" w:rsidRPr="00AC2741">
        <w:rPr>
          <w:rFonts w:ascii="Palatino Linotype" w:eastAsia="Palatino Linotype" w:hAnsi="Palatino Linotype" w:cs="Palatino Linotype"/>
          <w:b/>
          <w:sz w:val="22"/>
          <w:szCs w:val="22"/>
        </w:rPr>
        <w:t xml:space="preserve">. Turno. </w:t>
      </w:r>
      <w:r w:rsidR="00DF6B5B" w:rsidRPr="00AC2741">
        <w:rPr>
          <w:rFonts w:ascii="Palatino Linotype" w:eastAsia="Palatino Linotype" w:hAnsi="Palatino Linotype" w:cs="Palatino Linotype"/>
          <w:sz w:val="22"/>
          <w:szCs w:val="22"/>
        </w:rPr>
        <w:t xml:space="preserve">De conformidad con los artículos 11 y 127, de la Ley de Protección de Datos Personales en Posesión de Sujetos Obligados del Estado de México y Municipios, en relación con el diverso 185, fracción I, de la Ley de Transparencia y Acceso a la Información Pública del Estado de México y Municipios, de aplicación supletoria a la citada Ley de Protección de Datos Personales, el presente recurso de revisión se turnó mediante el sistema electrónico </w:t>
      </w:r>
      <w:r w:rsidR="00DF6B5B" w:rsidRPr="00AC2741">
        <w:rPr>
          <w:rFonts w:ascii="Palatino Linotype" w:eastAsia="Palatino Linotype" w:hAnsi="Palatino Linotype" w:cs="Palatino Linotype"/>
          <w:b/>
          <w:sz w:val="22"/>
          <w:szCs w:val="22"/>
        </w:rPr>
        <w:t>SARCOEM</w:t>
      </w:r>
      <w:r w:rsidR="00DF6B5B" w:rsidRPr="00AC2741">
        <w:rPr>
          <w:rFonts w:ascii="Palatino Linotype" w:eastAsia="Palatino Linotype" w:hAnsi="Palatino Linotype" w:cs="Palatino Linotype"/>
          <w:sz w:val="22"/>
          <w:szCs w:val="22"/>
        </w:rPr>
        <w:t xml:space="preserve"> del Instituto de Transparencia, Acceso a la Información Pública y Protección de Datos Personales del Estado de México y Municipios, a la </w:t>
      </w:r>
      <w:r w:rsidR="00DF6B5B" w:rsidRPr="00AC2741">
        <w:rPr>
          <w:rFonts w:ascii="Palatino Linotype" w:eastAsia="Palatino Linotype" w:hAnsi="Palatino Linotype" w:cs="Palatino Linotype"/>
          <w:b/>
          <w:sz w:val="22"/>
          <w:szCs w:val="22"/>
        </w:rPr>
        <w:t xml:space="preserve">Comisionada Guadalupe Ramírez Peña, </w:t>
      </w:r>
      <w:r w:rsidR="00DF6B5B" w:rsidRPr="00AC2741">
        <w:rPr>
          <w:rFonts w:ascii="Palatino Linotype" w:eastAsia="Palatino Linotype" w:hAnsi="Palatino Linotype" w:cs="Palatino Linotype"/>
          <w:sz w:val="22"/>
          <w:szCs w:val="22"/>
        </w:rPr>
        <w:t>a efecto de que analizara sobre su admisión o su desechamiento.</w:t>
      </w:r>
    </w:p>
    <w:p w14:paraId="63D6CD77" w14:textId="77777777" w:rsidR="007D160C" w:rsidRPr="00AC2741" w:rsidRDefault="007D160C">
      <w:pPr>
        <w:spacing w:line="360" w:lineRule="auto"/>
        <w:ind w:right="51"/>
        <w:jc w:val="both"/>
        <w:rPr>
          <w:rFonts w:ascii="Palatino Linotype" w:eastAsia="Palatino Linotype" w:hAnsi="Palatino Linotype" w:cs="Palatino Linotype"/>
          <w:b/>
          <w:sz w:val="22"/>
          <w:szCs w:val="22"/>
        </w:rPr>
      </w:pPr>
    </w:p>
    <w:p w14:paraId="4295399A" w14:textId="09635ADB" w:rsidR="007D160C" w:rsidRPr="00AC2741" w:rsidRDefault="00A73FD8">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5</w:t>
      </w:r>
      <w:r w:rsidR="00DF6B5B" w:rsidRPr="00AC2741">
        <w:rPr>
          <w:rFonts w:ascii="Palatino Linotype" w:eastAsia="Palatino Linotype" w:hAnsi="Palatino Linotype" w:cs="Palatino Linotype"/>
          <w:b/>
          <w:sz w:val="22"/>
          <w:szCs w:val="22"/>
        </w:rPr>
        <w:t xml:space="preserve">. Admisión. </w:t>
      </w:r>
      <w:r w:rsidR="00397962" w:rsidRPr="00AC2741">
        <w:rPr>
          <w:rFonts w:ascii="Palatino Linotype" w:eastAsia="Palatino Linotype" w:hAnsi="Palatino Linotype" w:cs="Palatino Linotype"/>
          <w:sz w:val="22"/>
          <w:szCs w:val="22"/>
        </w:rPr>
        <w:t xml:space="preserve">Mediante acuerdo del </w:t>
      </w:r>
      <w:r w:rsidRPr="00AC2741">
        <w:rPr>
          <w:rFonts w:ascii="Palatino Linotype" w:eastAsia="Palatino Linotype" w:hAnsi="Palatino Linotype" w:cs="Palatino Linotype"/>
          <w:b/>
          <w:sz w:val="22"/>
          <w:szCs w:val="22"/>
        </w:rPr>
        <w:t>ocho de julio</w:t>
      </w:r>
      <w:r w:rsidR="00397962" w:rsidRPr="00AC2741">
        <w:rPr>
          <w:rFonts w:ascii="Palatino Linotype" w:eastAsia="Palatino Linotype" w:hAnsi="Palatino Linotype" w:cs="Palatino Linotype"/>
          <w:b/>
          <w:sz w:val="22"/>
          <w:szCs w:val="22"/>
        </w:rPr>
        <w:t xml:space="preserve"> de dos mil veinticinco, </w:t>
      </w:r>
      <w:r w:rsidR="00DF6B5B" w:rsidRPr="00AC2741">
        <w:rPr>
          <w:rFonts w:ascii="Palatino Linotype" w:eastAsia="Palatino Linotype" w:hAnsi="Palatino Linotype" w:cs="Palatino Linotype"/>
          <w:b/>
          <w:sz w:val="22"/>
          <w:szCs w:val="22"/>
        </w:rPr>
        <w:t>c</w:t>
      </w:r>
      <w:r w:rsidR="00DF6B5B" w:rsidRPr="00AC2741">
        <w:rPr>
          <w:rFonts w:ascii="Palatino Linotype" w:eastAsia="Palatino Linotype" w:hAnsi="Palatino Linotype" w:cs="Palatino Linotype"/>
          <w:sz w:val="22"/>
          <w:szCs w:val="22"/>
        </w:rPr>
        <w:t xml:space="preserve">on fundamento en los artículos 128, 129, 130 y 132 de la </w:t>
      </w:r>
      <w:r w:rsidR="00DF6B5B" w:rsidRPr="00AC2741">
        <w:rPr>
          <w:rFonts w:ascii="Palatino Linotype" w:eastAsia="Palatino Linotype" w:hAnsi="Palatino Linotype" w:cs="Palatino Linotype"/>
          <w:b/>
          <w:sz w:val="22"/>
          <w:szCs w:val="22"/>
        </w:rPr>
        <w:t>Ley de Protección de Datos Personales en Posesión de Sujetos Obligados del Estado de México y Municipios</w:t>
      </w:r>
      <w:r w:rsidR="00DF6B5B" w:rsidRPr="00AC2741">
        <w:rPr>
          <w:rFonts w:ascii="Palatino Linotype" w:eastAsia="Palatino Linotype" w:hAnsi="Palatino Linotype" w:cs="Palatino Linotype"/>
          <w:sz w:val="22"/>
          <w:szCs w:val="22"/>
        </w:rPr>
        <w:t xml:space="preserve"> y 185 fracciones I, II y IV de la Ley de Transparencia y Acceso a la Información Pública del Estado de México y Municipios de aplicación supletoria, se acordó lo siguiente:</w:t>
      </w:r>
    </w:p>
    <w:p w14:paraId="71CFADF2" w14:textId="77777777" w:rsidR="007D160C" w:rsidRPr="00AC2741" w:rsidRDefault="00DF6B5B">
      <w:pPr>
        <w:numPr>
          <w:ilvl w:val="0"/>
          <w:numId w:val="3"/>
        </w:numPr>
        <w:pBdr>
          <w:top w:val="nil"/>
          <w:left w:val="nil"/>
          <w:bottom w:val="nil"/>
          <w:right w:val="nil"/>
          <w:between w:val="nil"/>
        </w:pBdr>
        <w:spacing w:before="240"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La admisión a trámite del referido recurso de revisión;</w:t>
      </w:r>
    </w:p>
    <w:p w14:paraId="4751176C" w14:textId="77777777" w:rsidR="007D160C" w:rsidRPr="00AC2741" w:rsidRDefault="007D160C">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0CFC637A" w14:textId="77777777" w:rsidR="007D160C" w:rsidRPr="00AC2741" w:rsidRDefault="00DF6B5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La integración del expediente a fin de ponerlo a disposición de las partes para la consulta.</w:t>
      </w:r>
    </w:p>
    <w:p w14:paraId="4980FF9C" w14:textId="77777777" w:rsidR="007D160C" w:rsidRPr="00AC2741" w:rsidRDefault="007D160C">
      <w:pPr>
        <w:pBdr>
          <w:top w:val="nil"/>
          <w:left w:val="nil"/>
          <w:bottom w:val="nil"/>
          <w:right w:val="nil"/>
          <w:between w:val="nil"/>
        </w:pBdr>
        <w:ind w:left="720"/>
        <w:rPr>
          <w:rFonts w:ascii="Palatino Linotype" w:eastAsia="Palatino Linotype" w:hAnsi="Palatino Linotype" w:cs="Palatino Linotype"/>
          <w:sz w:val="22"/>
          <w:szCs w:val="22"/>
        </w:rPr>
      </w:pPr>
    </w:p>
    <w:p w14:paraId="74DAD7AA" w14:textId="77777777" w:rsidR="007D160C" w:rsidRPr="00AC2741" w:rsidRDefault="00DF6B5B">
      <w:pPr>
        <w:numPr>
          <w:ilvl w:val="0"/>
          <w:numId w:val="3"/>
        </w:numPr>
        <w:pBdr>
          <w:top w:val="nil"/>
          <w:left w:val="nil"/>
          <w:bottom w:val="nil"/>
          <w:right w:val="nil"/>
          <w:between w:val="nil"/>
        </w:pBdr>
        <w:spacing w:after="240"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El requerimiento</w:t>
      </w:r>
      <w:r w:rsidRPr="00AC2741">
        <w:rPr>
          <w:rFonts w:ascii="Palatino Linotype" w:eastAsia="Palatino Linotype" w:hAnsi="Palatino Linotype" w:cs="Palatino Linotype"/>
          <w:b/>
          <w:sz w:val="22"/>
          <w:szCs w:val="22"/>
        </w:rPr>
        <w:t xml:space="preserve"> </w:t>
      </w:r>
      <w:r w:rsidRPr="00AC2741">
        <w:rPr>
          <w:rFonts w:ascii="Palatino Linotype" w:eastAsia="Palatino Linotype" w:hAnsi="Palatino Linotype" w:cs="Palatino Linotype"/>
          <w:sz w:val="22"/>
          <w:szCs w:val="22"/>
        </w:rPr>
        <w:t xml:space="preserve">a las partes para que en un plazo no mayor a siete días manifestaran, por cualquier medio, su voluntad de conciliar, con el apercibimiento de que, en caso de no hacerlo, se tendría por precluido su derecho, para tales efectos. </w:t>
      </w:r>
    </w:p>
    <w:p w14:paraId="0A90865A" w14:textId="77777777" w:rsidR="007D160C" w:rsidRPr="00AC2741" w:rsidRDefault="00DF6B5B">
      <w:pPr>
        <w:pBdr>
          <w:top w:val="nil"/>
          <w:left w:val="nil"/>
          <w:bottom w:val="nil"/>
          <w:right w:val="nil"/>
          <w:between w:val="nil"/>
        </w:pBdr>
        <w:spacing w:line="360" w:lineRule="auto"/>
        <w:ind w:right="193"/>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Asimismo, en términos del artículo 132 fracción I de la Ley de Protección de Datos Personales en Posesión de Sujetos Obligados del Estado de México y Municipios, se hizo del conocimiento de las partes un resumen del recurso de revisión de mérito, así como los elementos comunes y puntos de controversia, respecto del presente asunto.</w:t>
      </w:r>
    </w:p>
    <w:p w14:paraId="657EEC41" w14:textId="77777777" w:rsidR="007D160C" w:rsidRPr="00AC2741" w:rsidRDefault="007D160C">
      <w:pPr>
        <w:pBdr>
          <w:top w:val="nil"/>
          <w:left w:val="nil"/>
          <w:bottom w:val="nil"/>
          <w:right w:val="nil"/>
          <w:between w:val="nil"/>
        </w:pBdr>
        <w:spacing w:line="360" w:lineRule="auto"/>
        <w:ind w:right="193"/>
        <w:jc w:val="both"/>
        <w:rPr>
          <w:rFonts w:ascii="Palatino Linotype" w:eastAsia="Palatino Linotype" w:hAnsi="Palatino Linotype" w:cs="Palatino Linotype"/>
          <w:sz w:val="22"/>
          <w:szCs w:val="22"/>
        </w:rPr>
      </w:pPr>
    </w:p>
    <w:p w14:paraId="513A7758" w14:textId="1CF8452E" w:rsidR="00397962" w:rsidRPr="00AC2741" w:rsidRDefault="00A73FD8">
      <w:pPr>
        <w:spacing w:line="360" w:lineRule="auto"/>
        <w:jc w:val="both"/>
        <w:rPr>
          <w:rFonts w:ascii="Palatino Linotype" w:eastAsia="Palatino Linotype" w:hAnsi="Palatino Linotype" w:cs="Palatino Linotype"/>
          <w:sz w:val="22"/>
          <w:szCs w:val="22"/>
        </w:rPr>
      </w:pPr>
      <w:bookmarkStart w:id="6" w:name="_heading=h.2s8eyo1" w:colFirst="0" w:colLast="0"/>
      <w:bookmarkEnd w:id="6"/>
      <w:r w:rsidRPr="00AC2741">
        <w:rPr>
          <w:rFonts w:ascii="Palatino Linotype" w:eastAsia="Palatino Linotype" w:hAnsi="Palatino Linotype" w:cs="Palatino Linotype"/>
          <w:b/>
          <w:sz w:val="22"/>
          <w:szCs w:val="22"/>
        </w:rPr>
        <w:t>6</w:t>
      </w:r>
      <w:r w:rsidR="00DF6B5B" w:rsidRPr="00AC2741">
        <w:rPr>
          <w:rFonts w:ascii="Palatino Linotype" w:eastAsia="Palatino Linotype" w:hAnsi="Palatino Linotype" w:cs="Palatino Linotype"/>
          <w:b/>
          <w:sz w:val="22"/>
          <w:szCs w:val="22"/>
        </w:rPr>
        <w:t>. Etapa de Conciliación.</w:t>
      </w:r>
      <w:r w:rsidR="00DF6B5B" w:rsidRPr="00AC2741">
        <w:rPr>
          <w:rFonts w:ascii="Palatino Linotype" w:eastAsia="Palatino Linotype" w:hAnsi="Palatino Linotype" w:cs="Palatino Linotype"/>
          <w:sz w:val="22"/>
          <w:szCs w:val="22"/>
        </w:rPr>
        <w:t xml:space="preserve"> </w:t>
      </w:r>
      <w:r w:rsidRPr="00AC2741">
        <w:rPr>
          <w:rFonts w:ascii="Palatino Linotype" w:eastAsia="Palatino Linotype" w:hAnsi="Palatino Linotype" w:cs="Palatino Linotype"/>
          <w:sz w:val="22"/>
          <w:szCs w:val="22"/>
        </w:rPr>
        <w:t>De las constancias que obran en el Sistema de Acceso, Rectificación, Cancelación y Oposición de Datos Personales del Estado de México (SARCOEM) con motivo del medio de impugnación, u otro medio, no se advirtió la voluntad de ambas partes para conciliar el Recurso de Revisión en el que se actúa, dentro del plazo legal otorgado para tal efecto.</w:t>
      </w:r>
    </w:p>
    <w:p w14:paraId="67EAA2CF" w14:textId="77777777" w:rsidR="00FA4541" w:rsidRPr="00AC2741" w:rsidRDefault="00FA4541">
      <w:pPr>
        <w:spacing w:line="360" w:lineRule="auto"/>
        <w:jc w:val="both"/>
        <w:rPr>
          <w:rFonts w:ascii="Palatino Linotype" w:eastAsia="Palatino Linotype" w:hAnsi="Palatino Linotype" w:cs="Palatino Linotype"/>
          <w:sz w:val="22"/>
          <w:szCs w:val="22"/>
        </w:rPr>
      </w:pPr>
    </w:p>
    <w:p w14:paraId="03EAEA2B" w14:textId="77777777" w:rsidR="00FA4541" w:rsidRPr="00AC2741" w:rsidRDefault="00FA4541" w:rsidP="00FA4541">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 xml:space="preserve">7. Acuerdo de Preclusión de la Etapa de conciliación. </w:t>
      </w:r>
      <w:r w:rsidRPr="00AC2741">
        <w:rPr>
          <w:rFonts w:ascii="Palatino Linotype" w:eastAsia="Palatino Linotype" w:hAnsi="Palatino Linotype" w:cs="Palatino Linotype"/>
          <w:sz w:val="22"/>
          <w:szCs w:val="22"/>
        </w:rPr>
        <w:t xml:space="preserve">En fecha </w:t>
      </w:r>
      <w:r w:rsidRPr="00AC2741">
        <w:rPr>
          <w:rFonts w:ascii="Palatino Linotype" w:eastAsia="Palatino Linotype" w:hAnsi="Palatino Linotype" w:cs="Palatino Linotype"/>
          <w:b/>
          <w:sz w:val="22"/>
          <w:szCs w:val="22"/>
        </w:rPr>
        <w:t>diecinueve de febrero de dos mil veintiséis</w:t>
      </w:r>
      <w:r w:rsidRPr="00AC2741">
        <w:rPr>
          <w:rFonts w:ascii="Palatino Linotype" w:eastAsia="Palatino Linotype" w:hAnsi="Palatino Linotype" w:cs="Palatino Linotype"/>
          <w:sz w:val="22"/>
          <w:szCs w:val="22"/>
        </w:rPr>
        <w:t xml:space="preserve"> se notificó acuerdo de la misma fecha, en el que se determinó la preclusión de la posibilidad otorgada a las partes para manifestar su voluntad de conciliar; ello, en virtud de que no se advirtió la voluntad de ambas partes para conciliar el Recurso de Revisión en el que se actúa, dentro del plazo legal otorgado para tal efecto, como se muestra:</w:t>
      </w:r>
    </w:p>
    <w:p w14:paraId="74C42109" w14:textId="42FD392E" w:rsidR="00FA4541" w:rsidRPr="00AC2741" w:rsidRDefault="00FA4541" w:rsidP="00FA4541">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noProof/>
          <w:sz w:val="22"/>
          <w:szCs w:val="22"/>
        </w:rPr>
        <w:drawing>
          <wp:inline distT="0" distB="0" distL="0" distR="0" wp14:anchorId="07876205" wp14:editId="71041847">
            <wp:extent cx="5612130" cy="3086100"/>
            <wp:effectExtent l="19050" t="19050" r="26670"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086100"/>
                    </a:xfrm>
                    <a:prstGeom prst="rect">
                      <a:avLst/>
                    </a:prstGeom>
                    <a:ln>
                      <a:solidFill>
                        <a:schemeClr val="accent1"/>
                      </a:solidFill>
                    </a:ln>
                  </pic:spPr>
                </pic:pic>
              </a:graphicData>
            </a:graphic>
          </wp:inline>
        </w:drawing>
      </w:r>
    </w:p>
    <w:p w14:paraId="3DE68AA0" w14:textId="77777777" w:rsidR="00FA4541" w:rsidRPr="00AC2741" w:rsidRDefault="00FA4541" w:rsidP="00FA4541">
      <w:pPr>
        <w:spacing w:line="360" w:lineRule="auto"/>
        <w:jc w:val="both"/>
        <w:rPr>
          <w:rFonts w:ascii="Palatino Linotype" w:eastAsia="Palatino Linotype" w:hAnsi="Palatino Linotype" w:cs="Palatino Linotype"/>
          <w:sz w:val="22"/>
          <w:szCs w:val="22"/>
        </w:rPr>
      </w:pPr>
    </w:p>
    <w:p w14:paraId="31515604" w14:textId="77777777" w:rsidR="00365DE9" w:rsidRPr="00AC2741" w:rsidRDefault="00365DE9" w:rsidP="00365DE9">
      <w:pPr>
        <w:widowControl w:val="0"/>
        <w:spacing w:line="360" w:lineRule="auto"/>
        <w:ind w:right="49"/>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8. Manifestaciones</w:t>
      </w:r>
      <w:r w:rsidRPr="00AC2741">
        <w:rPr>
          <w:rFonts w:ascii="Palatino Linotype" w:eastAsia="Palatino Linotype" w:hAnsi="Palatino Linotype" w:cs="Palatino Linotype"/>
          <w:sz w:val="22"/>
          <w:szCs w:val="22"/>
        </w:rPr>
        <w:t>. Las partes fueron omisas en rendir manifestaciones:</w:t>
      </w:r>
    </w:p>
    <w:p w14:paraId="5060FBBC" w14:textId="77777777" w:rsidR="00FA4541" w:rsidRPr="00AC2741" w:rsidRDefault="00FA4541" w:rsidP="00FA4541">
      <w:pPr>
        <w:spacing w:line="360" w:lineRule="auto"/>
        <w:jc w:val="both"/>
        <w:rPr>
          <w:rFonts w:ascii="Palatino Linotype" w:eastAsia="Palatino Linotype" w:hAnsi="Palatino Linotype" w:cs="Palatino Linotype"/>
          <w:sz w:val="22"/>
          <w:szCs w:val="22"/>
        </w:rPr>
      </w:pPr>
    </w:p>
    <w:p w14:paraId="185DA169" w14:textId="5CFF8FA7" w:rsidR="00365DE9" w:rsidRPr="00AC2741" w:rsidRDefault="00365DE9" w:rsidP="00FA4541">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noProof/>
          <w:sz w:val="22"/>
          <w:szCs w:val="22"/>
        </w:rPr>
        <w:drawing>
          <wp:inline distT="0" distB="0" distL="0" distR="0" wp14:anchorId="5336F0E1" wp14:editId="26BCF259">
            <wp:extent cx="5612130" cy="1619885"/>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619885"/>
                    </a:xfrm>
                    <a:prstGeom prst="rect">
                      <a:avLst/>
                    </a:prstGeom>
                  </pic:spPr>
                </pic:pic>
              </a:graphicData>
            </a:graphic>
          </wp:inline>
        </w:drawing>
      </w:r>
    </w:p>
    <w:p w14:paraId="33A62C72" w14:textId="77777777" w:rsidR="00FA4541" w:rsidRPr="00AC2741" w:rsidRDefault="00FA4541" w:rsidP="00FA4541">
      <w:pPr>
        <w:spacing w:line="360" w:lineRule="auto"/>
        <w:jc w:val="both"/>
        <w:rPr>
          <w:rFonts w:ascii="Palatino Linotype" w:eastAsia="Palatino Linotype" w:hAnsi="Palatino Linotype" w:cs="Palatino Linotype"/>
          <w:sz w:val="22"/>
          <w:szCs w:val="22"/>
        </w:rPr>
      </w:pPr>
    </w:p>
    <w:p w14:paraId="26E4A207" w14:textId="00C08502"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9. Ampliación del término para resolver</w:t>
      </w:r>
      <w:r w:rsidRPr="00AC2741">
        <w:rPr>
          <w:rFonts w:ascii="Palatino Linotype" w:eastAsia="Palatino Linotype" w:hAnsi="Palatino Linotype" w:cs="Palatino Linotype"/>
          <w:sz w:val="22"/>
          <w:szCs w:val="22"/>
        </w:rPr>
        <w:t xml:space="preserve">. El </w:t>
      </w:r>
      <w:r w:rsidRPr="00AC2741">
        <w:rPr>
          <w:rFonts w:ascii="Palatino Linotype" w:eastAsia="Palatino Linotype" w:hAnsi="Palatino Linotype" w:cs="Palatino Linotype"/>
          <w:b/>
          <w:sz w:val="22"/>
          <w:szCs w:val="22"/>
        </w:rPr>
        <w:t>veintiséis de febrero de dos mil veintiséis</w:t>
      </w:r>
      <w:r w:rsidRPr="00AC2741">
        <w:rPr>
          <w:rFonts w:ascii="Palatino Linotype" w:eastAsia="Palatino Linotype" w:hAnsi="Palatino Linotype" w:cs="Palatino Linotype"/>
          <w:sz w:val="22"/>
          <w:szCs w:val="22"/>
        </w:rPr>
        <w:t>, si bien se ha excedido el plazo para resolver el presente medio de impugnación, de conformidad con la ley de la materia, el plazo</w:t>
      </w:r>
      <w:r w:rsidRPr="00AC2741">
        <w:rPr>
          <w:sz w:val="22"/>
          <w:szCs w:val="22"/>
        </w:rPr>
        <w:t xml:space="preserve"> </w:t>
      </w:r>
      <w:r w:rsidRPr="00AC2741">
        <w:rPr>
          <w:rFonts w:ascii="Palatino Linotype" w:eastAsia="Palatino Linotype" w:hAnsi="Palatino Linotype" w:cs="Palatino Linotype"/>
          <w:sz w:val="22"/>
          <w:szCs w:val="22"/>
        </w:rPr>
        <w:t xml:space="preserve">para emitir la resolución se encuentra justificado en los elementos para medir la razonabilidad de asuntos conforme a los parámetros establecidos por diversos órganos jurisdiccionales federales, aplicables también en procedimientos análogos, como el que nos ocupa. </w:t>
      </w:r>
    </w:p>
    <w:p w14:paraId="2C28B691"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30F0B237"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w:t>
      </w:r>
    </w:p>
    <w:p w14:paraId="1CF1C425"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01FE82F5"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1BF2975F"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44A5CAFD"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27693496"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0A132ED2"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a) Complejidad del Asunto: La complejidad de la prueba, la pluralidad de sujetos procesales, el tiempo transcurrido, las características y contexto del recurso. </w:t>
      </w:r>
    </w:p>
    <w:p w14:paraId="1CF7D6FA"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6AFF007F"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b) Actividad Procesal del interesado. Acciones u omisiones del interesado.</w:t>
      </w:r>
    </w:p>
    <w:p w14:paraId="53C2F382"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7904A74D"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c) Conducta de la Autoridad: Las Acciones u omisiones realizadas en el procedimiento. Así como si la autoridad actuó con la debida diligencia. </w:t>
      </w:r>
    </w:p>
    <w:p w14:paraId="42933673"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d) La afectación generada en la situación jurídica de la persona involucrada en el proceso: Violación a sus derechos humanos. </w:t>
      </w:r>
    </w:p>
    <w:p w14:paraId="249CAED3"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29EB8E59"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w:t>
      </w:r>
    </w:p>
    <w:p w14:paraId="4CC0C0ED"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19B620B6"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 </w:t>
      </w:r>
    </w:p>
    <w:p w14:paraId="7B11AD12"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70298C43"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w:t>
      </w:r>
      <w:r w:rsidRPr="00AC2741">
        <w:rPr>
          <w:sz w:val="22"/>
          <w:szCs w:val="22"/>
        </w:rPr>
        <w:t xml:space="preserve"> </w:t>
      </w:r>
      <w:r w:rsidRPr="00AC2741">
        <w:rPr>
          <w:rFonts w:ascii="Palatino Linotype" w:eastAsia="Palatino Linotype" w:hAnsi="Palatino Linotype" w:cs="Palatino Linotype"/>
          <w:sz w:val="22"/>
          <w:szCs w:val="22"/>
        </w:rPr>
        <w:t xml:space="preserve">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 </w:t>
      </w:r>
    </w:p>
    <w:p w14:paraId="04F6E8F2"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0F53301C"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Al respecto, también son de considerar los criterios sostenidos por el Cuarto Tribunal Colegiado en Materia Administrativa del Primer Circuito, cuyos rubros y datos de identificación son los siguientes: </w:t>
      </w:r>
    </w:p>
    <w:p w14:paraId="05694B63"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337DC4B2" w14:textId="77777777" w:rsidR="00365DE9" w:rsidRPr="00AC2741" w:rsidRDefault="00365DE9" w:rsidP="00365DE9">
      <w:pPr>
        <w:spacing w:line="276" w:lineRule="auto"/>
        <w:ind w:left="567" w:right="616"/>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 xml:space="preserve">“PLAZO RAZONABLE PARA RESOLVER. DIMENSIÓN Y EFECTOS DE ESTE CONCEPTO CUANDO SE ADUCE EXCESIVA CARGA DE TRABAJO.” consultable en el Seminario Judicial de la Federación y su gaceta, con el registro digital 2002351. </w:t>
      </w:r>
    </w:p>
    <w:p w14:paraId="7AEFAF30" w14:textId="77777777" w:rsidR="00365DE9" w:rsidRPr="00AC2741" w:rsidRDefault="00365DE9" w:rsidP="00365DE9">
      <w:pPr>
        <w:spacing w:line="276" w:lineRule="auto"/>
        <w:ind w:left="567" w:right="616"/>
        <w:jc w:val="both"/>
        <w:rPr>
          <w:rFonts w:ascii="Palatino Linotype" w:eastAsia="Palatino Linotype" w:hAnsi="Palatino Linotype" w:cs="Palatino Linotype"/>
          <w:i/>
          <w:sz w:val="22"/>
          <w:szCs w:val="22"/>
        </w:rPr>
      </w:pPr>
    </w:p>
    <w:p w14:paraId="5820AC10" w14:textId="77777777" w:rsidR="00365DE9" w:rsidRPr="00AC2741" w:rsidRDefault="00365DE9" w:rsidP="00365DE9">
      <w:pPr>
        <w:spacing w:line="276" w:lineRule="auto"/>
        <w:ind w:left="567" w:right="616"/>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 xml:space="preserve">“PLAZO RAZONABLE PARA RESOLVER. CONCEPTO Y ELEMENTOS QUE LO INTEGRAN A LA LUZ DEL DERECHO INTERNACIONAL DE LOS DERECHOS HUMANOS.”, visible en el Seminario Judicial de la Federación y su gaceta, con el registro digital 2002350. </w:t>
      </w:r>
    </w:p>
    <w:p w14:paraId="7875C3BE"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p>
    <w:p w14:paraId="58E3395F" w14:textId="7777777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Por ello, este Organismo Garante comprometido con la tutela de los derechos humanos confiados, señala que este exceso del plazo legal para resolver el presente asunto, resulta de carácter excepcional. </w:t>
      </w:r>
    </w:p>
    <w:p w14:paraId="64653684" w14:textId="77777777" w:rsidR="00365DE9" w:rsidRPr="00AC2741" w:rsidRDefault="00365DE9" w:rsidP="00365DE9">
      <w:pPr>
        <w:spacing w:line="360" w:lineRule="auto"/>
        <w:jc w:val="both"/>
        <w:rPr>
          <w:rFonts w:ascii="Palatino Linotype" w:eastAsia="Palatino Linotype" w:hAnsi="Palatino Linotype" w:cs="Palatino Linotype"/>
          <w:b/>
          <w:sz w:val="22"/>
          <w:szCs w:val="22"/>
        </w:rPr>
      </w:pPr>
    </w:p>
    <w:p w14:paraId="2256464C" w14:textId="1EFF6487" w:rsidR="00365DE9" w:rsidRPr="00AC2741" w:rsidRDefault="00365DE9" w:rsidP="00365DE9">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 xml:space="preserve">10. Cierre de instrucción. </w:t>
      </w:r>
      <w:r w:rsidRPr="00AC2741">
        <w:rPr>
          <w:rFonts w:ascii="Palatino Linotype" w:eastAsia="Palatino Linotype" w:hAnsi="Palatino Linotype" w:cs="Palatino Linotype"/>
          <w:sz w:val="22"/>
          <w:szCs w:val="22"/>
        </w:rPr>
        <w:t xml:space="preserve">El </w:t>
      </w:r>
      <w:r w:rsidRPr="00AC2741">
        <w:rPr>
          <w:rFonts w:ascii="Palatino Linotype" w:eastAsia="Palatino Linotype" w:hAnsi="Palatino Linotype" w:cs="Palatino Linotype"/>
          <w:b/>
          <w:sz w:val="22"/>
          <w:szCs w:val="22"/>
        </w:rPr>
        <w:t xml:space="preserve">cuatro de marzo de dos mil veinticinco, </w:t>
      </w:r>
      <w:r w:rsidRPr="00AC2741">
        <w:rPr>
          <w:rFonts w:ascii="Palatino Linotype" w:eastAsia="Palatino Linotype" w:hAnsi="Palatino Linotype" w:cs="Palatino Linotype"/>
          <w:sz w:val="22"/>
          <w:szCs w:val="22"/>
        </w:rPr>
        <w:t>al no existir diligencias pendientes por desahogar, se emitió el acuerdo por medio del cual se declaró cerrada la instrucción y se determinó pasar el expediente a resolución, en términos del artículo 185 fracción VI de la Ley de Transparencia y Acceso a la Información Pública del Estado de México y Municipios, de aplicación supletoria, iniciando el término legal para dictar resolución definitiva del asunto.</w:t>
      </w:r>
    </w:p>
    <w:p w14:paraId="0903E064" w14:textId="77777777" w:rsidR="00FA4541" w:rsidRPr="00AC2741" w:rsidRDefault="00FA4541" w:rsidP="00FA4541">
      <w:pPr>
        <w:spacing w:line="360" w:lineRule="auto"/>
        <w:jc w:val="both"/>
        <w:rPr>
          <w:rFonts w:ascii="Palatino Linotype" w:eastAsia="Palatino Linotype" w:hAnsi="Palatino Linotype" w:cs="Palatino Linotype"/>
          <w:sz w:val="22"/>
          <w:szCs w:val="22"/>
        </w:rPr>
      </w:pPr>
    </w:p>
    <w:p w14:paraId="31EBF2A4" w14:textId="20DDE24A" w:rsidR="007D160C" w:rsidRPr="00AC2741" w:rsidRDefault="00DF6B5B" w:rsidP="00365DE9">
      <w:pPr>
        <w:spacing w:line="360" w:lineRule="auto"/>
        <w:jc w:val="both"/>
        <w:rPr>
          <w:rFonts w:ascii="Palatino Linotype" w:eastAsia="Palatino Linotype" w:hAnsi="Palatino Linotype" w:cs="Palatino Linotype"/>
          <w:sz w:val="22"/>
          <w:szCs w:val="22"/>
        </w:rPr>
      </w:pPr>
      <w:bookmarkStart w:id="7" w:name="_heading=h.jas0wh4gep06" w:colFirst="0" w:colLast="0"/>
      <w:bookmarkEnd w:id="7"/>
      <w:r w:rsidRPr="00AC2741">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43C85C23" w14:textId="77777777" w:rsidR="007D160C" w:rsidRPr="00AC2741" w:rsidRDefault="00DF6B5B">
      <w:pPr>
        <w:widowControl w:val="0"/>
        <w:spacing w:before="240" w:after="240" w:line="360" w:lineRule="auto"/>
        <w:jc w:val="center"/>
        <w:rPr>
          <w:rFonts w:ascii="Palatino Linotype" w:eastAsia="Palatino Linotype" w:hAnsi="Palatino Linotype" w:cs="Palatino Linotype"/>
          <w:b/>
          <w:sz w:val="22"/>
          <w:szCs w:val="22"/>
        </w:rPr>
      </w:pPr>
      <w:r w:rsidRPr="00AC2741">
        <w:rPr>
          <w:rFonts w:ascii="Palatino Linotype" w:eastAsia="Palatino Linotype" w:hAnsi="Palatino Linotype" w:cs="Palatino Linotype"/>
          <w:b/>
          <w:sz w:val="22"/>
          <w:szCs w:val="22"/>
        </w:rPr>
        <w:t>II. C O N S I D E R A N D O S</w:t>
      </w:r>
    </w:p>
    <w:p w14:paraId="78838D64" w14:textId="05FFC33C" w:rsidR="007D160C" w:rsidRPr="00AC2741" w:rsidRDefault="00DF6B5B">
      <w:pPr>
        <w:spacing w:before="240" w:after="240"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Primero. Competencia.</w:t>
      </w:r>
      <w:r w:rsidRPr="00AC2741">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w:t>
      </w:r>
      <w:r w:rsidRPr="00AC2741">
        <w:rPr>
          <w:rFonts w:ascii="Palatino Linotype" w:eastAsia="Palatino Linotype" w:hAnsi="Palatino Linotype" w:cs="Palatino Linotype"/>
          <w:b/>
          <w:sz w:val="22"/>
          <w:szCs w:val="22"/>
        </w:rPr>
        <w:t>la parte Recurrente</w:t>
      </w:r>
      <w:r w:rsidRPr="00AC2741">
        <w:rPr>
          <w:rFonts w:ascii="Palatino Linotype" w:eastAsia="Palatino Linotype" w:hAnsi="Palatino Linotype" w:cs="Palatino Linotype"/>
          <w:sz w:val="22"/>
          <w:szCs w:val="22"/>
        </w:rPr>
        <w:t xml:space="preserve">, conforme a lo dispuesto en los artículos 6, apartado A de la Constitución Política de los Estados Unidos Mexicanos; </w:t>
      </w:r>
      <w:r w:rsidR="00B16A69" w:rsidRPr="00AC2741">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AC2741">
        <w:rPr>
          <w:rFonts w:ascii="Palatino Linotype" w:eastAsia="Palatino Linotype" w:hAnsi="Palatino Linotype" w:cs="Palatino Linotype"/>
          <w:sz w:val="22"/>
          <w:szCs w:val="22"/>
        </w:rPr>
        <w:t>;  1, 8, 9, 10, 34 y 35 fracciones I, II y III, de la Ley General de Transparencia y Acceso a la Información Pública, vigente a la fecha de la solicitud; 1, 2, fracciones II y IV; 13, 29, 36, fracciones I y II; 176, 178, 179, 181 párrafo tercero, 185, 188 y 189 de la Ley de Transparencia y Acceso a la Información Pública del Estado de México y Municipios; así como los artículos 1, 4, fracción XXII, 81, 82, fracción III, 119 y 137 de la Ley de Protección de Datos Personales en Posesión de Sujetos Obligados del Estado de México y Municipios; 9, fracciones I y XXIII y 11 del Reglamento Interior del Instituto de Transparencia, Acceso a la Información Pública y Protección de Datos Personales del Estado de México y Municipios.</w:t>
      </w:r>
    </w:p>
    <w:p w14:paraId="7B2842ED" w14:textId="2AE23671" w:rsidR="00222757" w:rsidRPr="00AC2741" w:rsidRDefault="00222757">
      <w:pPr>
        <w:widowControl w:val="0"/>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AC2741">
        <w:rPr>
          <w:rFonts w:ascii="Palatino Linotype" w:eastAsia="Palatino Linotype" w:hAnsi="Palatino Linotype" w:cs="Palatino Linotype"/>
          <w:b/>
          <w:sz w:val="22"/>
          <w:szCs w:val="22"/>
        </w:rPr>
        <w:t xml:space="preserve">Segundo. Oportunidad y procedibilidad.  </w:t>
      </w:r>
      <w:r w:rsidRPr="00AC2741">
        <w:rPr>
          <w:rFonts w:ascii="Palatino Linotype" w:eastAsia="Palatino Linotype" w:hAnsi="Palatino Linotype" w:cs="Palatino Linotype"/>
          <w:sz w:val="22"/>
          <w:szCs w:val="22"/>
        </w:rPr>
        <w:t xml:space="preserve">De conformidad con los requisitos de Oportunidad y Procedibilidad que deben reunir los recursos de revisión interpuestos, previstos en los artículos 128 y 130 de la Ley de Protección de Datos Personales en Posesión de Sujetos Obligados del Estado de México y Municipios; en la especie se advierte que el presente medio de impugnación fue interpuesto dentro del plazo de quince días previsto en el primer artículo de referencia; toda vez que el </w:t>
      </w:r>
      <w:r w:rsidRPr="00AC2741">
        <w:rPr>
          <w:rFonts w:ascii="Palatino Linotype" w:eastAsia="Palatino Linotype" w:hAnsi="Palatino Linotype" w:cs="Palatino Linotype"/>
          <w:b/>
          <w:sz w:val="22"/>
          <w:szCs w:val="22"/>
        </w:rPr>
        <w:t>Sujeto Obligado</w:t>
      </w:r>
      <w:r w:rsidRPr="00AC2741">
        <w:rPr>
          <w:rFonts w:ascii="Palatino Linotype" w:eastAsia="Palatino Linotype" w:hAnsi="Palatino Linotype" w:cs="Palatino Linotype"/>
          <w:sz w:val="22"/>
          <w:szCs w:val="22"/>
        </w:rPr>
        <w:t xml:space="preserve">, remitió su respuesta a </w:t>
      </w:r>
      <w:r w:rsidRPr="00AC2741">
        <w:rPr>
          <w:rFonts w:ascii="Palatino Linotype" w:eastAsia="Palatino Linotype" w:hAnsi="Palatino Linotype" w:cs="Palatino Linotype"/>
          <w:b/>
          <w:sz w:val="22"/>
          <w:szCs w:val="22"/>
        </w:rPr>
        <w:t>la parte Recurrente</w:t>
      </w:r>
      <w:r w:rsidRPr="00AC2741">
        <w:rPr>
          <w:rFonts w:ascii="Palatino Linotype" w:eastAsia="Palatino Linotype" w:hAnsi="Palatino Linotype" w:cs="Palatino Linotype"/>
          <w:sz w:val="22"/>
          <w:szCs w:val="22"/>
        </w:rPr>
        <w:t>, el</w:t>
      </w:r>
      <w:r w:rsidRPr="00AC2741">
        <w:rPr>
          <w:rFonts w:ascii="Palatino Linotype" w:eastAsia="Palatino Linotype" w:hAnsi="Palatino Linotype" w:cs="Palatino Linotype"/>
          <w:b/>
          <w:sz w:val="22"/>
          <w:szCs w:val="22"/>
        </w:rPr>
        <w:t xml:space="preserve"> diecisiete de junio de dos mil veinticinco,</w:t>
      </w:r>
      <w:r w:rsidRPr="00AC2741">
        <w:rPr>
          <w:rFonts w:ascii="Palatino Linotype" w:eastAsia="Palatino Linotype" w:hAnsi="Palatino Linotype" w:cs="Palatino Linotype"/>
          <w:sz w:val="22"/>
          <w:szCs w:val="22"/>
        </w:rPr>
        <w:t xml:space="preserve"> mientras que el recurso de revisión se tuvo por interpuesto por </w:t>
      </w:r>
      <w:r w:rsidRPr="00AC2741">
        <w:rPr>
          <w:rFonts w:ascii="Palatino Linotype" w:eastAsia="Palatino Linotype" w:hAnsi="Palatino Linotype" w:cs="Palatino Linotype"/>
          <w:b/>
          <w:sz w:val="22"/>
          <w:szCs w:val="22"/>
        </w:rPr>
        <w:t>la parte</w:t>
      </w:r>
      <w:r w:rsidRPr="00AC2741">
        <w:rPr>
          <w:rFonts w:ascii="Palatino Linotype" w:eastAsia="Palatino Linotype" w:hAnsi="Palatino Linotype" w:cs="Palatino Linotype"/>
          <w:sz w:val="22"/>
          <w:szCs w:val="22"/>
        </w:rPr>
        <w:t xml:space="preserve"> </w:t>
      </w:r>
      <w:r w:rsidRPr="00AC2741">
        <w:rPr>
          <w:rFonts w:ascii="Palatino Linotype" w:eastAsia="Palatino Linotype" w:hAnsi="Palatino Linotype" w:cs="Palatino Linotype"/>
          <w:b/>
          <w:sz w:val="22"/>
          <w:szCs w:val="22"/>
        </w:rPr>
        <w:t>Recurrente</w:t>
      </w:r>
      <w:r w:rsidRPr="00AC2741">
        <w:rPr>
          <w:rFonts w:ascii="Palatino Linotype" w:eastAsia="Palatino Linotype" w:hAnsi="Palatino Linotype" w:cs="Palatino Linotype"/>
          <w:sz w:val="22"/>
          <w:szCs w:val="22"/>
        </w:rPr>
        <w:t xml:space="preserve"> el </w:t>
      </w:r>
      <w:r w:rsidRPr="00AC2741">
        <w:rPr>
          <w:rFonts w:ascii="Palatino Linotype" w:eastAsia="Palatino Linotype" w:hAnsi="Palatino Linotype" w:cs="Palatino Linotype"/>
          <w:b/>
          <w:sz w:val="22"/>
          <w:szCs w:val="22"/>
        </w:rPr>
        <w:t>tres de julio de dos mil veinticinco</w:t>
      </w:r>
      <w:r w:rsidRPr="00AC2741">
        <w:rPr>
          <w:rFonts w:ascii="Palatino Linotype" w:eastAsia="Palatino Linotype" w:hAnsi="Palatino Linotype" w:cs="Palatino Linotype"/>
          <w:sz w:val="22"/>
          <w:szCs w:val="22"/>
        </w:rPr>
        <w:t xml:space="preserve">, esto es al </w:t>
      </w:r>
      <w:r w:rsidRPr="00AC2741">
        <w:rPr>
          <w:rFonts w:ascii="Palatino Linotype" w:eastAsia="Palatino Linotype" w:hAnsi="Palatino Linotype" w:cs="Palatino Linotype"/>
          <w:b/>
          <w:sz w:val="22"/>
          <w:szCs w:val="22"/>
        </w:rPr>
        <w:t>décimo segundo día hábil</w:t>
      </w:r>
      <w:r w:rsidRPr="00AC2741">
        <w:rPr>
          <w:rFonts w:ascii="Palatino Linotype" w:eastAsia="Palatino Linotype" w:hAnsi="Palatino Linotype" w:cs="Palatino Linotype"/>
          <w:sz w:val="22"/>
          <w:szCs w:val="22"/>
        </w:rPr>
        <w:t xml:space="preserve"> siguiente a aquel en que se tuvo conocimiento de la respuesta, por lo que se encuentra dentro de los márgenes temporales previstos en el artículo 128 de la Ley de Protección de Datos Personales en Posesión de Sujetos Obligados</w:t>
      </w:r>
    </w:p>
    <w:p w14:paraId="529C79BB" w14:textId="77777777" w:rsidR="00222757" w:rsidRPr="00AC2741" w:rsidRDefault="00222757">
      <w:pPr>
        <w:widowControl w:val="0"/>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4185FA31" w14:textId="6C15646D" w:rsidR="00222757" w:rsidRPr="00AC2741" w:rsidRDefault="00222757" w:rsidP="00222757">
      <w:pPr>
        <w:pBdr>
          <w:top w:val="nil"/>
          <w:left w:val="nil"/>
          <w:bottom w:val="nil"/>
          <w:right w:val="nil"/>
          <w:between w:val="nil"/>
        </w:pBdr>
        <w:spacing w:line="360" w:lineRule="auto"/>
        <w:jc w:val="both"/>
        <w:rPr>
          <w:rFonts w:ascii="Palatino Linotype" w:eastAsia="Palatino Linotype" w:hAnsi="Palatino Linotype" w:cs="Palatino Linotype"/>
          <w:b/>
          <w:sz w:val="22"/>
          <w:szCs w:val="22"/>
          <w:lang w:val="es-ES_tradnl"/>
        </w:rPr>
      </w:pPr>
      <w:r w:rsidRPr="00AC2741">
        <w:rPr>
          <w:rFonts w:ascii="Palatino Linotype" w:eastAsia="Palatino Linotype" w:hAnsi="Palatino Linotype" w:cs="Palatino Linotype"/>
          <w:b/>
          <w:sz w:val="22"/>
          <w:szCs w:val="22"/>
        </w:rPr>
        <w:t xml:space="preserve">Tercero. </w:t>
      </w:r>
      <w:r w:rsidRPr="00AC2741">
        <w:rPr>
          <w:rFonts w:ascii="Palatino Linotype" w:eastAsia="Palatino Linotype" w:hAnsi="Palatino Linotype" w:cs="Palatino Linotype"/>
          <w:b/>
          <w:sz w:val="22"/>
          <w:szCs w:val="22"/>
          <w:lang w:val="es-ES_tradnl"/>
        </w:rPr>
        <w:t xml:space="preserve">Estudio de improcedencia y sobreseimiento. </w:t>
      </w:r>
      <w:r w:rsidRPr="00AC2741">
        <w:rPr>
          <w:rFonts w:ascii="Palatino Linotype" w:hAnsi="Palatino Linotype" w:cs="Arial"/>
          <w:sz w:val="22"/>
          <w:szCs w:val="22"/>
          <w:lang w:val="es-ES_tradnl"/>
        </w:rPr>
        <w:t xml:space="preserve">Este Instituto, previo al análisis de fondo del presente asunto, realizará el estudio preferente y oficioso de las causales de sobreseimiento e improcedencia, en lo que corresponde a las causales </w:t>
      </w:r>
      <w:r w:rsidR="00035DEB" w:rsidRPr="00AC2741">
        <w:rPr>
          <w:rFonts w:ascii="Palatino Linotype" w:hAnsi="Palatino Linotype" w:cs="Arial"/>
          <w:sz w:val="22"/>
          <w:szCs w:val="22"/>
          <w:lang w:val="es-ES_tradnl"/>
        </w:rPr>
        <w:t>de improcedencia, el artículo 104</w:t>
      </w:r>
      <w:r w:rsidRPr="00AC2741">
        <w:rPr>
          <w:rFonts w:ascii="Palatino Linotype" w:hAnsi="Palatino Linotype" w:cs="Arial"/>
          <w:sz w:val="22"/>
          <w:szCs w:val="22"/>
          <w:lang w:val="es-ES_tradnl"/>
        </w:rPr>
        <w:t xml:space="preserve"> de la Ley General de Protección de Datos en Posesión de Sujetos Obligados, indica las siguientes:</w:t>
      </w:r>
    </w:p>
    <w:p w14:paraId="4BDBF807" w14:textId="77777777" w:rsidR="00222757" w:rsidRPr="00AC2741" w:rsidRDefault="00222757" w:rsidP="00222757">
      <w:pPr>
        <w:widowControl w:val="0"/>
        <w:autoSpaceDE w:val="0"/>
        <w:autoSpaceDN w:val="0"/>
        <w:adjustRightInd w:val="0"/>
        <w:spacing w:line="360" w:lineRule="auto"/>
        <w:jc w:val="both"/>
        <w:rPr>
          <w:rFonts w:ascii="Palatino Linotype" w:hAnsi="Palatino Linotype" w:cs="Arial"/>
          <w:sz w:val="22"/>
          <w:szCs w:val="22"/>
          <w:lang w:val="es-ES_tradnl"/>
        </w:rPr>
      </w:pPr>
    </w:p>
    <w:p w14:paraId="50C6F04B" w14:textId="1C732288" w:rsidR="00222757" w:rsidRPr="00AC2741" w:rsidRDefault="00035DEB" w:rsidP="00222757">
      <w:pPr>
        <w:widowControl w:val="0"/>
        <w:autoSpaceDE w:val="0"/>
        <w:autoSpaceDN w:val="0"/>
        <w:adjustRightInd w:val="0"/>
        <w:spacing w:line="276" w:lineRule="auto"/>
        <w:ind w:left="567" w:right="618"/>
        <w:jc w:val="both"/>
        <w:rPr>
          <w:rFonts w:ascii="Palatino Linotype" w:hAnsi="Palatino Linotype" w:cs="Arial"/>
          <w:bCs/>
          <w:i/>
          <w:sz w:val="22"/>
          <w:szCs w:val="22"/>
          <w:lang w:val="es-ES_tradnl"/>
        </w:rPr>
      </w:pPr>
      <w:r w:rsidRPr="00AC2741">
        <w:rPr>
          <w:rFonts w:ascii="Palatino Linotype" w:hAnsi="Palatino Linotype" w:cs="Arial"/>
          <w:b/>
          <w:i/>
          <w:sz w:val="22"/>
          <w:szCs w:val="22"/>
          <w:lang w:val="es-ES_tradnl"/>
        </w:rPr>
        <w:t>Artículo 104</w:t>
      </w:r>
      <w:r w:rsidR="00222757" w:rsidRPr="00AC2741">
        <w:rPr>
          <w:rFonts w:ascii="Palatino Linotype" w:hAnsi="Palatino Linotype" w:cs="Arial"/>
          <w:b/>
          <w:i/>
          <w:sz w:val="22"/>
          <w:szCs w:val="22"/>
          <w:lang w:val="es-ES_tradnl"/>
        </w:rPr>
        <w:t xml:space="preserve">. </w:t>
      </w:r>
      <w:r w:rsidR="00222757" w:rsidRPr="00AC2741">
        <w:rPr>
          <w:rFonts w:ascii="Palatino Linotype" w:hAnsi="Palatino Linotype" w:cs="Arial"/>
          <w:bCs/>
          <w:i/>
          <w:sz w:val="22"/>
          <w:szCs w:val="22"/>
          <w:lang w:val="es-ES_tradnl"/>
        </w:rPr>
        <w:t>El recurso de revisión podrá ser desechado por improcedente cuando:</w:t>
      </w:r>
    </w:p>
    <w:p w14:paraId="7AFD5F95" w14:textId="58BBCF2C" w:rsidR="00222757" w:rsidRPr="00AC2741" w:rsidRDefault="00222757" w:rsidP="00222757">
      <w:pPr>
        <w:widowControl w:val="0"/>
        <w:autoSpaceDE w:val="0"/>
        <w:autoSpaceDN w:val="0"/>
        <w:adjustRightInd w:val="0"/>
        <w:spacing w:line="276" w:lineRule="auto"/>
        <w:ind w:left="567" w:right="618"/>
        <w:jc w:val="both"/>
        <w:rPr>
          <w:rFonts w:ascii="Palatino Linotype" w:hAnsi="Palatino Linotype" w:cs="Arial"/>
          <w:i/>
          <w:sz w:val="22"/>
          <w:szCs w:val="22"/>
          <w:lang w:val="es-ES_tradnl"/>
        </w:rPr>
      </w:pPr>
      <w:r w:rsidRPr="00AC2741">
        <w:rPr>
          <w:rFonts w:ascii="Palatino Linotype" w:hAnsi="Palatino Linotype" w:cs="Arial"/>
          <w:i/>
          <w:sz w:val="22"/>
          <w:szCs w:val="22"/>
          <w:lang w:val="es-ES_tradnl"/>
        </w:rPr>
        <w:t xml:space="preserve">I. Sea extemporáneo por haber transcurrido el plazo establecido en el artículo </w:t>
      </w:r>
      <w:r w:rsidR="00035DEB" w:rsidRPr="00AC2741">
        <w:rPr>
          <w:rFonts w:ascii="Palatino Linotype" w:hAnsi="Palatino Linotype" w:cs="Arial"/>
          <w:i/>
          <w:sz w:val="22"/>
          <w:szCs w:val="22"/>
          <w:lang w:val="es-ES_tradnl"/>
        </w:rPr>
        <w:t>86</w:t>
      </w:r>
      <w:r w:rsidRPr="00AC2741">
        <w:rPr>
          <w:rFonts w:ascii="Palatino Linotype" w:hAnsi="Palatino Linotype" w:cs="Arial"/>
          <w:i/>
          <w:sz w:val="22"/>
          <w:szCs w:val="22"/>
          <w:lang w:val="es-ES_tradnl"/>
        </w:rPr>
        <w:t xml:space="preserve"> de la presente Ley;</w:t>
      </w:r>
    </w:p>
    <w:p w14:paraId="19220A82" w14:textId="77777777" w:rsidR="00035DEB" w:rsidRPr="00AC2741" w:rsidRDefault="00035DEB" w:rsidP="00222757">
      <w:pPr>
        <w:widowControl w:val="0"/>
        <w:autoSpaceDE w:val="0"/>
        <w:autoSpaceDN w:val="0"/>
        <w:adjustRightInd w:val="0"/>
        <w:spacing w:line="276" w:lineRule="auto"/>
        <w:ind w:left="567" w:right="618"/>
        <w:jc w:val="both"/>
        <w:rPr>
          <w:rFonts w:ascii="Palatino Linotype" w:hAnsi="Palatino Linotype" w:cs="Arial"/>
          <w:i/>
          <w:sz w:val="22"/>
          <w:szCs w:val="22"/>
        </w:rPr>
      </w:pPr>
      <w:r w:rsidRPr="00AC2741">
        <w:rPr>
          <w:rFonts w:ascii="Palatino Linotype" w:hAnsi="Palatino Linotype" w:cs="Arial"/>
          <w:i/>
          <w:sz w:val="22"/>
          <w:szCs w:val="22"/>
        </w:rPr>
        <w:t xml:space="preserve">II. La persona titular o su representante no acrediten debidamente su identidad y personalidad de este último; </w:t>
      </w:r>
    </w:p>
    <w:p w14:paraId="11916681" w14:textId="77777777" w:rsidR="00035DEB" w:rsidRPr="00AC2741" w:rsidRDefault="00035DEB" w:rsidP="00222757">
      <w:pPr>
        <w:widowControl w:val="0"/>
        <w:autoSpaceDE w:val="0"/>
        <w:autoSpaceDN w:val="0"/>
        <w:adjustRightInd w:val="0"/>
        <w:spacing w:line="276" w:lineRule="auto"/>
        <w:ind w:left="567" w:right="618"/>
        <w:jc w:val="both"/>
        <w:rPr>
          <w:rFonts w:ascii="Palatino Linotype" w:hAnsi="Palatino Linotype" w:cs="Arial"/>
          <w:i/>
          <w:sz w:val="22"/>
          <w:szCs w:val="22"/>
        </w:rPr>
      </w:pPr>
      <w:r w:rsidRPr="00AC2741">
        <w:rPr>
          <w:rFonts w:ascii="Palatino Linotype" w:hAnsi="Palatino Linotype" w:cs="Arial"/>
          <w:i/>
          <w:sz w:val="22"/>
          <w:szCs w:val="22"/>
        </w:rPr>
        <w:t xml:space="preserve">III. La Secretaría o, en su caso, las Autoridades garantes hayan resuelto anteriormente en definitiva sobre la materia del mismo; </w:t>
      </w:r>
    </w:p>
    <w:p w14:paraId="73DCBF5A" w14:textId="77777777" w:rsidR="00035DEB" w:rsidRPr="00AC2741" w:rsidRDefault="00035DEB" w:rsidP="00222757">
      <w:pPr>
        <w:widowControl w:val="0"/>
        <w:autoSpaceDE w:val="0"/>
        <w:autoSpaceDN w:val="0"/>
        <w:adjustRightInd w:val="0"/>
        <w:spacing w:line="276" w:lineRule="auto"/>
        <w:ind w:left="567" w:right="618"/>
        <w:jc w:val="both"/>
        <w:rPr>
          <w:rFonts w:ascii="Palatino Linotype" w:hAnsi="Palatino Linotype" w:cs="Arial"/>
          <w:i/>
          <w:sz w:val="22"/>
          <w:szCs w:val="22"/>
        </w:rPr>
      </w:pPr>
      <w:r w:rsidRPr="00AC2741">
        <w:rPr>
          <w:rFonts w:ascii="Palatino Linotype" w:hAnsi="Palatino Linotype" w:cs="Arial"/>
          <w:i/>
          <w:sz w:val="22"/>
          <w:szCs w:val="22"/>
        </w:rPr>
        <w:t xml:space="preserve">IV. No se actualice alguna de las causales del recurso de revisión previstas en el artículo 96 de la presente Ley; </w:t>
      </w:r>
    </w:p>
    <w:p w14:paraId="54C1E9EB" w14:textId="77777777" w:rsidR="00035DEB" w:rsidRPr="00AC2741" w:rsidRDefault="00035DEB" w:rsidP="00222757">
      <w:pPr>
        <w:widowControl w:val="0"/>
        <w:autoSpaceDE w:val="0"/>
        <w:autoSpaceDN w:val="0"/>
        <w:adjustRightInd w:val="0"/>
        <w:spacing w:line="276" w:lineRule="auto"/>
        <w:ind w:left="567" w:right="618"/>
        <w:jc w:val="both"/>
        <w:rPr>
          <w:rFonts w:ascii="Palatino Linotype" w:hAnsi="Palatino Linotype" w:cs="Arial"/>
          <w:i/>
          <w:sz w:val="22"/>
          <w:szCs w:val="22"/>
        </w:rPr>
      </w:pPr>
      <w:r w:rsidRPr="00AC2741">
        <w:rPr>
          <w:rFonts w:ascii="Palatino Linotype" w:hAnsi="Palatino Linotype" w:cs="Arial"/>
          <w:i/>
          <w:sz w:val="22"/>
          <w:szCs w:val="22"/>
        </w:rPr>
        <w:t xml:space="preserve">V. Se esté tramitando ante los tribunales competentes algún recurso o medio de defensa interpuesto por la persona recurrente o, en su caso, por el tercero interesado, en contra del acto recurrido ante la Secretaría o las Autoridades garantes, según corresponda; </w:t>
      </w:r>
    </w:p>
    <w:p w14:paraId="2C21F299" w14:textId="77777777" w:rsidR="00035DEB" w:rsidRPr="00AC2741" w:rsidRDefault="00035DEB" w:rsidP="00222757">
      <w:pPr>
        <w:widowControl w:val="0"/>
        <w:autoSpaceDE w:val="0"/>
        <w:autoSpaceDN w:val="0"/>
        <w:adjustRightInd w:val="0"/>
        <w:spacing w:line="276" w:lineRule="auto"/>
        <w:ind w:left="567" w:right="618"/>
        <w:jc w:val="both"/>
        <w:rPr>
          <w:rFonts w:ascii="Palatino Linotype" w:hAnsi="Palatino Linotype" w:cs="Arial"/>
          <w:i/>
          <w:sz w:val="22"/>
          <w:szCs w:val="22"/>
        </w:rPr>
      </w:pPr>
      <w:r w:rsidRPr="00AC2741">
        <w:rPr>
          <w:rFonts w:ascii="Palatino Linotype" w:hAnsi="Palatino Linotype" w:cs="Arial"/>
          <w:i/>
          <w:sz w:val="22"/>
          <w:szCs w:val="22"/>
        </w:rPr>
        <w:t xml:space="preserve">VI. La persona recurrente modifique o amplíe su petición en el recurso de revisión, únicamente respecto de los nuevos contenidos, o </w:t>
      </w:r>
    </w:p>
    <w:p w14:paraId="2CE40325" w14:textId="5F5D1E07" w:rsidR="00222757" w:rsidRPr="00AC2741" w:rsidRDefault="00035DEB" w:rsidP="00222757">
      <w:pPr>
        <w:widowControl w:val="0"/>
        <w:autoSpaceDE w:val="0"/>
        <w:autoSpaceDN w:val="0"/>
        <w:adjustRightInd w:val="0"/>
        <w:spacing w:line="276" w:lineRule="auto"/>
        <w:ind w:left="567" w:right="618"/>
        <w:jc w:val="both"/>
        <w:rPr>
          <w:rFonts w:ascii="Palatino Linotype" w:hAnsi="Palatino Linotype" w:cs="Arial"/>
          <w:i/>
          <w:sz w:val="22"/>
          <w:szCs w:val="22"/>
          <w:lang w:val="es-ES_tradnl"/>
        </w:rPr>
      </w:pPr>
      <w:r w:rsidRPr="00AC2741">
        <w:rPr>
          <w:rFonts w:ascii="Palatino Linotype" w:hAnsi="Palatino Linotype" w:cs="Arial"/>
          <w:i/>
          <w:sz w:val="22"/>
          <w:szCs w:val="22"/>
        </w:rPr>
        <w:t>VII. La persona recurrente no acredite interés jurídico”</w:t>
      </w:r>
    </w:p>
    <w:p w14:paraId="42595ADD" w14:textId="77777777" w:rsidR="00222757" w:rsidRPr="00AC2741" w:rsidRDefault="00222757" w:rsidP="00222757">
      <w:pPr>
        <w:widowControl w:val="0"/>
        <w:autoSpaceDE w:val="0"/>
        <w:autoSpaceDN w:val="0"/>
        <w:adjustRightInd w:val="0"/>
        <w:spacing w:line="360" w:lineRule="auto"/>
        <w:jc w:val="both"/>
        <w:rPr>
          <w:rFonts w:ascii="Palatino Linotype" w:hAnsi="Palatino Linotype" w:cs="Arial"/>
          <w:sz w:val="22"/>
          <w:szCs w:val="22"/>
          <w:lang w:val="es-ES_tradnl"/>
        </w:rPr>
      </w:pPr>
    </w:p>
    <w:p w14:paraId="78FFA181" w14:textId="135221AC" w:rsidR="00222757" w:rsidRPr="00AC2741" w:rsidRDefault="00222757" w:rsidP="00222757">
      <w:pPr>
        <w:widowControl w:val="0"/>
        <w:autoSpaceDE w:val="0"/>
        <w:autoSpaceDN w:val="0"/>
        <w:adjustRightInd w:val="0"/>
        <w:spacing w:line="360" w:lineRule="auto"/>
        <w:jc w:val="both"/>
        <w:rPr>
          <w:rFonts w:ascii="Palatino Linotype" w:hAnsi="Palatino Linotype" w:cs="Arial"/>
          <w:sz w:val="22"/>
          <w:szCs w:val="22"/>
        </w:rPr>
      </w:pPr>
      <w:r w:rsidRPr="00AC2741">
        <w:rPr>
          <w:rFonts w:ascii="Palatino Linotype" w:hAnsi="Palatino Linotype" w:cs="Arial"/>
          <w:sz w:val="22"/>
          <w:szCs w:val="22"/>
        </w:rPr>
        <w:t>Con base en lo establecido en el precepto de referencia, a la fecha que se resuelve no se actualizan las causales de improcedencia; ya que la Recurrente presentó su recurso dentro del término de quince días otorgado por la Ley; no se tiene conocimiento de que el Instituto o, en su caso, los Organismos garantes hayan resuelto anteriormente en definitiva sobre la materia del mismo; se actualizó la causal de procedencia establecida en la fracción I</w:t>
      </w:r>
      <w:r w:rsidR="00035DEB" w:rsidRPr="00AC2741">
        <w:rPr>
          <w:rFonts w:ascii="Palatino Linotype" w:hAnsi="Palatino Linotype" w:cs="Arial"/>
          <w:sz w:val="22"/>
          <w:szCs w:val="22"/>
        </w:rPr>
        <w:t>I</w:t>
      </w:r>
      <w:r w:rsidRPr="00AC2741">
        <w:rPr>
          <w:rFonts w:ascii="Palatino Linotype" w:hAnsi="Palatino Linotype" w:cs="Arial"/>
          <w:sz w:val="22"/>
          <w:szCs w:val="22"/>
        </w:rPr>
        <w:t xml:space="preserve">I, del artículo </w:t>
      </w:r>
      <w:r w:rsidR="00035DEB" w:rsidRPr="00AC2741">
        <w:rPr>
          <w:rFonts w:ascii="Palatino Linotype" w:hAnsi="Palatino Linotype" w:cs="Arial"/>
          <w:sz w:val="22"/>
          <w:szCs w:val="22"/>
        </w:rPr>
        <w:t>96</w:t>
      </w:r>
      <w:r w:rsidRPr="00AC2741">
        <w:rPr>
          <w:rFonts w:ascii="Palatino Linotype" w:hAnsi="Palatino Linotype" w:cs="Arial"/>
          <w:sz w:val="22"/>
          <w:szCs w:val="22"/>
        </w:rPr>
        <w:t xml:space="preserve"> de la Ley General de Protección de Datos en Posesión de Sujetos  Obligados: no se tiene conocimiento de que se esté tramitando ante los tribunales competentes algún recurso o medio de defensa interpuesto por la Recurrente, o en su caso, por el tercero interesado, en contra del acto recurrido ante el Instituto o los Organismos garantes, el particular no amplió su solicitud a través de su medio de impugnación.</w:t>
      </w:r>
    </w:p>
    <w:p w14:paraId="01E3CE2C" w14:textId="77777777" w:rsidR="00222757" w:rsidRPr="00AC2741" w:rsidRDefault="00222757" w:rsidP="00222757">
      <w:pPr>
        <w:widowControl w:val="0"/>
        <w:autoSpaceDE w:val="0"/>
        <w:autoSpaceDN w:val="0"/>
        <w:adjustRightInd w:val="0"/>
        <w:spacing w:line="360" w:lineRule="auto"/>
        <w:jc w:val="both"/>
        <w:rPr>
          <w:rFonts w:ascii="Palatino Linotype" w:hAnsi="Palatino Linotype" w:cs="Arial"/>
          <w:sz w:val="22"/>
          <w:szCs w:val="22"/>
          <w:lang w:val="es-ES_tradnl"/>
        </w:rPr>
      </w:pPr>
    </w:p>
    <w:p w14:paraId="1B692EA6" w14:textId="77777777" w:rsidR="00222757" w:rsidRPr="00AC2741" w:rsidRDefault="00222757" w:rsidP="00222757">
      <w:pPr>
        <w:widowControl w:val="0"/>
        <w:autoSpaceDE w:val="0"/>
        <w:autoSpaceDN w:val="0"/>
        <w:adjustRightInd w:val="0"/>
        <w:spacing w:line="360" w:lineRule="auto"/>
        <w:jc w:val="both"/>
        <w:rPr>
          <w:rFonts w:ascii="Palatino Linotype" w:hAnsi="Palatino Linotype" w:cs="Arial"/>
          <w:sz w:val="22"/>
          <w:szCs w:val="22"/>
          <w:lang w:val="es-ES_tradnl"/>
        </w:rPr>
      </w:pPr>
      <w:r w:rsidRPr="00AC2741">
        <w:rPr>
          <w:rFonts w:ascii="Palatino Linotype" w:hAnsi="Palatino Linotype" w:cs="Arial"/>
          <w:sz w:val="22"/>
          <w:szCs w:val="22"/>
          <w:lang w:val="es-ES_tradnl"/>
        </w:rPr>
        <w:t>Por otra parte, el artículo 113, de la Ley General de Protección de Datos en Posesión de Sujetos Obligados, consagra lo relativo al sobreseimiento, en los términos siguientes:</w:t>
      </w:r>
    </w:p>
    <w:p w14:paraId="2D2F66C8" w14:textId="77777777" w:rsidR="00222757" w:rsidRPr="00AC2741" w:rsidRDefault="00222757" w:rsidP="00222757">
      <w:pPr>
        <w:widowControl w:val="0"/>
        <w:autoSpaceDE w:val="0"/>
        <w:autoSpaceDN w:val="0"/>
        <w:adjustRightInd w:val="0"/>
        <w:spacing w:line="360" w:lineRule="auto"/>
        <w:jc w:val="both"/>
        <w:rPr>
          <w:rFonts w:ascii="Palatino Linotype" w:hAnsi="Palatino Linotype" w:cs="Arial"/>
          <w:sz w:val="22"/>
          <w:szCs w:val="22"/>
          <w:lang w:val="es-ES_tradnl"/>
        </w:rPr>
      </w:pPr>
    </w:p>
    <w:p w14:paraId="0E86D449" w14:textId="77777777" w:rsidR="00222757" w:rsidRPr="00AC2741" w:rsidRDefault="00222757" w:rsidP="00222757">
      <w:pPr>
        <w:widowControl w:val="0"/>
        <w:autoSpaceDE w:val="0"/>
        <w:autoSpaceDN w:val="0"/>
        <w:adjustRightInd w:val="0"/>
        <w:spacing w:line="276" w:lineRule="auto"/>
        <w:ind w:left="567" w:right="618"/>
        <w:jc w:val="both"/>
        <w:rPr>
          <w:rFonts w:ascii="Palatino Linotype" w:hAnsi="Palatino Linotype" w:cs="Arial"/>
          <w:i/>
          <w:sz w:val="22"/>
          <w:szCs w:val="22"/>
          <w:lang w:val="es-ES_tradnl"/>
        </w:rPr>
      </w:pPr>
      <w:r w:rsidRPr="00AC2741">
        <w:rPr>
          <w:rFonts w:ascii="Palatino Linotype" w:hAnsi="Palatino Linotype" w:cs="Arial"/>
          <w:b/>
          <w:i/>
          <w:sz w:val="22"/>
          <w:szCs w:val="22"/>
          <w:lang w:val="es-ES_tradnl"/>
        </w:rPr>
        <w:t xml:space="preserve">Artículo 113. </w:t>
      </w:r>
      <w:r w:rsidRPr="00AC2741">
        <w:rPr>
          <w:rFonts w:ascii="Palatino Linotype" w:hAnsi="Palatino Linotype" w:cs="Arial"/>
          <w:i/>
          <w:sz w:val="22"/>
          <w:szCs w:val="22"/>
          <w:lang w:val="es-ES_tradnl"/>
        </w:rPr>
        <w:t xml:space="preserve">El recurso de revisión solo podrá ser sobreseído cuando: </w:t>
      </w:r>
    </w:p>
    <w:p w14:paraId="658AAEE3" w14:textId="77777777" w:rsidR="00222757" w:rsidRPr="00AC2741" w:rsidRDefault="00222757" w:rsidP="00222757">
      <w:pPr>
        <w:widowControl w:val="0"/>
        <w:autoSpaceDE w:val="0"/>
        <w:autoSpaceDN w:val="0"/>
        <w:adjustRightInd w:val="0"/>
        <w:spacing w:line="276" w:lineRule="auto"/>
        <w:ind w:left="567" w:right="618"/>
        <w:jc w:val="both"/>
        <w:rPr>
          <w:rFonts w:ascii="Palatino Linotype" w:hAnsi="Palatino Linotype" w:cs="Arial"/>
          <w:i/>
          <w:sz w:val="22"/>
          <w:szCs w:val="22"/>
          <w:lang w:val="es-ES_tradnl"/>
        </w:rPr>
      </w:pPr>
      <w:r w:rsidRPr="00AC2741">
        <w:rPr>
          <w:rFonts w:ascii="Palatino Linotype" w:hAnsi="Palatino Linotype" w:cs="Arial"/>
          <w:i/>
          <w:sz w:val="22"/>
          <w:szCs w:val="22"/>
          <w:lang w:val="es-ES_tradnl"/>
        </w:rPr>
        <w:t xml:space="preserve">I. El recurrente se desista expresamente; </w:t>
      </w:r>
    </w:p>
    <w:p w14:paraId="1464276A" w14:textId="77777777" w:rsidR="00222757" w:rsidRPr="00AC2741" w:rsidRDefault="00222757" w:rsidP="00222757">
      <w:pPr>
        <w:widowControl w:val="0"/>
        <w:autoSpaceDE w:val="0"/>
        <w:autoSpaceDN w:val="0"/>
        <w:adjustRightInd w:val="0"/>
        <w:spacing w:line="276" w:lineRule="auto"/>
        <w:ind w:left="567" w:right="618"/>
        <w:jc w:val="both"/>
        <w:rPr>
          <w:rFonts w:ascii="Palatino Linotype" w:hAnsi="Palatino Linotype" w:cs="Arial"/>
          <w:i/>
          <w:sz w:val="22"/>
          <w:szCs w:val="22"/>
          <w:lang w:val="es-ES_tradnl"/>
        </w:rPr>
      </w:pPr>
      <w:r w:rsidRPr="00AC2741">
        <w:rPr>
          <w:rFonts w:ascii="Palatino Linotype" w:hAnsi="Palatino Linotype" w:cs="Arial"/>
          <w:i/>
          <w:sz w:val="22"/>
          <w:szCs w:val="22"/>
          <w:lang w:val="es-ES_tradnl"/>
        </w:rPr>
        <w:t xml:space="preserve">II. El recurrente fallezca; </w:t>
      </w:r>
    </w:p>
    <w:p w14:paraId="6148C507" w14:textId="77777777" w:rsidR="00222757" w:rsidRPr="00AC2741" w:rsidRDefault="00222757" w:rsidP="00222757">
      <w:pPr>
        <w:widowControl w:val="0"/>
        <w:autoSpaceDE w:val="0"/>
        <w:autoSpaceDN w:val="0"/>
        <w:adjustRightInd w:val="0"/>
        <w:spacing w:line="276" w:lineRule="auto"/>
        <w:ind w:left="567" w:right="618"/>
        <w:jc w:val="both"/>
        <w:rPr>
          <w:rFonts w:ascii="Palatino Linotype" w:hAnsi="Palatino Linotype" w:cs="Arial"/>
          <w:i/>
          <w:sz w:val="22"/>
          <w:szCs w:val="22"/>
          <w:lang w:val="es-ES_tradnl"/>
        </w:rPr>
      </w:pPr>
      <w:r w:rsidRPr="00AC2741">
        <w:rPr>
          <w:rFonts w:ascii="Palatino Linotype" w:hAnsi="Palatino Linotype" w:cs="Arial"/>
          <w:i/>
          <w:sz w:val="22"/>
          <w:szCs w:val="22"/>
          <w:lang w:val="es-ES_tradnl"/>
        </w:rPr>
        <w:t xml:space="preserve">III. Admitido el recurso de revisión, se actualice alguna causal de improcedencia en los términos de la presente Ley; </w:t>
      </w:r>
    </w:p>
    <w:p w14:paraId="3FBB8E3C" w14:textId="77777777" w:rsidR="00222757" w:rsidRPr="00AC2741" w:rsidRDefault="00222757" w:rsidP="00222757">
      <w:pPr>
        <w:widowControl w:val="0"/>
        <w:autoSpaceDE w:val="0"/>
        <w:autoSpaceDN w:val="0"/>
        <w:adjustRightInd w:val="0"/>
        <w:spacing w:line="276" w:lineRule="auto"/>
        <w:ind w:left="567" w:right="618"/>
        <w:jc w:val="both"/>
        <w:rPr>
          <w:rFonts w:ascii="Palatino Linotype" w:hAnsi="Palatino Linotype" w:cs="Arial"/>
          <w:i/>
          <w:sz w:val="22"/>
          <w:szCs w:val="22"/>
          <w:lang w:val="es-ES_tradnl"/>
        </w:rPr>
      </w:pPr>
      <w:r w:rsidRPr="00AC2741">
        <w:rPr>
          <w:rFonts w:ascii="Palatino Linotype" w:hAnsi="Palatino Linotype" w:cs="Arial"/>
          <w:i/>
          <w:sz w:val="22"/>
          <w:szCs w:val="22"/>
          <w:lang w:val="es-ES_tradnl"/>
        </w:rPr>
        <w:t xml:space="preserve">IV. El responsable modifique o revoque su respuesta de tal manera que el recurso de revisión quede sin materia, o </w:t>
      </w:r>
    </w:p>
    <w:p w14:paraId="194C74D5" w14:textId="77777777" w:rsidR="00222757" w:rsidRPr="00AC2741" w:rsidRDefault="00222757" w:rsidP="00222757">
      <w:pPr>
        <w:widowControl w:val="0"/>
        <w:autoSpaceDE w:val="0"/>
        <w:autoSpaceDN w:val="0"/>
        <w:adjustRightInd w:val="0"/>
        <w:spacing w:line="276" w:lineRule="auto"/>
        <w:ind w:left="567" w:right="618"/>
        <w:jc w:val="both"/>
        <w:rPr>
          <w:rFonts w:ascii="Palatino Linotype" w:hAnsi="Palatino Linotype" w:cs="Arial"/>
          <w:i/>
          <w:sz w:val="22"/>
          <w:szCs w:val="22"/>
          <w:lang w:val="es-ES_tradnl"/>
        </w:rPr>
      </w:pPr>
      <w:r w:rsidRPr="00AC2741">
        <w:rPr>
          <w:rFonts w:ascii="Palatino Linotype" w:hAnsi="Palatino Linotype" w:cs="Arial"/>
          <w:i/>
          <w:sz w:val="22"/>
          <w:szCs w:val="22"/>
          <w:lang w:val="es-ES_tradnl"/>
        </w:rPr>
        <w:t>V. Quede sin materia el recurso de revisión</w:t>
      </w:r>
    </w:p>
    <w:p w14:paraId="252ACB79" w14:textId="77777777" w:rsidR="00222757" w:rsidRPr="00AC2741" w:rsidRDefault="00222757" w:rsidP="00222757">
      <w:pPr>
        <w:widowControl w:val="0"/>
        <w:autoSpaceDE w:val="0"/>
        <w:autoSpaceDN w:val="0"/>
        <w:adjustRightInd w:val="0"/>
        <w:spacing w:line="276" w:lineRule="auto"/>
        <w:jc w:val="both"/>
        <w:rPr>
          <w:rFonts w:ascii="Palatino Linotype" w:hAnsi="Palatino Linotype" w:cs="Arial"/>
          <w:sz w:val="22"/>
          <w:szCs w:val="22"/>
          <w:lang w:val="es-ES_tradnl"/>
        </w:rPr>
      </w:pPr>
    </w:p>
    <w:p w14:paraId="75CCAE5B" w14:textId="05601EBF" w:rsidR="00222757" w:rsidRPr="00AC2741" w:rsidRDefault="00222757" w:rsidP="00222757">
      <w:pPr>
        <w:widowControl w:val="0"/>
        <w:autoSpaceDE w:val="0"/>
        <w:autoSpaceDN w:val="0"/>
        <w:adjustRightInd w:val="0"/>
        <w:spacing w:line="360" w:lineRule="auto"/>
        <w:jc w:val="both"/>
        <w:rPr>
          <w:rFonts w:ascii="Palatino Linotype" w:hAnsi="Palatino Linotype" w:cs="Arial"/>
          <w:sz w:val="22"/>
          <w:szCs w:val="22"/>
        </w:rPr>
      </w:pPr>
      <w:r w:rsidRPr="00AC2741">
        <w:rPr>
          <w:rFonts w:ascii="Palatino Linotype" w:hAnsi="Palatino Linotype" w:cs="Arial"/>
          <w:sz w:val="22"/>
          <w:szCs w:val="22"/>
        </w:rPr>
        <w:t xml:space="preserve">Del análisis  realizado por este Instituto, no se actualiza ninguna de las causales de sobreseimiento mencionadas; ya que la parte </w:t>
      </w:r>
      <w:r w:rsidRPr="00AC2741">
        <w:rPr>
          <w:rFonts w:ascii="Palatino Linotype" w:hAnsi="Palatino Linotype" w:cs="Arial"/>
          <w:b/>
          <w:sz w:val="22"/>
          <w:szCs w:val="22"/>
        </w:rPr>
        <w:t>Recurrente</w:t>
      </w:r>
      <w:r w:rsidRPr="00AC2741">
        <w:rPr>
          <w:rFonts w:ascii="Palatino Linotype" w:hAnsi="Palatino Linotype" w:cs="Arial"/>
          <w:sz w:val="22"/>
          <w:szCs w:val="22"/>
        </w:rPr>
        <w:t xml:space="preserve"> no se ha desistido del recurso, no existe constancia que permita inferir que el particular haya fallecido; asimismo, no se advierte que el recurso de revisión actualice alguna causal de improcedencia establecida en el</w:t>
      </w:r>
      <w:r w:rsidR="00035DEB" w:rsidRPr="00AC2741">
        <w:rPr>
          <w:rFonts w:ascii="Palatino Linotype" w:hAnsi="Palatino Linotype" w:cs="Arial"/>
          <w:sz w:val="22"/>
          <w:szCs w:val="22"/>
        </w:rPr>
        <w:t xml:space="preserve"> artículo 104</w:t>
      </w:r>
      <w:r w:rsidRPr="00AC2741">
        <w:rPr>
          <w:rFonts w:ascii="Palatino Linotype" w:hAnsi="Palatino Linotype" w:cs="Arial"/>
          <w:sz w:val="22"/>
          <w:szCs w:val="22"/>
        </w:rPr>
        <w:t>, de la Ley citada, asimismo el responsable no modificó su respuesta de tal manera que haya dejado sin materia el presente recurso de revisión ni que se haya quedado sin materia por alguna otra circunstancia, siendo oportuno entrar al estudio de fondo del presente asunto.</w:t>
      </w:r>
    </w:p>
    <w:p w14:paraId="4936192C"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69A95D01" w14:textId="35D08B15" w:rsidR="00035DEB" w:rsidRPr="00AC2741" w:rsidRDefault="00035DEB" w:rsidP="00035DEB">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bookmarkStart w:id="8" w:name="_heading=h.1ex1ok8a6wp" w:colFirst="0" w:colLast="0"/>
      <w:bookmarkEnd w:id="8"/>
      <w:r w:rsidRPr="00AC2741">
        <w:rPr>
          <w:rFonts w:ascii="Palatino Linotype" w:eastAsia="Palatino Linotype" w:hAnsi="Palatino Linotype" w:cs="Palatino Linotype"/>
          <w:b/>
          <w:sz w:val="22"/>
          <w:szCs w:val="22"/>
        </w:rPr>
        <w:t xml:space="preserve">Cuarto. Estudio de fondo del asunto. </w:t>
      </w:r>
      <w:r w:rsidRPr="00AC2741">
        <w:rPr>
          <w:rFonts w:ascii="Palatino Linotype" w:eastAsia="Palatino Linotype" w:hAnsi="Palatino Linotype" w:cs="Palatino Linotype"/>
          <w:sz w:val="22"/>
          <w:szCs w:val="22"/>
        </w:rPr>
        <w:t xml:space="preserve">En primer término, es de señalar que el ejercicio de los derechos de acceso, rectificación, cancelación y oposición, ARCO, se encuentra regulado por el artículo 6 apartado A, y 16 segundo párrafo de la Constitución de los Estados Unidos Mexicanos, los cuales establecen lo siguiente: </w:t>
      </w:r>
    </w:p>
    <w:p w14:paraId="2161E9E0" w14:textId="77777777" w:rsidR="00035DEB" w:rsidRPr="00AC2741" w:rsidRDefault="00035DEB" w:rsidP="00035DEB">
      <w:pPr>
        <w:tabs>
          <w:tab w:val="left" w:pos="7797"/>
          <w:tab w:val="left" w:pos="7938"/>
        </w:tabs>
        <w:spacing w:before="120" w:after="120"/>
        <w:ind w:left="567" w:right="900"/>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r w:rsidRPr="00AC2741">
        <w:rPr>
          <w:rFonts w:ascii="Palatino Linotype" w:eastAsia="Palatino Linotype" w:hAnsi="Palatino Linotype" w:cs="Palatino Linotype"/>
          <w:b/>
          <w:i/>
          <w:sz w:val="22"/>
          <w:szCs w:val="22"/>
        </w:rPr>
        <w:t>Artículo 6o.</w:t>
      </w:r>
    </w:p>
    <w:p w14:paraId="4455E92D" w14:textId="77777777" w:rsidR="00035DEB" w:rsidRPr="00AC2741" w:rsidRDefault="00035DEB" w:rsidP="00035DEB">
      <w:pPr>
        <w:tabs>
          <w:tab w:val="left" w:pos="7797"/>
          <w:tab w:val="left" w:pos="7938"/>
        </w:tabs>
        <w:spacing w:before="120" w:after="120"/>
        <w:ind w:left="567" w:right="900"/>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p>
    <w:p w14:paraId="2EDF4308" w14:textId="77777777" w:rsidR="00035DEB" w:rsidRPr="00AC2741" w:rsidRDefault="00035DEB" w:rsidP="00035DEB">
      <w:pPr>
        <w:pBdr>
          <w:top w:val="nil"/>
          <w:left w:val="nil"/>
          <w:bottom w:val="nil"/>
          <w:right w:val="nil"/>
          <w:between w:val="nil"/>
        </w:pBdr>
        <w:tabs>
          <w:tab w:val="left" w:pos="7513"/>
          <w:tab w:val="left" w:pos="7797"/>
          <w:tab w:val="left" w:pos="7938"/>
        </w:tabs>
        <w:spacing w:before="120" w:after="120"/>
        <w:ind w:left="567" w:right="900"/>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A. Para el ejercicio del derecho de acceso a la información, la Federación y las entidades federativas, en el ámbito de sus respectivas competencias, se regirán por los siguientes principios y bases:</w:t>
      </w:r>
    </w:p>
    <w:p w14:paraId="461B6206" w14:textId="77777777" w:rsidR="00035DEB" w:rsidRPr="00AC2741" w:rsidRDefault="00035DEB" w:rsidP="00035DEB">
      <w:pPr>
        <w:pBdr>
          <w:top w:val="nil"/>
          <w:left w:val="nil"/>
          <w:bottom w:val="nil"/>
          <w:right w:val="nil"/>
          <w:between w:val="nil"/>
        </w:pBdr>
        <w:tabs>
          <w:tab w:val="left" w:pos="7797"/>
          <w:tab w:val="left" w:pos="7938"/>
        </w:tabs>
        <w:spacing w:before="120" w:after="120"/>
        <w:ind w:left="567" w:right="900"/>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p>
    <w:p w14:paraId="238C4B09" w14:textId="77777777" w:rsidR="00035DEB" w:rsidRPr="00AC2741" w:rsidRDefault="00035DEB" w:rsidP="00035DEB">
      <w:pPr>
        <w:tabs>
          <w:tab w:val="left" w:pos="851"/>
          <w:tab w:val="left" w:pos="7797"/>
          <w:tab w:val="left" w:pos="7938"/>
        </w:tabs>
        <w:spacing w:before="120" w:after="120"/>
        <w:ind w:left="567" w:right="900"/>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 xml:space="preserve">II. </w:t>
      </w:r>
      <w:r w:rsidRPr="00AC2741">
        <w:rPr>
          <w:rFonts w:ascii="Palatino Linotype" w:eastAsia="Palatino Linotype" w:hAnsi="Palatino Linotype" w:cs="Palatino Linotype"/>
          <w:b/>
          <w:i/>
          <w:sz w:val="22"/>
          <w:szCs w:val="22"/>
        </w:rPr>
        <w:t xml:space="preserve">La información que se refiere a la vida privada y los datos personales será protegida </w:t>
      </w:r>
      <w:r w:rsidRPr="00AC2741">
        <w:rPr>
          <w:rFonts w:ascii="Palatino Linotype" w:eastAsia="Palatino Linotype" w:hAnsi="Palatino Linotype" w:cs="Palatino Linotype"/>
          <w:i/>
          <w:sz w:val="22"/>
          <w:szCs w:val="22"/>
        </w:rPr>
        <w:t>en los términos y con las excepciones que fijen las leyes.</w:t>
      </w:r>
    </w:p>
    <w:p w14:paraId="58275D5A" w14:textId="77777777" w:rsidR="00035DEB" w:rsidRPr="00AC2741" w:rsidRDefault="00035DEB" w:rsidP="00035DEB">
      <w:pPr>
        <w:tabs>
          <w:tab w:val="left" w:pos="851"/>
          <w:tab w:val="left" w:pos="7797"/>
          <w:tab w:val="left" w:pos="7938"/>
        </w:tabs>
        <w:spacing w:before="120" w:after="120"/>
        <w:ind w:left="567" w:right="900"/>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p>
    <w:p w14:paraId="58965A1C" w14:textId="77777777" w:rsidR="00035DEB" w:rsidRPr="00AC2741" w:rsidRDefault="00035DEB" w:rsidP="00035DEB">
      <w:pPr>
        <w:tabs>
          <w:tab w:val="left" w:pos="851"/>
          <w:tab w:val="left" w:pos="7797"/>
          <w:tab w:val="left" w:pos="7938"/>
        </w:tabs>
        <w:spacing w:before="120" w:after="120"/>
        <w:ind w:left="567" w:right="900"/>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i/>
          <w:sz w:val="22"/>
          <w:szCs w:val="22"/>
        </w:rPr>
        <w:t>Artículo 16.</w:t>
      </w:r>
      <w:r w:rsidRPr="00AC2741">
        <w:rPr>
          <w:rFonts w:ascii="Palatino Linotype" w:eastAsia="Palatino Linotype" w:hAnsi="Palatino Linotype" w:cs="Palatino Linotype"/>
          <w:sz w:val="22"/>
          <w:szCs w:val="22"/>
        </w:rPr>
        <w:t xml:space="preserve"> </w:t>
      </w:r>
      <w:r w:rsidRPr="00AC2741">
        <w:rPr>
          <w:rFonts w:ascii="Palatino Linotype" w:eastAsia="Palatino Linotype" w:hAnsi="Palatino Linotype" w:cs="Palatino Linotype"/>
          <w:i/>
          <w:sz w:val="22"/>
          <w:szCs w:val="22"/>
        </w:rPr>
        <w:t xml:space="preserve">[…] </w:t>
      </w:r>
    </w:p>
    <w:p w14:paraId="793531AA" w14:textId="1B0BD9E3" w:rsidR="00035DEB" w:rsidRPr="00AC2741" w:rsidRDefault="00035DEB" w:rsidP="00035DEB">
      <w:pPr>
        <w:tabs>
          <w:tab w:val="left" w:pos="851"/>
          <w:tab w:val="left" w:pos="7797"/>
          <w:tab w:val="left" w:pos="7938"/>
        </w:tabs>
        <w:spacing w:before="120" w:after="120"/>
        <w:ind w:left="567" w:right="900"/>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 xml:space="preserve">Toda persona </w:t>
      </w:r>
      <w:r w:rsidRPr="00AC2741">
        <w:rPr>
          <w:rFonts w:ascii="Palatino Linotype" w:eastAsia="Palatino Linotype" w:hAnsi="Palatino Linotype" w:cs="Palatino Linotype"/>
          <w:b/>
          <w:i/>
          <w:sz w:val="22"/>
          <w:szCs w:val="22"/>
        </w:rPr>
        <w:t xml:space="preserve">tiene derecho a la protección de sus datos personales, al acceso, </w:t>
      </w:r>
      <w:r w:rsidRPr="00AC2741">
        <w:rPr>
          <w:rFonts w:ascii="Palatino Linotype" w:eastAsia="Palatino Linotype" w:hAnsi="Palatino Linotype" w:cs="Palatino Linotype"/>
          <w:i/>
          <w:sz w:val="22"/>
          <w:szCs w:val="22"/>
        </w:rPr>
        <w:t>rectificación y cancelación de los mismos, así</w:t>
      </w:r>
      <w:r w:rsidRPr="00AC2741">
        <w:rPr>
          <w:rFonts w:ascii="Palatino Linotype" w:eastAsia="Palatino Linotype" w:hAnsi="Palatino Linotype" w:cs="Palatino Linotype"/>
          <w:b/>
          <w:i/>
          <w:sz w:val="22"/>
          <w:szCs w:val="22"/>
        </w:rPr>
        <w:t xml:space="preserve"> </w:t>
      </w:r>
      <w:r w:rsidRPr="00AC2741">
        <w:rPr>
          <w:rFonts w:ascii="Palatino Linotype" w:eastAsia="Palatino Linotype" w:hAnsi="Palatino Linotype" w:cs="Palatino Linotype"/>
          <w:i/>
          <w:sz w:val="22"/>
          <w:szCs w:val="22"/>
        </w:rPr>
        <w:t>como a manifestar su oposición, en los términos que fije la ley,</w:t>
      </w:r>
      <w:r w:rsidRPr="00AC2741">
        <w:rPr>
          <w:rFonts w:ascii="Palatino Linotype" w:eastAsia="Palatino Linotype" w:hAnsi="Palatino Linotype" w:cs="Palatino Linotype"/>
          <w:b/>
          <w:i/>
          <w:sz w:val="22"/>
          <w:szCs w:val="22"/>
        </w:rPr>
        <w:t xml:space="preserve"> </w:t>
      </w:r>
      <w:r w:rsidRPr="00AC2741">
        <w:rPr>
          <w:rFonts w:ascii="Palatino Linotype" w:eastAsia="Palatino Linotype" w:hAnsi="Palatino Linotype" w:cs="Palatino Linotype"/>
          <w:i/>
          <w:sz w:val="22"/>
          <w:szCs w:val="22"/>
        </w:rPr>
        <w:t xml:space="preserve">la cual establecerá los supuestos de excepción a los principios que rijan el tratamiento de datos, por razones de seguridad nacional, disposiciones de orden público, seguridad y salud públicas o para proteger los derechos de terceros.” </w:t>
      </w:r>
    </w:p>
    <w:p w14:paraId="08BF3D26" w14:textId="77777777" w:rsidR="00035DEB" w:rsidRPr="00AC2741" w:rsidRDefault="00035DEB" w:rsidP="00035DEB">
      <w:pPr>
        <w:spacing w:before="240" w:after="240"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Derivado de lo anterior, se desprende que </w:t>
      </w:r>
      <w:r w:rsidRPr="00AC2741">
        <w:rPr>
          <w:rFonts w:ascii="Palatino Linotype" w:eastAsia="Palatino Linotype" w:hAnsi="Palatino Linotype" w:cs="Palatino Linotype"/>
          <w:b/>
          <w:sz w:val="22"/>
          <w:szCs w:val="22"/>
        </w:rPr>
        <w:t>la protección de datos personales</w:t>
      </w:r>
      <w:r w:rsidRPr="00AC2741">
        <w:rPr>
          <w:rFonts w:ascii="Palatino Linotype" w:eastAsia="Palatino Linotype" w:hAnsi="Palatino Linotype" w:cs="Palatino Linotype"/>
          <w:sz w:val="22"/>
          <w:szCs w:val="22"/>
        </w:rPr>
        <w:t xml:space="preserve"> es un derecho fundamental, así como la información referente al ámbito privado de las personas, los cuales deben estar protegidos en los términos y con las excepciones a los principios de tratamiento de datos que por razones de orden público fije la ley, por lo que toda persona tiene derecho a la protección de sus datos personales.</w:t>
      </w:r>
    </w:p>
    <w:p w14:paraId="2B998DFB" w14:textId="77777777" w:rsidR="00035DEB" w:rsidRPr="00AC2741" w:rsidRDefault="00035DEB" w:rsidP="00035DEB">
      <w:pPr>
        <w:spacing w:before="240" w:after="240" w:line="360" w:lineRule="auto"/>
        <w:jc w:val="both"/>
        <w:rPr>
          <w:rFonts w:ascii="Palatino Linotype" w:eastAsia="Palatino Linotype" w:hAnsi="Palatino Linotype" w:cs="Palatino Linotype"/>
          <w:b/>
          <w:sz w:val="22"/>
          <w:szCs w:val="22"/>
        </w:rPr>
      </w:pPr>
      <w:r w:rsidRPr="00AC2741">
        <w:rPr>
          <w:rFonts w:ascii="Palatino Linotype" w:eastAsia="Palatino Linotype" w:hAnsi="Palatino Linotype" w:cs="Palatino Linotype"/>
          <w:sz w:val="22"/>
          <w:szCs w:val="22"/>
        </w:rPr>
        <w:t>Ante tal premisa se puede apreciar que la inclusión</w:t>
      </w:r>
      <w:r w:rsidRPr="00AC2741">
        <w:rPr>
          <w:rFonts w:ascii="Palatino Linotype" w:eastAsia="Palatino Linotype" w:hAnsi="Palatino Linotype" w:cs="Palatino Linotype"/>
          <w:b/>
          <w:sz w:val="22"/>
          <w:szCs w:val="22"/>
        </w:rPr>
        <w:t xml:space="preserve"> del derecho al acceso de datos personales en nuestra Constitución permite que cualquier persona -titular de datos personales obtenga la protección en esta materia.</w:t>
      </w:r>
    </w:p>
    <w:p w14:paraId="3CE8B259" w14:textId="77777777" w:rsidR="00035DEB" w:rsidRPr="00AC2741" w:rsidRDefault="00035DEB" w:rsidP="00035DEB">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En este sentido, la Ley de Protección de Datos Personales en Posesión de Sujetos Obligados del Estado de México y Municipios, señala expresamente que:</w:t>
      </w:r>
    </w:p>
    <w:p w14:paraId="460EC3D8" w14:textId="77777777" w:rsidR="00035DEB" w:rsidRPr="00AC2741" w:rsidRDefault="00035DEB" w:rsidP="00035DEB">
      <w:pPr>
        <w:spacing w:before="120" w:after="120"/>
        <w:ind w:left="567" w:right="1185"/>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r w:rsidRPr="00AC2741">
        <w:rPr>
          <w:rFonts w:ascii="Palatino Linotype" w:eastAsia="Palatino Linotype" w:hAnsi="Palatino Linotype" w:cs="Palatino Linotype"/>
          <w:b/>
          <w:i/>
          <w:sz w:val="22"/>
          <w:szCs w:val="22"/>
        </w:rPr>
        <w:t>Artículo 4</w:t>
      </w:r>
      <w:r w:rsidRPr="00AC2741">
        <w:rPr>
          <w:rFonts w:ascii="Palatino Linotype" w:eastAsia="Palatino Linotype" w:hAnsi="Palatino Linotype" w:cs="Palatino Linotype"/>
          <w:i/>
          <w:sz w:val="22"/>
          <w:szCs w:val="22"/>
        </w:rPr>
        <w:t>. Para los efectos de esta Ley se entenderá por:</w:t>
      </w:r>
    </w:p>
    <w:p w14:paraId="3F7C0232" w14:textId="77777777" w:rsidR="00035DEB" w:rsidRPr="00AC2741" w:rsidRDefault="00035DEB" w:rsidP="00035DEB">
      <w:pPr>
        <w:spacing w:before="120" w:after="120"/>
        <w:ind w:left="567" w:right="1185"/>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p>
    <w:p w14:paraId="136D1202" w14:textId="77777777" w:rsidR="00035DEB" w:rsidRPr="00AC2741" w:rsidRDefault="00035DEB" w:rsidP="00035DEB">
      <w:pPr>
        <w:spacing w:before="120" w:after="120"/>
        <w:ind w:left="567" w:right="1185"/>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b/>
          <w:i/>
          <w:sz w:val="22"/>
          <w:szCs w:val="22"/>
        </w:rPr>
        <w:t>XI.</w:t>
      </w:r>
      <w:r w:rsidRPr="00AC2741">
        <w:rPr>
          <w:rFonts w:ascii="Palatino Linotype" w:eastAsia="Palatino Linotype" w:hAnsi="Palatino Linotype" w:cs="Palatino Linotype"/>
          <w:i/>
          <w:sz w:val="22"/>
          <w:szCs w:val="22"/>
        </w:rPr>
        <w:t xml:space="preserve"> </w:t>
      </w:r>
      <w:r w:rsidRPr="00AC2741">
        <w:rPr>
          <w:rFonts w:ascii="Palatino Linotype" w:eastAsia="Palatino Linotype" w:hAnsi="Palatino Linotype" w:cs="Palatino Linotype"/>
          <w:b/>
          <w:i/>
          <w:sz w:val="22"/>
          <w:szCs w:val="22"/>
        </w:rPr>
        <w:t>Datos personales</w:t>
      </w:r>
      <w:r w:rsidRPr="00AC2741">
        <w:rPr>
          <w:rFonts w:ascii="Palatino Linotype" w:eastAsia="Palatino Linotype" w:hAnsi="Palatino Linotype" w:cs="Palatino Linotype"/>
          <w:i/>
          <w:sz w:val="22"/>
          <w:szCs w:val="22"/>
        </w:rPr>
        <w:t>: a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w:t>
      </w:r>
    </w:p>
    <w:p w14:paraId="5A588209" w14:textId="77777777" w:rsidR="00035DEB" w:rsidRPr="00AC2741" w:rsidRDefault="00035DEB" w:rsidP="00035DEB">
      <w:pPr>
        <w:spacing w:before="120" w:after="120"/>
        <w:ind w:left="567" w:right="1185"/>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p>
    <w:p w14:paraId="10816CAA" w14:textId="77777777" w:rsidR="00035DEB" w:rsidRPr="00AC2741" w:rsidRDefault="00035DEB" w:rsidP="00035DEB">
      <w:pPr>
        <w:spacing w:before="120" w:after="120"/>
        <w:ind w:left="567" w:right="1185"/>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b/>
          <w:i/>
          <w:sz w:val="22"/>
          <w:szCs w:val="22"/>
        </w:rPr>
        <w:t>XIII.</w:t>
      </w:r>
      <w:r w:rsidRPr="00AC2741">
        <w:rPr>
          <w:rFonts w:ascii="Palatino Linotype" w:eastAsia="Palatino Linotype" w:hAnsi="Palatino Linotype" w:cs="Palatino Linotype"/>
          <w:i/>
          <w:sz w:val="22"/>
          <w:szCs w:val="22"/>
        </w:rPr>
        <w:t xml:space="preserve"> </w:t>
      </w:r>
      <w:r w:rsidRPr="00AC2741">
        <w:rPr>
          <w:rFonts w:ascii="Palatino Linotype" w:eastAsia="Palatino Linotype" w:hAnsi="Palatino Linotype" w:cs="Palatino Linotype"/>
          <w:b/>
          <w:i/>
          <w:sz w:val="22"/>
          <w:szCs w:val="22"/>
        </w:rPr>
        <w:t>Derechos ARCO:</w:t>
      </w:r>
      <w:r w:rsidRPr="00AC2741">
        <w:rPr>
          <w:rFonts w:ascii="Palatino Linotype" w:eastAsia="Palatino Linotype" w:hAnsi="Palatino Linotype" w:cs="Palatino Linotype"/>
          <w:i/>
          <w:sz w:val="22"/>
          <w:szCs w:val="22"/>
        </w:rPr>
        <w:t xml:space="preserve"> a los derechos de Acceso, Rectificación, Cancelación y Oposición al tratamiento de datos personales.</w:t>
      </w:r>
    </w:p>
    <w:p w14:paraId="50325D9E" w14:textId="77777777" w:rsidR="00035DEB" w:rsidRPr="00AC2741" w:rsidRDefault="00035DEB" w:rsidP="00035DEB">
      <w:pPr>
        <w:spacing w:before="120" w:after="120"/>
        <w:ind w:left="567" w:right="1185"/>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p>
    <w:p w14:paraId="373E6884" w14:textId="77777777" w:rsidR="00035DEB" w:rsidRPr="00AC2741" w:rsidRDefault="00035DEB" w:rsidP="00035DEB">
      <w:pPr>
        <w:spacing w:before="120" w:after="120"/>
        <w:ind w:left="567" w:right="1185"/>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b/>
          <w:i/>
          <w:sz w:val="22"/>
          <w:szCs w:val="22"/>
        </w:rPr>
        <w:t>XLI. Responsable: a los sujetos obligados a que se refiere la presente Ley que deciden sobre el tratamiento de los datos personales</w:t>
      </w:r>
      <w:r w:rsidRPr="00AC2741">
        <w:rPr>
          <w:rFonts w:ascii="Palatino Linotype" w:eastAsia="Palatino Linotype" w:hAnsi="Palatino Linotype" w:cs="Palatino Linotype"/>
          <w:i/>
          <w:sz w:val="22"/>
          <w:szCs w:val="22"/>
        </w:rPr>
        <w:t>.</w:t>
      </w:r>
    </w:p>
    <w:p w14:paraId="703C5BEE" w14:textId="77777777" w:rsidR="00035DEB" w:rsidRPr="00AC2741" w:rsidRDefault="00035DEB" w:rsidP="00035DEB">
      <w:pPr>
        <w:spacing w:before="120" w:after="120"/>
        <w:ind w:left="567" w:right="1185"/>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p>
    <w:p w14:paraId="569F9A58" w14:textId="77777777" w:rsidR="00035DEB" w:rsidRPr="00AC2741" w:rsidRDefault="00035DEB" w:rsidP="00035DEB">
      <w:pPr>
        <w:spacing w:before="120" w:after="120"/>
        <w:ind w:left="567" w:right="1185"/>
        <w:jc w:val="both"/>
        <w:rPr>
          <w:rFonts w:ascii="Palatino Linotype" w:eastAsia="Palatino Linotype" w:hAnsi="Palatino Linotype" w:cs="Palatino Linotype"/>
          <w:b/>
          <w:i/>
          <w:sz w:val="22"/>
          <w:szCs w:val="22"/>
          <w:u w:val="single"/>
        </w:rPr>
      </w:pPr>
      <w:r w:rsidRPr="00AC2741">
        <w:rPr>
          <w:rFonts w:ascii="Palatino Linotype" w:eastAsia="Palatino Linotype" w:hAnsi="Palatino Linotype" w:cs="Palatino Linotype"/>
          <w:b/>
          <w:i/>
          <w:sz w:val="22"/>
          <w:szCs w:val="22"/>
        </w:rPr>
        <w:t>L. Tratamiento: a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r w:rsidRPr="00AC2741">
        <w:rPr>
          <w:rFonts w:ascii="Palatino Linotype" w:eastAsia="Palatino Linotype" w:hAnsi="Palatino Linotype" w:cs="Palatino Linotype"/>
          <w:b/>
          <w:i/>
          <w:sz w:val="22"/>
          <w:szCs w:val="22"/>
          <w:u w:val="single"/>
        </w:rPr>
        <w:t>.</w:t>
      </w:r>
    </w:p>
    <w:p w14:paraId="43F0F690" w14:textId="77777777" w:rsidR="00035DEB" w:rsidRPr="00AC2741" w:rsidRDefault="00035DEB" w:rsidP="00035DEB">
      <w:pPr>
        <w:spacing w:before="120" w:after="120"/>
        <w:ind w:left="567" w:right="1185"/>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p>
    <w:p w14:paraId="0E2FCEED" w14:textId="019392A8" w:rsidR="00035DEB" w:rsidRPr="00AC2741" w:rsidRDefault="00035DEB" w:rsidP="00035DEB">
      <w:pPr>
        <w:spacing w:before="120" w:after="120"/>
        <w:ind w:left="567" w:right="1185"/>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b/>
          <w:i/>
          <w:sz w:val="22"/>
          <w:szCs w:val="22"/>
        </w:rPr>
        <w:t>Artículo 98. El titular tiene derecho a</w:t>
      </w:r>
      <w:r w:rsidRPr="00AC2741">
        <w:rPr>
          <w:rFonts w:ascii="Palatino Linotype" w:eastAsia="Palatino Linotype" w:hAnsi="Palatino Linotype" w:cs="Palatino Linotype"/>
          <w:i/>
          <w:sz w:val="22"/>
          <w:szCs w:val="22"/>
        </w:rPr>
        <w:t xml:space="preserve"> acceder, </w:t>
      </w:r>
      <w:r w:rsidRPr="00AC2741">
        <w:rPr>
          <w:rFonts w:ascii="Palatino Linotype" w:eastAsia="Palatino Linotype" w:hAnsi="Palatino Linotype" w:cs="Palatino Linotype"/>
          <w:b/>
          <w:i/>
          <w:sz w:val="22"/>
          <w:szCs w:val="22"/>
        </w:rPr>
        <w:t>solicitar y ser informado sobre sus datos personales en posesión de los sujetos obligados</w:t>
      </w:r>
      <w:r w:rsidRPr="00AC2741">
        <w:rPr>
          <w:rFonts w:ascii="Palatino Linotype" w:eastAsia="Palatino Linotype" w:hAnsi="Palatino Linotype" w:cs="Palatino Linotype"/>
          <w:i/>
          <w:sz w:val="22"/>
          <w:szCs w:val="22"/>
        </w:rPr>
        <w:t xml:space="preserve">, </w:t>
      </w:r>
      <w:r w:rsidRPr="00AC2741">
        <w:rPr>
          <w:rFonts w:ascii="Palatino Linotype" w:eastAsia="Palatino Linotype" w:hAnsi="Palatino Linotype" w:cs="Palatino Linotype"/>
          <w:b/>
          <w:i/>
          <w:sz w:val="22"/>
          <w:szCs w:val="22"/>
        </w:rPr>
        <w:t>así como la información relacionada con las condiciones y generalidades de su tratamiento, tales como el origen de los datos, las condiciones del tratamiento del cual sean objeto</w:t>
      </w:r>
      <w:r w:rsidRPr="00AC2741">
        <w:rPr>
          <w:rFonts w:ascii="Palatino Linotype" w:eastAsia="Palatino Linotype" w:hAnsi="Palatino Linotype" w:cs="Palatino Linotype"/>
          <w:i/>
          <w:sz w:val="22"/>
          <w:szCs w:val="22"/>
        </w:rPr>
        <w:t xml:space="preserve">, </w:t>
      </w:r>
      <w:r w:rsidRPr="00AC2741">
        <w:rPr>
          <w:rFonts w:ascii="Palatino Linotype" w:eastAsia="Palatino Linotype" w:hAnsi="Palatino Linotype" w:cs="Palatino Linotype"/>
          <w:b/>
          <w:i/>
          <w:sz w:val="22"/>
          <w:szCs w:val="22"/>
        </w:rPr>
        <w:t>las cesiones realizadas o que se pretendan realizar,</w:t>
      </w:r>
      <w:r w:rsidRPr="00AC2741">
        <w:rPr>
          <w:rFonts w:ascii="Palatino Linotype" w:eastAsia="Palatino Linotype" w:hAnsi="Palatino Linotype" w:cs="Palatino Linotype"/>
          <w:i/>
          <w:sz w:val="22"/>
          <w:szCs w:val="22"/>
        </w:rPr>
        <w:t xml:space="preserve"> así como tener acceso al aviso de privacidad al que está sujeto</w:t>
      </w:r>
      <w:r w:rsidRPr="00AC2741">
        <w:t xml:space="preserve"> </w:t>
      </w:r>
      <w:r w:rsidRPr="00AC2741">
        <w:rPr>
          <w:rFonts w:ascii="Palatino Linotype" w:eastAsia="Palatino Linotype" w:hAnsi="Palatino Linotype" w:cs="Palatino Linotype"/>
          <w:i/>
          <w:sz w:val="22"/>
          <w:szCs w:val="22"/>
        </w:rPr>
        <w:t>el tratamiento y a cualquier otra generalidad del tratamiento, en los términos previstos en la Ley.</w:t>
      </w:r>
      <w:r w:rsidRPr="00AC2741">
        <w:rPr>
          <w:rFonts w:ascii="Palatino Linotype" w:eastAsia="Palatino Linotype" w:hAnsi="Palatino Linotype" w:cs="Palatino Linotype"/>
          <w:b/>
          <w:i/>
          <w:sz w:val="22"/>
          <w:szCs w:val="22"/>
        </w:rPr>
        <w:t xml:space="preserve">” </w:t>
      </w:r>
    </w:p>
    <w:p w14:paraId="5B22210E"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En función de la normativa señalada, se desprenden las premisas siguientes:</w:t>
      </w:r>
    </w:p>
    <w:p w14:paraId="475AF073" w14:textId="77777777" w:rsidR="00035DEB" w:rsidRPr="00AC2741" w:rsidRDefault="00035DEB" w:rsidP="00035DEB">
      <w:pPr>
        <w:tabs>
          <w:tab w:val="left" w:pos="2410"/>
        </w:tabs>
        <w:spacing w:line="360" w:lineRule="auto"/>
        <w:jc w:val="both"/>
        <w:rPr>
          <w:rFonts w:ascii="Palatino Linotype" w:eastAsia="Palatino Linotype" w:hAnsi="Palatino Linotype" w:cs="Palatino Linotype"/>
          <w:i/>
          <w:sz w:val="22"/>
          <w:szCs w:val="22"/>
        </w:rPr>
      </w:pPr>
    </w:p>
    <w:p w14:paraId="06C747DE"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Primero, por datos personales se entenderá la información concerniente a una persona física identificada o identificable; y que se considera que una persona es </w:t>
      </w:r>
      <w:r w:rsidRPr="00AC2741">
        <w:rPr>
          <w:rFonts w:ascii="Palatino Linotype" w:eastAsia="Palatino Linotype" w:hAnsi="Palatino Linotype" w:cs="Palatino Linotype"/>
          <w:b/>
          <w:sz w:val="22"/>
          <w:szCs w:val="22"/>
        </w:rPr>
        <w:t>identificable cuando su identidad pueda determinarse directa o indirectamente a través de cualquier información</w:t>
      </w:r>
      <w:r w:rsidRPr="00AC2741">
        <w:rPr>
          <w:rFonts w:ascii="Palatino Linotype" w:eastAsia="Palatino Linotype" w:hAnsi="Palatino Linotype" w:cs="Palatino Linotype"/>
          <w:sz w:val="22"/>
          <w:szCs w:val="22"/>
        </w:rPr>
        <w:t>.</w:t>
      </w:r>
    </w:p>
    <w:p w14:paraId="261CCC31"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p>
    <w:p w14:paraId="39D244A6"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De igual manera, se destaca que en todo momento el </w:t>
      </w:r>
      <w:r w:rsidRPr="00AC2741">
        <w:rPr>
          <w:rFonts w:ascii="Palatino Linotype" w:eastAsia="Palatino Linotype" w:hAnsi="Palatino Linotype" w:cs="Palatino Linotype"/>
          <w:b/>
          <w:sz w:val="22"/>
          <w:szCs w:val="22"/>
        </w:rPr>
        <w:t>titular podrá solicitar al responsable</w:t>
      </w:r>
      <w:r w:rsidRPr="00AC2741">
        <w:rPr>
          <w:rFonts w:ascii="Palatino Linotype" w:eastAsia="Palatino Linotype" w:hAnsi="Palatino Linotype" w:cs="Palatino Linotype"/>
          <w:sz w:val="22"/>
          <w:szCs w:val="22"/>
        </w:rPr>
        <w:t xml:space="preserve">, el acceso, rectificación, cancelación u </w:t>
      </w:r>
      <w:r w:rsidRPr="00AC2741">
        <w:rPr>
          <w:rFonts w:ascii="Palatino Linotype" w:eastAsia="Palatino Linotype" w:hAnsi="Palatino Linotype" w:cs="Palatino Linotype"/>
          <w:b/>
          <w:sz w:val="22"/>
          <w:szCs w:val="22"/>
        </w:rPr>
        <w:t xml:space="preserve">oposición </w:t>
      </w:r>
      <w:r w:rsidRPr="00AC2741">
        <w:rPr>
          <w:rFonts w:ascii="Palatino Linotype" w:eastAsia="Palatino Linotype" w:hAnsi="Palatino Linotype" w:cs="Palatino Linotype"/>
          <w:sz w:val="22"/>
          <w:szCs w:val="22"/>
        </w:rPr>
        <w:t>-derechos ARCO- al tratamiento de los datos personales que le conciernen.</w:t>
      </w:r>
    </w:p>
    <w:p w14:paraId="52A06DC5"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p>
    <w:p w14:paraId="6F9FF3C2"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En la</w:t>
      </w:r>
      <w:r w:rsidRPr="00AC2741">
        <w:rPr>
          <w:rFonts w:ascii="Palatino Linotype" w:eastAsia="Palatino Linotype" w:hAnsi="Palatino Linotype" w:cs="Palatino Linotype"/>
          <w:b/>
          <w:sz w:val="22"/>
          <w:szCs w:val="22"/>
        </w:rPr>
        <w:t xml:space="preserve"> recepción y trámite </w:t>
      </w:r>
      <w:r w:rsidRPr="00AC2741">
        <w:rPr>
          <w:rFonts w:ascii="Palatino Linotype" w:eastAsia="Palatino Linotype" w:hAnsi="Palatino Linotype" w:cs="Palatino Linotype"/>
          <w:sz w:val="22"/>
          <w:szCs w:val="22"/>
        </w:rPr>
        <w:t>de las solicitudes de ejercicio de los derechos ARCO,</w:t>
      </w:r>
      <w:r w:rsidRPr="00AC2741">
        <w:rPr>
          <w:rFonts w:ascii="Palatino Linotype" w:eastAsia="Palatino Linotype" w:hAnsi="Palatino Linotype" w:cs="Palatino Linotype"/>
          <w:b/>
          <w:sz w:val="22"/>
          <w:szCs w:val="22"/>
        </w:rPr>
        <w:t xml:space="preserve"> </w:t>
      </w:r>
      <w:r w:rsidRPr="00AC2741">
        <w:rPr>
          <w:rFonts w:ascii="Palatino Linotype" w:eastAsia="Palatino Linotype" w:hAnsi="Palatino Linotype" w:cs="Palatino Linotype"/>
          <w:sz w:val="22"/>
          <w:szCs w:val="22"/>
        </w:rPr>
        <w:t>que se formulen a los sujetos obligados</w:t>
      </w:r>
      <w:r w:rsidRPr="00AC2741">
        <w:rPr>
          <w:rFonts w:ascii="Palatino Linotype" w:eastAsia="Palatino Linotype" w:hAnsi="Palatino Linotype" w:cs="Palatino Linotype"/>
          <w:b/>
          <w:sz w:val="22"/>
          <w:szCs w:val="22"/>
        </w:rPr>
        <w:t>, se sujetará al procedimiento establecido en el Título Tercero de la Ley General de Protección de Datos Personales en Posesión de Sujetos Obligados</w:t>
      </w:r>
      <w:r w:rsidRPr="00AC2741">
        <w:rPr>
          <w:rFonts w:ascii="Palatino Linotype" w:eastAsia="Palatino Linotype" w:hAnsi="Palatino Linotype" w:cs="Palatino Linotype"/>
          <w:sz w:val="22"/>
          <w:szCs w:val="22"/>
        </w:rPr>
        <w:t xml:space="preserve">, </w:t>
      </w:r>
      <w:r w:rsidRPr="00AC2741">
        <w:rPr>
          <w:rFonts w:ascii="Palatino Linotype" w:eastAsia="Palatino Linotype" w:hAnsi="Palatino Linotype" w:cs="Palatino Linotype"/>
          <w:b/>
          <w:sz w:val="22"/>
          <w:szCs w:val="22"/>
        </w:rPr>
        <w:t>en consonancia con el Título Décimo de la Ley de Protección de Datos Personales en Posesión de Sujetos Obligados del Estado de México y Municipios</w:t>
      </w:r>
      <w:r w:rsidRPr="00AC2741">
        <w:rPr>
          <w:rFonts w:ascii="Palatino Linotype" w:eastAsia="Palatino Linotype" w:hAnsi="Palatino Linotype" w:cs="Palatino Linotype"/>
          <w:sz w:val="22"/>
          <w:szCs w:val="22"/>
        </w:rPr>
        <w:t xml:space="preserve"> y demás disposiciones que resulten aplicables en la materia.</w:t>
      </w:r>
    </w:p>
    <w:p w14:paraId="66574778"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p>
    <w:p w14:paraId="3D5DB94F"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Para el alcance en materia de protección de datos personales, así como para su tratamiento, debemos considerar todas las operaciones efectuadas por los procedimientos manuales o automatizados aplicados a los datos personales, relativas a </w:t>
      </w:r>
      <w:r w:rsidRPr="00AC2741">
        <w:rPr>
          <w:rFonts w:ascii="Palatino Linotype" w:eastAsia="Palatino Linotype" w:hAnsi="Palatino Linotype" w:cs="Palatino Linotype"/>
          <w:b/>
          <w:sz w:val="22"/>
          <w:szCs w:val="22"/>
        </w:rPr>
        <w:t>su obtención</w:t>
      </w:r>
      <w:r w:rsidRPr="00AC2741">
        <w:rPr>
          <w:rFonts w:ascii="Palatino Linotype" w:eastAsia="Palatino Linotype" w:hAnsi="Palatino Linotype" w:cs="Palatino Linotype"/>
          <w:sz w:val="22"/>
          <w:szCs w:val="22"/>
        </w:rPr>
        <w:t xml:space="preserve">, </w:t>
      </w:r>
      <w:r w:rsidRPr="00AC2741">
        <w:rPr>
          <w:rFonts w:ascii="Palatino Linotype" w:eastAsia="Palatino Linotype" w:hAnsi="Palatino Linotype" w:cs="Palatino Linotype"/>
          <w:b/>
          <w:sz w:val="22"/>
          <w:szCs w:val="22"/>
        </w:rPr>
        <w:t>uso, registro, organización, conservación, elaboración, utilización, comunicación, almacenamiento, posesión, acceso, manejo, aprovechamiento divulgación, difusión, transferencia o disposición</w:t>
      </w:r>
      <w:r w:rsidRPr="00AC2741">
        <w:rPr>
          <w:rFonts w:ascii="Palatino Linotype" w:eastAsia="Palatino Linotype" w:hAnsi="Palatino Linotype" w:cs="Palatino Linotype"/>
          <w:sz w:val="22"/>
          <w:szCs w:val="22"/>
        </w:rPr>
        <w:t>.</w:t>
      </w:r>
    </w:p>
    <w:p w14:paraId="4F9AE90F"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p>
    <w:p w14:paraId="04EBCABB"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Es así que, los derechos ARCO es el derecho humano con que cuenta una persona para la protección de sus datos personales, en posesión de Sujetos Obligados y el tratamiento de los mismos deber de sujetarse a los principios de licitud, finalidad, lealtad, consentimiento, calidad, proporcionalidad, información y responsabilidad.</w:t>
      </w:r>
    </w:p>
    <w:p w14:paraId="64CD1916"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p>
    <w:p w14:paraId="2B4840D4" w14:textId="77777777" w:rsidR="00035DEB" w:rsidRPr="00AC2741" w:rsidRDefault="00035DEB" w:rsidP="00035DEB">
      <w:pPr>
        <w:spacing w:line="360" w:lineRule="auto"/>
        <w:jc w:val="both"/>
        <w:rPr>
          <w:rFonts w:ascii="Palatino Linotype" w:eastAsia="Palatino Linotype" w:hAnsi="Palatino Linotype" w:cs="Palatino Linotype"/>
          <w:b/>
          <w:sz w:val="22"/>
          <w:szCs w:val="22"/>
        </w:rPr>
      </w:pPr>
      <w:r w:rsidRPr="00AC2741">
        <w:rPr>
          <w:rFonts w:ascii="Palatino Linotype" w:eastAsia="Palatino Linotype" w:hAnsi="Palatino Linotype" w:cs="Palatino Linotype"/>
          <w:sz w:val="22"/>
          <w:szCs w:val="22"/>
        </w:rPr>
        <w:t>Expuesto lo anterior, se procede al análisis de la totalidad de las constancias que integran los expedientes electrónicos del SARCOEM, con</w:t>
      </w:r>
      <w:r w:rsidRPr="00AC2741">
        <w:rPr>
          <w:rFonts w:ascii="Palatino Linotype" w:eastAsia="Palatino Linotype" w:hAnsi="Palatino Linotype" w:cs="Palatino Linotype"/>
          <w:b/>
          <w:sz w:val="22"/>
          <w:szCs w:val="22"/>
        </w:rPr>
        <w:t xml:space="preserve"> el objeto de determinar si la respuesta del Sujeto Obligado es adecuada y suficiente para satisfacer el derecho de acceso a los datos personales de la parte Recurrente, o en su defecto, en caso de ser procedente, ordenar la entrega de la documentación solicitada. </w:t>
      </w:r>
    </w:p>
    <w:p w14:paraId="0DEBC4B5" w14:textId="77777777" w:rsidR="00035DEB" w:rsidRPr="00AC2741" w:rsidRDefault="00035DEB" w:rsidP="00035DEB">
      <w:pPr>
        <w:spacing w:line="360" w:lineRule="auto"/>
        <w:jc w:val="both"/>
        <w:rPr>
          <w:rFonts w:ascii="Palatino Linotype" w:eastAsia="Palatino Linotype" w:hAnsi="Palatino Linotype" w:cs="Palatino Linotype"/>
          <w:b/>
          <w:sz w:val="22"/>
          <w:szCs w:val="22"/>
        </w:rPr>
      </w:pPr>
    </w:p>
    <w:p w14:paraId="28E6165E" w14:textId="2C9793BA" w:rsidR="00035DEB" w:rsidRPr="00AC2741" w:rsidRDefault="00035DEB" w:rsidP="00035DEB">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Ahora bien, del análisis de la solicitud de acceso a datos personales, que motiva el recurso de revisión que ahora se resuelve, se advierte que </w:t>
      </w:r>
      <w:r w:rsidRPr="00AC2741">
        <w:rPr>
          <w:rFonts w:ascii="Palatino Linotype" w:eastAsia="Palatino Linotype" w:hAnsi="Palatino Linotype" w:cs="Palatino Linotype"/>
          <w:b/>
          <w:sz w:val="22"/>
          <w:szCs w:val="22"/>
        </w:rPr>
        <w:t>la parte</w:t>
      </w:r>
      <w:r w:rsidRPr="00AC2741">
        <w:rPr>
          <w:rFonts w:ascii="Palatino Linotype" w:eastAsia="Palatino Linotype" w:hAnsi="Palatino Linotype" w:cs="Palatino Linotype"/>
          <w:sz w:val="22"/>
          <w:szCs w:val="22"/>
        </w:rPr>
        <w:t xml:space="preserve"> </w:t>
      </w:r>
      <w:r w:rsidRPr="00AC2741">
        <w:rPr>
          <w:rFonts w:ascii="Palatino Linotype" w:eastAsia="Palatino Linotype" w:hAnsi="Palatino Linotype" w:cs="Palatino Linotype"/>
          <w:b/>
          <w:sz w:val="22"/>
          <w:szCs w:val="22"/>
        </w:rPr>
        <w:t>Recurrente</w:t>
      </w:r>
      <w:r w:rsidRPr="00AC2741">
        <w:rPr>
          <w:rFonts w:ascii="Palatino Linotype" w:eastAsia="Palatino Linotype" w:hAnsi="Palatino Linotype" w:cs="Palatino Linotype"/>
          <w:sz w:val="22"/>
          <w:szCs w:val="22"/>
        </w:rPr>
        <w:t xml:space="preserve"> requirió al </w:t>
      </w:r>
      <w:r w:rsidRPr="00AC2741">
        <w:rPr>
          <w:rFonts w:ascii="Palatino Linotype" w:eastAsia="Palatino Linotype" w:hAnsi="Palatino Linotype" w:cs="Palatino Linotype"/>
          <w:b/>
          <w:sz w:val="22"/>
          <w:szCs w:val="22"/>
        </w:rPr>
        <w:t xml:space="preserve">Sujeto Obligado </w:t>
      </w:r>
      <w:r w:rsidRPr="00AC2741">
        <w:rPr>
          <w:rFonts w:ascii="Palatino Linotype" w:eastAsia="Palatino Linotype" w:hAnsi="Palatino Linotype" w:cs="Palatino Linotype"/>
          <w:sz w:val="22"/>
          <w:szCs w:val="22"/>
        </w:rPr>
        <w:t>le proporcione, información consistente en lo siguiente:</w:t>
      </w:r>
    </w:p>
    <w:p w14:paraId="156DEA23" w14:textId="77777777" w:rsidR="00035DEB" w:rsidRPr="00AC2741" w:rsidRDefault="00035DEB" w:rsidP="00035DEB">
      <w:pPr>
        <w:spacing w:line="360" w:lineRule="auto"/>
        <w:jc w:val="both"/>
        <w:rPr>
          <w:rFonts w:ascii="Palatino Linotype" w:eastAsia="Palatino Linotype" w:hAnsi="Palatino Linotype" w:cs="Palatino Linotype"/>
          <w:sz w:val="22"/>
          <w:szCs w:val="22"/>
        </w:rPr>
      </w:pPr>
    </w:p>
    <w:p w14:paraId="34BBEF8C" w14:textId="5DED5BDE" w:rsidR="00035DEB" w:rsidRPr="00AC2741" w:rsidRDefault="00BF69B9" w:rsidP="00BF69B9">
      <w:pPr>
        <w:pStyle w:val="Prrafodelista"/>
        <w:numPr>
          <w:ilvl w:val="0"/>
          <w:numId w:val="9"/>
        </w:numPr>
        <w:spacing w:line="360" w:lineRule="auto"/>
        <w:jc w:val="both"/>
        <w:rPr>
          <w:rFonts w:ascii="Palatino Linotype" w:eastAsia="Palatino Linotype" w:hAnsi="Palatino Linotype" w:cs="Palatino Linotype"/>
          <w:b/>
          <w:sz w:val="22"/>
          <w:szCs w:val="22"/>
        </w:rPr>
      </w:pPr>
      <w:r w:rsidRPr="00AC2741">
        <w:rPr>
          <w:rFonts w:ascii="Palatino Linotype" w:eastAsia="Palatino Linotype" w:hAnsi="Palatino Linotype" w:cs="Palatino Linotype"/>
          <w:b/>
          <w:sz w:val="22"/>
          <w:szCs w:val="22"/>
        </w:rPr>
        <w:t xml:space="preserve">Un informe detallado del </w:t>
      </w:r>
      <w:r w:rsidRPr="00AC2741">
        <w:rPr>
          <w:rFonts w:ascii="Palatino Linotype" w:eastAsia="Palatino Linotype" w:hAnsi="Palatino Linotype" w:cs="Palatino Linotype"/>
          <w:b/>
          <w:sz w:val="22"/>
          <w:szCs w:val="22"/>
          <w:u w:val="single"/>
        </w:rPr>
        <w:t xml:space="preserve">seguimiento otorgado al </w:t>
      </w:r>
      <w:r w:rsidR="003C2D62" w:rsidRPr="00AC2741">
        <w:rPr>
          <w:rFonts w:ascii="Palatino Linotype" w:eastAsia="Palatino Linotype" w:hAnsi="Palatino Linotype" w:cs="Palatino Linotype"/>
          <w:b/>
          <w:sz w:val="22"/>
          <w:szCs w:val="22"/>
          <w:u w:val="single"/>
        </w:rPr>
        <w:t>expediente</w:t>
      </w:r>
      <w:r w:rsidR="003C2D62" w:rsidRPr="00AC2741">
        <w:rPr>
          <w:rFonts w:ascii="Palatino Linotype" w:eastAsia="Palatino Linotype" w:hAnsi="Palatino Linotype" w:cs="Palatino Linotype"/>
          <w:b/>
          <w:sz w:val="22"/>
          <w:szCs w:val="22"/>
        </w:rPr>
        <w:t xml:space="preserve"> señalado en la solicitud</w:t>
      </w:r>
      <w:r w:rsidRPr="00AC2741">
        <w:rPr>
          <w:rFonts w:ascii="Palatino Linotype" w:eastAsia="Palatino Linotype" w:hAnsi="Palatino Linotype" w:cs="Palatino Linotype"/>
          <w:b/>
          <w:i/>
          <w:sz w:val="22"/>
          <w:szCs w:val="22"/>
        </w:rPr>
        <w:t xml:space="preserve">, </w:t>
      </w:r>
      <w:r w:rsidRPr="00AC2741">
        <w:rPr>
          <w:rFonts w:ascii="Palatino Linotype" w:eastAsia="Palatino Linotype" w:hAnsi="Palatino Linotype" w:cs="Palatino Linotype"/>
          <w:b/>
          <w:sz w:val="22"/>
          <w:szCs w:val="22"/>
        </w:rPr>
        <w:t>que contenga el estatus actual, como este se ha notificado a la solicitante, así como la evidencia de las acciones emprendidas contra el organismo involucrado que incurrió en incumplimiento al pago del convenio laboral celebrado, y las sanciones aplicadas.</w:t>
      </w:r>
    </w:p>
    <w:p w14:paraId="7B511EDF"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745F72B1" w14:textId="763231B2" w:rsidR="00D17D65" w:rsidRPr="00AC2741" w:rsidRDefault="003C2D62" w:rsidP="00D17D65">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L</w:t>
      </w:r>
      <w:r w:rsidR="00D17D65" w:rsidRPr="00AC2741">
        <w:rPr>
          <w:rFonts w:ascii="Palatino Linotype" w:eastAsia="Palatino Linotype" w:hAnsi="Palatino Linotype" w:cs="Palatino Linotype"/>
          <w:sz w:val="22"/>
          <w:szCs w:val="22"/>
        </w:rPr>
        <w:t>a persona solicitante adjuntó</w:t>
      </w:r>
      <w:r w:rsidRPr="00AC2741">
        <w:rPr>
          <w:rFonts w:ascii="Palatino Linotype" w:eastAsia="Palatino Linotype" w:hAnsi="Palatino Linotype" w:cs="Palatino Linotype"/>
          <w:sz w:val="22"/>
          <w:szCs w:val="22"/>
        </w:rPr>
        <w:t xml:space="preserve"> a la solicitud de acceso a datos, </w:t>
      </w:r>
      <w:r w:rsidR="00D17D65" w:rsidRPr="00AC2741">
        <w:rPr>
          <w:rFonts w:ascii="Palatino Linotype" w:eastAsia="Palatino Linotype" w:hAnsi="Palatino Linotype" w:cs="Palatino Linotype"/>
          <w:sz w:val="22"/>
          <w:szCs w:val="22"/>
        </w:rPr>
        <w:t>l</w:t>
      </w:r>
      <w:r w:rsidR="00D17D65" w:rsidRPr="00AC2741">
        <w:rPr>
          <w:rFonts w:ascii="Palatino Linotype" w:eastAsia="Calibri" w:hAnsi="Palatino Linotype"/>
          <w:sz w:val="22"/>
          <w:lang w:eastAsia="en-US"/>
        </w:rPr>
        <w:t xml:space="preserve">a primera foja de un Convenio celebrado el 16 de marzo de 2023 entre la persona solicitante y el Apoderado Legal del Ayuntamiento de Toluca, Estado de México, dentro del expediente </w:t>
      </w:r>
      <w:r w:rsidRPr="00AC2741">
        <w:rPr>
          <w:rFonts w:ascii="Palatino Linotype" w:eastAsia="Calibri" w:hAnsi="Palatino Linotype"/>
          <w:sz w:val="22"/>
          <w:lang w:eastAsia="en-US"/>
        </w:rPr>
        <w:t>referido en la solicitud</w:t>
      </w:r>
      <w:r w:rsidR="00D17D65" w:rsidRPr="00AC2741">
        <w:rPr>
          <w:rFonts w:ascii="Palatino Linotype" w:eastAsia="Calibri" w:hAnsi="Palatino Linotype"/>
          <w:sz w:val="22"/>
          <w:lang w:eastAsia="en-US"/>
        </w:rPr>
        <w:t>, con la finalidad de acordar la entrega de un finiquito y prestaciones a que tuvo derecho la particular por haber laborado para dicho ente público.</w:t>
      </w:r>
    </w:p>
    <w:p w14:paraId="3A691763" w14:textId="77777777" w:rsidR="00D17D65" w:rsidRPr="00AC2741" w:rsidRDefault="00D17D65" w:rsidP="00D17D65">
      <w:pPr>
        <w:spacing w:line="360" w:lineRule="auto"/>
        <w:jc w:val="both"/>
        <w:rPr>
          <w:rFonts w:ascii="Palatino Linotype" w:eastAsia="Palatino Linotype" w:hAnsi="Palatino Linotype" w:cs="Palatino Linotype"/>
          <w:sz w:val="22"/>
          <w:szCs w:val="22"/>
        </w:rPr>
      </w:pPr>
    </w:p>
    <w:p w14:paraId="42C98E13" w14:textId="06F2D315" w:rsidR="00D17D65" w:rsidRPr="00AC2741" w:rsidRDefault="00D17D65" w:rsidP="00D17D65">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A lo anterior, el </w:t>
      </w:r>
      <w:r w:rsidRPr="00AC2741">
        <w:rPr>
          <w:rFonts w:ascii="Palatino Linotype" w:eastAsia="Palatino Linotype" w:hAnsi="Palatino Linotype" w:cs="Palatino Linotype"/>
          <w:b/>
          <w:sz w:val="22"/>
          <w:szCs w:val="22"/>
        </w:rPr>
        <w:t xml:space="preserve">Sujeto Obligado </w:t>
      </w:r>
      <w:r w:rsidRPr="00AC2741">
        <w:rPr>
          <w:rFonts w:ascii="Palatino Linotype" w:eastAsia="Palatino Linotype" w:hAnsi="Palatino Linotype" w:cs="Palatino Linotype"/>
          <w:sz w:val="22"/>
          <w:szCs w:val="22"/>
        </w:rPr>
        <w:t>por conducto del Titular de la Unidad de Transparencia se declaró incompetente para conocer de la solicitud de acceso a datos personales, en razón de que si bien el Tribunal Estatal de Conciliación y Arbitraje, bajo el cual se encuentra substanciándose el expediente referido en la solicitud, está sectorizado a la Secretaría del Trabajo, es un órgano autónomo y sujeto obligado diferente, orientando a la particular a dirigir su solicitud ante la Unidad de Transparencia de dicho Tribunal, además de indicar que para ejercer los derechos ARCO, el titular o su representante legal debe acreditar su identidad o representación.</w:t>
      </w:r>
    </w:p>
    <w:p w14:paraId="39CFCA03" w14:textId="70E5A274" w:rsidR="00D17D65" w:rsidRPr="00AC2741" w:rsidRDefault="00D17D65">
      <w:pPr>
        <w:spacing w:line="360" w:lineRule="auto"/>
        <w:jc w:val="both"/>
        <w:rPr>
          <w:rFonts w:ascii="Palatino Linotype" w:eastAsia="Palatino Linotype" w:hAnsi="Palatino Linotype" w:cs="Palatino Linotype"/>
          <w:sz w:val="22"/>
          <w:szCs w:val="22"/>
        </w:rPr>
      </w:pPr>
    </w:p>
    <w:p w14:paraId="73859719" w14:textId="7BE4B7BC" w:rsidR="00D17D65" w:rsidRPr="00AC2741" w:rsidRDefault="0098712E">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Una vez conocida la respuesta, la persona solicitante al no están conforme en los términos de la misma, promovió el presente medio de impugnación, </w:t>
      </w:r>
      <w:r w:rsidRPr="00AC2741">
        <w:rPr>
          <w:rFonts w:ascii="Palatino Linotype" w:eastAsia="Palatino Linotype" w:hAnsi="Palatino Linotype" w:cs="Palatino Linotype"/>
          <w:b/>
          <w:sz w:val="22"/>
          <w:szCs w:val="22"/>
        </w:rPr>
        <w:t xml:space="preserve">señalando como motivos de inconformidad, la declaratoria de incompetencia, en razón de que considera </w:t>
      </w:r>
      <w:r w:rsidR="003C2D62" w:rsidRPr="00AC2741">
        <w:rPr>
          <w:rFonts w:ascii="Palatino Linotype" w:eastAsia="Palatino Linotype" w:hAnsi="Palatino Linotype" w:cs="Palatino Linotype"/>
          <w:b/>
          <w:sz w:val="22"/>
          <w:szCs w:val="22"/>
        </w:rPr>
        <w:t>que,</w:t>
      </w:r>
      <w:r w:rsidRPr="00AC2741">
        <w:rPr>
          <w:rFonts w:ascii="Palatino Linotype" w:eastAsia="Palatino Linotype" w:hAnsi="Palatino Linotype" w:cs="Palatino Linotype"/>
          <w:b/>
          <w:sz w:val="22"/>
          <w:szCs w:val="22"/>
        </w:rPr>
        <w:t xml:space="preserve"> al haberse realizado el convenio ante la Secretaría del Trabajo, esta última debe conocer de lo requerido.</w:t>
      </w:r>
    </w:p>
    <w:p w14:paraId="67029B42" w14:textId="77777777" w:rsidR="00D17D65" w:rsidRPr="00AC2741" w:rsidRDefault="00D17D65">
      <w:pPr>
        <w:spacing w:line="360" w:lineRule="auto"/>
        <w:jc w:val="both"/>
        <w:rPr>
          <w:rFonts w:ascii="Palatino Linotype" w:eastAsia="Palatino Linotype" w:hAnsi="Palatino Linotype" w:cs="Palatino Linotype"/>
          <w:sz w:val="22"/>
          <w:szCs w:val="22"/>
        </w:rPr>
      </w:pPr>
    </w:p>
    <w:p w14:paraId="28379B45" w14:textId="1A8C3C54" w:rsidR="0098712E" w:rsidRPr="00AC2741" w:rsidRDefault="0098712E">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Consecuentemente, de las constancias que obran en el SARCOEM, se advierte que ambas partes fueron omisas en manifestar su voluntad para conciliar; por lo que, se determinó la preclusión de la posibilidad otorgada a las partes para manifestar su voluntad de conciliar; y, se apertura el periodo de manifestaciones.</w:t>
      </w:r>
    </w:p>
    <w:p w14:paraId="10F33038" w14:textId="77777777" w:rsidR="0098712E" w:rsidRPr="00AC2741" w:rsidRDefault="0098712E">
      <w:pPr>
        <w:spacing w:line="360" w:lineRule="auto"/>
        <w:jc w:val="both"/>
        <w:rPr>
          <w:rFonts w:ascii="Palatino Linotype" w:eastAsia="Palatino Linotype" w:hAnsi="Palatino Linotype" w:cs="Palatino Linotype"/>
          <w:sz w:val="22"/>
          <w:szCs w:val="22"/>
        </w:rPr>
      </w:pPr>
    </w:p>
    <w:p w14:paraId="5C8D95AE" w14:textId="2D0DF635" w:rsidR="0098712E" w:rsidRPr="00AC2741" w:rsidRDefault="0098712E">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Asimismo, de las constancias que obran en el expediente en que se actúa, se desprende que las partes fueron omisas en hacer valer manifestaciones que conforme a derecho resultaran procedentes.</w:t>
      </w:r>
    </w:p>
    <w:p w14:paraId="0BAB117E" w14:textId="77777777" w:rsidR="0098712E" w:rsidRPr="00AC2741" w:rsidRDefault="0098712E">
      <w:pPr>
        <w:spacing w:line="360" w:lineRule="auto"/>
        <w:jc w:val="both"/>
        <w:rPr>
          <w:rFonts w:ascii="Palatino Linotype" w:eastAsia="Palatino Linotype" w:hAnsi="Palatino Linotype" w:cs="Palatino Linotype"/>
          <w:sz w:val="22"/>
          <w:szCs w:val="22"/>
        </w:rPr>
      </w:pPr>
    </w:p>
    <w:p w14:paraId="6B87FA2C" w14:textId="02ECD450" w:rsidR="0098712E" w:rsidRPr="00AC2741" w:rsidRDefault="0098712E" w:rsidP="0098712E">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Una vez expuestas las posturas de las partes, se procede al análisis del requerimiento, así como la información proporcionada por el </w:t>
      </w:r>
      <w:r w:rsidRPr="00AC2741">
        <w:rPr>
          <w:rFonts w:ascii="Palatino Linotype" w:eastAsia="Palatino Linotype" w:hAnsi="Palatino Linotype" w:cs="Palatino Linotype"/>
          <w:b/>
          <w:sz w:val="22"/>
          <w:szCs w:val="22"/>
        </w:rPr>
        <w:t xml:space="preserve">Sujeto Obligado, </w:t>
      </w:r>
      <w:r w:rsidRPr="00AC2741">
        <w:rPr>
          <w:rFonts w:ascii="Palatino Linotype" w:eastAsia="Palatino Linotype" w:hAnsi="Palatino Linotype" w:cs="Palatino Linotype"/>
          <w:sz w:val="22"/>
          <w:szCs w:val="22"/>
        </w:rPr>
        <w:t xml:space="preserve">en contraposición con el motivo de inconformidad alegado por la parte </w:t>
      </w:r>
      <w:r w:rsidRPr="00AC2741">
        <w:rPr>
          <w:rFonts w:ascii="Palatino Linotype" w:eastAsia="Palatino Linotype" w:hAnsi="Palatino Linotype" w:cs="Palatino Linotype"/>
          <w:b/>
          <w:sz w:val="22"/>
          <w:szCs w:val="22"/>
        </w:rPr>
        <w:t xml:space="preserve">Recurrente, </w:t>
      </w:r>
      <w:r w:rsidRPr="00AC2741">
        <w:rPr>
          <w:rFonts w:ascii="Palatino Linotype" w:eastAsia="Palatino Linotype" w:hAnsi="Palatino Linotype" w:cs="Palatino Linotype"/>
          <w:sz w:val="22"/>
          <w:szCs w:val="22"/>
        </w:rPr>
        <w:t>con la finalidad de determinar si el Derecho de acceso</w:t>
      </w:r>
      <w:r w:rsidR="003C2D62" w:rsidRPr="00AC2741">
        <w:rPr>
          <w:rFonts w:ascii="Palatino Linotype" w:eastAsia="Palatino Linotype" w:hAnsi="Palatino Linotype" w:cs="Palatino Linotype"/>
          <w:sz w:val="22"/>
          <w:szCs w:val="22"/>
        </w:rPr>
        <w:t xml:space="preserve"> a datos</w:t>
      </w:r>
      <w:r w:rsidRPr="00AC2741">
        <w:rPr>
          <w:rFonts w:ascii="Palatino Linotype" w:eastAsia="Palatino Linotype" w:hAnsi="Palatino Linotype" w:cs="Palatino Linotype"/>
          <w:sz w:val="22"/>
          <w:szCs w:val="22"/>
        </w:rPr>
        <w:t xml:space="preserve"> se satisfizo, o, en su defecto, ordenar el soporte documental correspondiente, en caso de ser procedente.</w:t>
      </w:r>
    </w:p>
    <w:p w14:paraId="06A8D951" w14:textId="77777777" w:rsidR="0098712E" w:rsidRPr="00AC2741" w:rsidRDefault="0098712E" w:rsidP="0098712E">
      <w:pPr>
        <w:spacing w:line="360" w:lineRule="auto"/>
        <w:jc w:val="both"/>
        <w:rPr>
          <w:rFonts w:ascii="Palatino Linotype" w:eastAsia="Palatino Linotype" w:hAnsi="Palatino Linotype" w:cs="Palatino Linotype"/>
          <w:sz w:val="22"/>
          <w:szCs w:val="22"/>
        </w:rPr>
      </w:pPr>
    </w:p>
    <w:p w14:paraId="3D009E62" w14:textId="27E89EB1" w:rsidR="0098712E" w:rsidRPr="00AC2741" w:rsidRDefault="0098712E" w:rsidP="0098712E">
      <w:pPr>
        <w:spacing w:line="360" w:lineRule="auto"/>
        <w:jc w:val="both"/>
        <w:rPr>
          <w:rFonts w:ascii="Palatino Linotype" w:eastAsia="Palatino Linotype" w:hAnsi="Palatino Linotype" w:cs="Palatino Linotype"/>
          <w:sz w:val="22"/>
        </w:rPr>
      </w:pPr>
      <w:r w:rsidRPr="00AC2741">
        <w:rPr>
          <w:rFonts w:ascii="Palatino Linotype" w:eastAsia="Palatino Linotype" w:hAnsi="Palatino Linotype" w:cs="Palatino Linotype"/>
          <w:sz w:val="22"/>
          <w:szCs w:val="22"/>
        </w:rPr>
        <w:t>En ese tenor, t</w:t>
      </w:r>
      <w:r w:rsidRPr="00AC2741">
        <w:rPr>
          <w:rFonts w:ascii="Palatino Linotype" w:eastAsia="Palatino Linotype" w:hAnsi="Palatino Linotype" w:cs="Palatino Linotype"/>
          <w:sz w:val="22"/>
        </w:rPr>
        <w:t xml:space="preserve">oda vez que el </w:t>
      </w:r>
      <w:r w:rsidRPr="00AC2741">
        <w:rPr>
          <w:rFonts w:ascii="Palatino Linotype" w:eastAsia="Palatino Linotype" w:hAnsi="Palatino Linotype" w:cs="Palatino Linotype"/>
          <w:b/>
          <w:sz w:val="22"/>
        </w:rPr>
        <w:t>Sujeto Obligado</w:t>
      </w:r>
      <w:r w:rsidRPr="00AC2741">
        <w:rPr>
          <w:rFonts w:ascii="Palatino Linotype" w:eastAsia="Palatino Linotype" w:hAnsi="Palatino Linotype" w:cs="Palatino Linotype"/>
          <w:sz w:val="22"/>
        </w:rPr>
        <w:t xml:space="preserve"> se declaró incompetente para dar atención a la solicitud </w:t>
      </w:r>
      <w:r w:rsidR="003C2D62" w:rsidRPr="00AC2741">
        <w:rPr>
          <w:rFonts w:ascii="Palatino Linotype" w:eastAsia="Palatino Linotype" w:hAnsi="Palatino Linotype" w:cs="Palatino Linotype"/>
          <w:sz w:val="22"/>
        </w:rPr>
        <w:t>de acceso a datos</w:t>
      </w:r>
      <w:r w:rsidRPr="00AC2741">
        <w:rPr>
          <w:rFonts w:ascii="Palatino Linotype" w:eastAsia="Palatino Linotype" w:hAnsi="Palatino Linotype" w:cs="Palatino Linotype"/>
          <w:sz w:val="22"/>
        </w:rPr>
        <w:t xml:space="preserve"> y que este es el motivo de inconformidad hecho valer por la parte </w:t>
      </w:r>
      <w:r w:rsidRPr="00AC2741">
        <w:rPr>
          <w:rFonts w:ascii="Palatino Linotype" w:eastAsia="Palatino Linotype" w:hAnsi="Palatino Linotype" w:cs="Palatino Linotype"/>
          <w:b/>
          <w:sz w:val="22"/>
        </w:rPr>
        <w:t>Recurrente</w:t>
      </w:r>
      <w:r w:rsidRPr="00AC2741">
        <w:rPr>
          <w:rFonts w:ascii="Palatino Linotype" w:eastAsia="Palatino Linotype" w:hAnsi="Palatino Linotype" w:cs="Palatino Linotype"/>
          <w:sz w:val="22"/>
        </w:rPr>
        <w:t>, se estima necesario abordar, en primera instancia, la competencia de la autoridad emisora del acto impugnado,  por ser una cuestión de orden público y de estudio preferente pues de ella deriva la validez de los actos que se emiten, los cuales las autoridades solo pueden realizar en los términos que les ordena la ley.</w:t>
      </w:r>
    </w:p>
    <w:p w14:paraId="5BC8D9B6" w14:textId="77777777" w:rsidR="0098712E" w:rsidRPr="00AC2741" w:rsidRDefault="0098712E" w:rsidP="0098712E">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rPr>
      </w:pPr>
      <w:r w:rsidRPr="00AC2741">
        <w:rPr>
          <w:rFonts w:ascii="Palatino Linotype" w:eastAsia="Palatino Linotype" w:hAnsi="Palatino Linotype" w:cs="Palatino Linotype"/>
          <w:sz w:val="22"/>
        </w:rPr>
        <w:t>Sirve de sustento a lo anterior, por analogía, la Jurisprudencia con número de registro 170827, emitida por la Segunda Sala de la Suprema Corte de Justicia de la Nación, cuyo rubro y texto a continuación se transcriben:</w:t>
      </w:r>
    </w:p>
    <w:p w14:paraId="4354F93A" w14:textId="77777777" w:rsidR="0098712E" w:rsidRPr="00AC2741" w:rsidRDefault="0098712E" w:rsidP="0098712E">
      <w:pPr>
        <w:pBdr>
          <w:top w:val="nil"/>
          <w:left w:val="nil"/>
          <w:bottom w:val="nil"/>
          <w:right w:val="nil"/>
          <w:between w:val="nil"/>
        </w:pBdr>
        <w:ind w:left="851" w:right="902"/>
        <w:jc w:val="both"/>
        <w:rPr>
          <w:rFonts w:ascii="Palatino Linotype" w:eastAsia="Palatino Linotype" w:hAnsi="Palatino Linotype" w:cs="Palatino Linotype"/>
          <w:i/>
          <w:sz w:val="22"/>
        </w:rPr>
      </w:pPr>
      <w:r w:rsidRPr="00AC2741">
        <w:rPr>
          <w:rFonts w:ascii="Palatino Linotype" w:eastAsia="Palatino Linotype" w:hAnsi="Palatino Linotype" w:cs="Palatino Linotype"/>
          <w:i/>
          <w:sz w:val="22"/>
        </w:rPr>
        <w:t>“</w:t>
      </w:r>
      <w:r w:rsidRPr="00AC2741">
        <w:rPr>
          <w:rFonts w:ascii="Palatino Linotype" w:eastAsia="Palatino Linotype" w:hAnsi="Palatino Linotype" w:cs="Palatino Linotype"/>
          <w:b/>
          <w:i/>
          <w:sz w:val="22"/>
        </w:rPr>
        <w:t>COMPETENCIA. SU ESTUDIO OFICIOSO RESPECTO DE LA AUTORIDAD DEMANDADA EN EL JUICIO CONTENCIOSO ADMINISTRATIVO, DEBE SER ANALIZADA POR LAS SALAS DEL TRIBUNAL FEDERAL DE JUSTICIA FISCAL Y ADMINISTRATIVA</w:t>
      </w:r>
      <w:r w:rsidRPr="00AC2741">
        <w:rPr>
          <w:rFonts w:ascii="Palatino Linotype" w:eastAsia="Palatino Linotype" w:hAnsi="Palatino Linotype" w:cs="Palatino Linotype"/>
          <w:i/>
          <w:sz w:val="22"/>
        </w:rPr>
        <w:t xml:space="preserve">.- El artículo 238, penúltimo párrafo, del Código Fiscal de la Federación y su correlativo 51, penúltimo párrafo, de la Ley Federal de Procedimiento Contencioso Administrativo, </w:t>
      </w:r>
      <w:r w:rsidRPr="00AC2741">
        <w:rPr>
          <w:rFonts w:ascii="Palatino Linotype" w:eastAsia="Palatino Linotype" w:hAnsi="Palatino Linotype" w:cs="Palatino Linotype"/>
          <w:b/>
          <w:i/>
          <w:sz w:val="22"/>
        </w:rPr>
        <w:t>establece que ese Tribunal podrá hacer valer de oficio, por ser de orden público, la incompetencia de la autoridad para dictar la resolución impugnada.</w:t>
      </w:r>
      <w:r w:rsidRPr="00AC2741">
        <w:rPr>
          <w:rFonts w:ascii="Palatino Linotype" w:eastAsia="Palatino Linotype" w:hAnsi="Palatino Linotype" w:cs="Palatino Linotype"/>
          <w:i/>
          <w:sz w:val="22"/>
        </w:rPr>
        <w:t xml:space="preserve"> Al respecto debe decirse que ese estudio implica todo lo relacionado con la competencia de la autoridad, supuesto en el cual se incluye tanto la ausencia de fundamentación de la competencia, como la indebida o insuficiente fundamentación de la misma, en virtud de que al tratarse de una facultad oficiosa, las Salas fiscales de cualquier modo entrarán al examen de las facultades de la autoridad para emitir el acto de molestia; lo anterior con independencia de que exista o no agravio del afectado, o bien, de que invoque incompetencia o simplemente argumente una indebida, insuficiente o deficiente fundamentación de la competencia. Cabe agregar que </w:t>
      </w:r>
      <w:r w:rsidRPr="00AC2741">
        <w:rPr>
          <w:rFonts w:ascii="Palatino Linotype" w:eastAsia="Palatino Linotype" w:hAnsi="Palatino Linotype" w:cs="Palatino Linotype"/>
          <w:b/>
          <w:i/>
          <w:sz w:val="22"/>
        </w:rPr>
        <w:t>en el caso de que las Salas fiscales estimen que la autoridad administrativa es incompetente, su pronunciamiento en ese sentido será indispensable, porque ello constituirá causa de nulidad de la resolución impugnada;</w:t>
      </w:r>
      <w:r w:rsidRPr="00AC2741">
        <w:rPr>
          <w:rFonts w:ascii="Palatino Linotype" w:eastAsia="Palatino Linotype" w:hAnsi="Palatino Linotype" w:cs="Palatino Linotype"/>
          <w:i/>
          <w:sz w:val="22"/>
        </w:rPr>
        <w:t xml:space="preserve"> sin embargo, si considera que la autoridad es competente, esto no quiere decir que dicha autoridad jurisdiccional necesariamente deba pronunciarse al respecto en los fallos que emita, pues el no pronunciamiento expreso, simplemente es indicativo de que estimó que la autoridad demandada sí tenía competencia para emitir la resolución o acto impugnado en el juicio de nulidad.”</w:t>
      </w:r>
    </w:p>
    <w:p w14:paraId="2DEA054E" w14:textId="77777777" w:rsidR="0098712E" w:rsidRPr="00AC2741" w:rsidRDefault="0098712E" w:rsidP="0098712E">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rPr>
      </w:pPr>
      <w:r w:rsidRPr="00AC2741">
        <w:rPr>
          <w:rFonts w:ascii="Palatino Linotype" w:eastAsia="Palatino Linotype" w:hAnsi="Palatino Linotype" w:cs="Palatino Linotype"/>
          <w:sz w:val="22"/>
        </w:rPr>
        <w:t>El estudio preferente del principio de competencia, entendido en su origen como la aptitud atribuida expresamente a una autoridad, por una norma jurídica, para llevar a cabo determinadas conductas o actos, tiene su justificación en la protección y seguridad del gobernado a efecto de que tenga el conocimiento cierto de quién es la autoridad que emite el acto o resolución que lo afecta jurídicamente, para tener la posibilidad de verificar si dicha autoridad tiene o no atribuciones o facultades para conocer respecto de los actos de molestia, y esté en posibilidad de oponer sus defensas.</w:t>
      </w:r>
    </w:p>
    <w:p w14:paraId="2BD162B2" w14:textId="0DF897AC" w:rsidR="00B645BA" w:rsidRPr="00AC2741" w:rsidRDefault="0098712E" w:rsidP="0098712E">
      <w:pPr>
        <w:spacing w:line="360" w:lineRule="auto"/>
        <w:jc w:val="both"/>
        <w:rPr>
          <w:rFonts w:ascii="Palatino Linotype" w:eastAsia="Palatino Linotype" w:hAnsi="Palatino Linotype" w:cs="Palatino Linotype"/>
          <w:b/>
          <w:sz w:val="22"/>
        </w:rPr>
      </w:pPr>
      <w:r w:rsidRPr="00AC2741">
        <w:rPr>
          <w:rFonts w:ascii="Palatino Linotype" w:eastAsia="Palatino Linotype" w:hAnsi="Palatino Linotype" w:cs="Palatino Linotype"/>
          <w:sz w:val="22"/>
        </w:rPr>
        <w:t xml:space="preserve">Una vez acotado lo anterior, </w:t>
      </w:r>
      <w:r w:rsidR="00B645BA" w:rsidRPr="00AC2741">
        <w:rPr>
          <w:rFonts w:ascii="Palatino Linotype" w:eastAsia="Palatino Linotype" w:hAnsi="Palatino Linotype" w:cs="Palatino Linotype"/>
          <w:b/>
          <w:sz w:val="22"/>
        </w:rPr>
        <w:t xml:space="preserve">es de recordar que la persona solicitante requirió la información precisada con antelación, relacionada con el seguimiento a un expediente de cuya nomeclatura se advierten las siglas del Tribunal Estatal de Conciliación y Arbitraje (TECA), por lo que se presume que es un asunto que se encuentra radicado ante dicho Tribunal. </w:t>
      </w:r>
    </w:p>
    <w:p w14:paraId="7CBEEE62" w14:textId="77777777" w:rsidR="00B645BA" w:rsidRPr="00AC2741" w:rsidRDefault="00B645BA" w:rsidP="0098712E">
      <w:pPr>
        <w:spacing w:line="360" w:lineRule="auto"/>
        <w:jc w:val="both"/>
        <w:rPr>
          <w:rFonts w:ascii="Palatino Linotype" w:eastAsia="Palatino Linotype" w:hAnsi="Palatino Linotype" w:cs="Palatino Linotype"/>
          <w:sz w:val="22"/>
        </w:rPr>
      </w:pPr>
    </w:p>
    <w:p w14:paraId="00F758FA" w14:textId="6129A7E3" w:rsidR="00D87494" w:rsidRPr="00AC2741" w:rsidRDefault="00B645BA">
      <w:pPr>
        <w:spacing w:line="360" w:lineRule="auto"/>
        <w:jc w:val="both"/>
        <w:rPr>
          <w:rFonts w:ascii="Palatino Linotype" w:eastAsia="Palatino Linotype" w:hAnsi="Palatino Linotype" w:cs="Palatino Linotype"/>
          <w:sz w:val="22"/>
        </w:rPr>
      </w:pPr>
      <w:r w:rsidRPr="00AC2741">
        <w:rPr>
          <w:rFonts w:ascii="Palatino Linotype" w:eastAsia="Palatino Linotype" w:hAnsi="Palatino Linotype" w:cs="Palatino Linotype"/>
          <w:sz w:val="22"/>
        </w:rPr>
        <w:t xml:space="preserve">Ahora bien, del análisis realizado al marco normativo aplicable del </w:t>
      </w:r>
      <w:r w:rsidRPr="00AC2741">
        <w:rPr>
          <w:rFonts w:ascii="Palatino Linotype" w:eastAsia="Palatino Linotype" w:hAnsi="Palatino Linotype" w:cs="Palatino Linotype"/>
          <w:b/>
          <w:sz w:val="22"/>
        </w:rPr>
        <w:t xml:space="preserve">Sujeto Obligado, </w:t>
      </w:r>
      <w:r w:rsidRPr="00AC2741">
        <w:rPr>
          <w:rFonts w:ascii="Palatino Linotype" w:eastAsia="Palatino Linotype" w:hAnsi="Palatino Linotype" w:cs="Palatino Linotype"/>
          <w:sz w:val="22"/>
        </w:rPr>
        <w:t>se desprende que este no cuenta con atribuciones para resguardar expedientes con motivo de convenios celebrados ante el Tribunal Estatal de Conciliación y Arbitraje.</w:t>
      </w:r>
    </w:p>
    <w:p w14:paraId="161A8902" w14:textId="77777777" w:rsidR="00B645BA" w:rsidRPr="00AC2741" w:rsidRDefault="00B645BA">
      <w:pPr>
        <w:spacing w:line="360" w:lineRule="auto"/>
        <w:jc w:val="both"/>
        <w:rPr>
          <w:rFonts w:ascii="Palatino Linotype" w:eastAsia="Palatino Linotype" w:hAnsi="Palatino Linotype" w:cs="Palatino Linotype"/>
          <w:sz w:val="22"/>
        </w:rPr>
      </w:pPr>
    </w:p>
    <w:p w14:paraId="0BB0E444" w14:textId="19C9B2CB" w:rsidR="00EE23CB" w:rsidRPr="00AC2741" w:rsidRDefault="00B645BA" w:rsidP="00EE23CB">
      <w:pPr>
        <w:spacing w:line="360" w:lineRule="auto"/>
        <w:jc w:val="both"/>
        <w:rPr>
          <w:rFonts w:ascii="Palatino Linotype" w:eastAsia="Palatino Linotype" w:hAnsi="Palatino Linotype" w:cs="Palatino Linotype"/>
          <w:sz w:val="22"/>
        </w:rPr>
      </w:pPr>
      <w:r w:rsidRPr="00AC2741">
        <w:rPr>
          <w:rFonts w:ascii="Palatino Linotype" w:eastAsia="Palatino Linotype" w:hAnsi="Palatino Linotype" w:cs="Palatino Linotype"/>
          <w:sz w:val="22"/>
        </w:rPr>
        <w:t>Máxime que</w:t>
      </w:r>
      <w:r w:rsidR="00EE23CB" w:rsidRPr="00AC2741">
        <w:rPr>
          <w:rFonts w:ascii="Palatino Linotype" w:eastAsia="Palatino Linotype" w:hAnsi="Palatino Linotype" w:cs="Palatino Linotype"/>
          <w:sz w:val="22"/>
        </w:rPr>
        <w:t>,</w:t>
      </w:r>
      <w:r w:rsidRPr="00AC2741">
        <w:rPr>
          <w:rFonts w:ascii="Palatino Linotype" w:eastAsia="Palatino Linotype" w:hAnsi="Palatino Linotype" w:cs="Palatino Linotype"/>
          <w:sz w:val="22"/>
        </w:rPr>
        <w:t xml:space="preserve"> si bien la persona solicitante </w:t>
      </w:r>
      <w:r w:rsidR="00EE23CB" w:rsidRPr="00AC2741">
        <w:rPr>
          <w:rFonts w:ascii="Palatino Linotype" w:eastAsia="Palatino Linotype" w:hAnsi="Palatino Linotype" w:cs="Palatino Linotype"/>
          <w:sz w:val="22"/>
        </w:rPr>
        <w:t xml:space="preserve">pretendió señalar </w:t>
      </w:r>
      <w:r w:rsidRPr="00AC2741">
        <w:rPr>
          <w:rFonts w:ascii="Palatino Linotype" w:eastAsia="Palatino Linotype" w:hAnsi="Palatino Linotype" w:cs="Palatino Linotype"/>
          <w:sz w:val="22"/>
        </w:rPr>
        <w:t xml:space="preserve">a manera de motivos de inconformidad que el convenio respecto del cual requiere el seguimiento a su expediente fue realizado ante la Secretaría del Trabajo, es de las propias constancias que obran en SARCOEM con motivo del presente </w:t>
      </w:r>
      <w:r w:rsidR="00EE23CB" w:rsidRPr="00AC2741">
        <w:rPr>
          <w:rFonts w:ascii="Palatino Linotype" w:eastAsia="Palatino Linotype" w:hAnsi="Palatino Linotype" w:cs="Palatino Linotype"/>
          <w:sz w:val="22"/>
        </w:rPr>
        <w:t>recurso de revisión,</w:t>
      </w:r>
      <w:r w:rsidRPr="00AC2741">
        <w:rPr>
          <w:rFonts w:ascii="Palatino Linotype" w:eastAsia="Palatino Linotype" w:hAnsi="Palatino Linotype" w:cs="Palatino Linotype"/>
          <w:sz w:val="22"/>
        </w:rPr>
        <w:t xml:space="preserve"> </w:t>
      </w:r>
      <w:r w:rsidR="00EE23CB" w:rsidRPr="00AC2741">
        <w:rPr>
          <w:rFonts w:ascii="Palatino Linotype" w:eastAsia="Palatino Linotype" w:hAnsi="Palatino Linotype" w:cs="Palatino Linotype"/>
          <w:sz w:val="22"/>
        </w:rPr>
        <w:t xml:space="preserve">como lo es la </w:t>
      </w:r>
      <w:r w:rsidRPr="00AC2741">
        <w:rPr>
          <w:rFonts w:ascii="Palatino Linotype" w:eastAsia="Palatino Linotype" w:hAnsi="Palatino Linotype" w:cs="Palatino Linotype"/>
          <w:sz w:val="22"/>
        </w:rPr>
        <w:t>página del convenio adjunto a la solicitud,</w:t>
      </w:r>
      <w:r w:rsidR="00EE23CB" w:rsidRPr="00AC2741">
        <w:rPr>
          <w:rFonts w:ascii="Palatino Linotype" w:eastAsia="Palatino Linotype" w:hAnsi="Palatino Linotype" w:cs="Palatino Linotype"/>
          <w:sz w:val="22"/>
        </w:rPr>
        <w:t xml:space="preserve"> del cual </w:t>
      </w:r>
      <w:r w:rsidRPr="00AC2741">
        <w:rPr>
          <w:rFonts w:ascii="Palatino Linotype" w:eastAsia="Palatino Linotype" w:hAnsi="Palatino Linotype" w:cs="Palatino Linotype"/>
          <w:sz w:val="22"/>
        </w:rPr>
        <w:t xml:space="preserve">no se </w:t>
      </w:r>
      <w:r w:rsidR="00EE23CB" w:rsidRPr="00AC2741">
        <w:rPr>
          <w:rFonts w:ascii="Palatino Linotype" w:eastAsia="Palatino Linotype" w:hAnsi="Palatino Linotype" w:cs="Palatino Linotype"/>
          <w:sz w:val="22"/>
        </w:rPr>
        <w:t>advierte</w:t>
      </w:r>
      <w:r w:rsidRPr="00AC2741">
        <w:rPr>
          <w:rFonts w:ascii="Palatino Linotype" w:eastAsia="Palatino Linotype" w:hAnsi="Palatino Linotype" w:cs="Palatino Linotype"/>
          <w:sz w:val="22"/>
        </w:rPr>
        <w:t xml:space="preserve"> que la Secretaría del Trabajo o alguna de sus unidades administrativas haya tenido participación en</w:t>
      </w:r>
      <w:r w:rsidR="00EE23CB" w:rsidRPr="00AC2741">
        <w:rPr>
          <w:rFonts w:ascii="Palatino Linotype" w:eastAsia="Palatino Linotype" w:hAnsi="Palatino Linotype" w:cs="Palatino Linotype"/>
          <w:sz w:val="22"/>
        </w:rPr>
        <w:t xml:space="preserve"> el asunto, pues fue la persona solicitante quien por su propio derecho compareció ante el Tribunal en mención, como se muestra:</w:t>
      </w:r>
    </w:p>
    <w:p w14:paraId="2EEF6166" w14:textId="77777777" w:rsidR="00EE23CB" w:rsidRPr="00AC2741" w:rsidRDefault="00EE23CB">
      <w:pPr>
        <w:spacing w:line="360" w:lineRule="auto"/>
        <w:jc w:val="both"/>
        <w:rPr>
          <w:rFonts w:ascii="Palatino Linotype" w:eastAsia="Palatino Linotype" w:hAnsi="Palatino Linotype" w:cs="Palatino Linotype"/>
          <w:sz w:val="22"/>
        </w:rPr>
      </w:pPr>
    </w:p>
    <w:p w14:paraId="30785E8C" w14:textId="7788F4C9" w:rsidR="00EE23CB" w:rsidRPr="00AC2741" w:rsidRDefault="00EE23CB">
      <w:pPr>
        <w:spacing w:line="360" w:lineRule="auto"/>
        <w:jc w:val="both"/>
        <w:rPr>
          <w:rFonts w:ascii="Palatino Linotype" w:eastAsia="Palatino Linotype" w:hAnsi="Palatino Linotype" w:cs="Palatino Linotype"/>
          <w:sz w:val="22"/>
        </w:rPr>
      </w:pPr>
      <w:r w:rsidRPr="00AC2741">
        <w:rPr>
          <w:rFonts w:ascii="Palatino Linotype" w:eastAsia="Palatino Linotype" w:hAnsi="Palatino Linotype" w:cs="Palatino Linotype"/>
          <w:noProof/>
          <w:sz w:val="22"/>
        </w:rPr>
        <w:drawing>
          <wp:inline distT="0" distB="0" distL="0" distR="0" wp14:anchorId="6264BCA6" wp14:editId="62F3F43A">
            <wp:extent cx="5600700" cy="1323975"/>
            <wp:effectExtent l="19050" t="19050" r="19050" b="285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1323975"/>
                    </a:xfrm>
                    <a:prstGeom prst="rect">
                      <a:avLst/>
                    </a:prstGeom>
                    <a:noFill/>
                    <a:ln>
                      <a:solidFill>
                        <a:schemeClr val="accent1"/>
                      </a:solidFill>
                    </a:ln>
                  </pic:spPr>
                </pic:pic>
              </a:graphicData>
            </a:graphic>
          </wp:inline>
        </w:drawing>
      </w:r>
    </w:p>
    <w:p w14:paraId="3A932CF6" w14:textId="77777777" w:rsidR="00EE23CB" w:rsidRPr="00AC2741" w:rsidRDefault="00EE23CB">
      <w:pPr>
        <w:spacing w:line="360" w:lineRule="auto"/>
        <w:jc w:val="both"/>
        <w:rPr>
          <w:rFonts w:ascii="Palatino Linotype" w:eastAsia="Palatino Linotype" w:hAnsi="Palatino Linotype" w:cs="Palatino Linotype"/>
          <w:sz w:val="22"/>
        </w:rPr>
      </w:pPr>
    </w:p>
    <w:p w14:paraId="4260BB4D" w14:textId="565BFC43" w:rsidR="00E95C3C" w:rsidRPr="00AC2741" w:rsidRDefault="00E95C3C" w:rsidP="00E95C3C">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A mayor abundamiento, de conformidad con el artículo 10 fracción III del Reglamento Interior del Tribunal Estatal de Conciliación y Arbitraje, el Presidente del Tribunal tiene dentro de sus atribuciones, ejecutar los laudos emitidos por el Pleno y </w:t>
      </w:r>
      <w:r w:rsidRPr="00AC2741">
        <w:rPr>
          <w:rFonts w:ascii="Palatino Linotype" w:eastAsia="Palatino Linotype" w:hAnsi="Palatino Linotype" w:cs="Palatino Linotype"/>
          <w:b/>
          <w:sz w:val="22"/>
          <w:szCs w:val="22"/>
        </w:rPr>
        <w:t>los convenios celebrados ante el Tribunal, empleando los medios de apremio necesarios y previstos por la Ley.</w:t>
      </w:r>
    </w:p>
    <w:p w14:paraId="13FE6187" w14:textId="77777777" w:rsidR="00E95C3C" w:rsidRPr="00AC2741" w:rsidRDefault="00E95C3C" w:rsidP="00E95C3C">
      <w:pPr>
        <w:spacing w:line="360" w:lineRule="auto"/>
        <w:jc w:val="both"/>
        <w:rPr>
          <w:rFonts w:ascii="Palatino Linotype" w:eastAsia="Palatino Linotype" w:hAnsi="Palatino Linotype" w:cs="Palatino Linotype"/>
          <w:sz w:val="22"/>
          <w:szCs w:val="22"/>
        </w:rPr>
      </w:pPr>
    </w:p>
    <w:p w14:paraId="20F041D9" w14:textId="4AB2FF41" w:rsidR="00E95C3C" w:rsidRPr="00AC2741" w:rsidRDefault="00E95C3C" w:rsidP="00E95C3C">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Asimismo, de conformidad con el Manual de Procedimientos del Tribunal Estatal de Conciliación y Arbitraje (consultable en el siguiente enlace: </w:t>
      </w:r>
      <w:hyperlink r:id="rId11" w:history="1">
        <w:r w:rsidRPr="00AC2741">
          <w:rPr>
            <w:rStyle w:val="Hipervnculo"/>
            <w:rFonts w:ascii="Palatino Linotype" w:eastAsia="Palatino Linotype" w:hAnsi="Palatino Linotype" w:cs="Palatino Linotype"/>
            <w:color w:val="auto"/>
            <w:sz w:val="22"/>
            <w:szCs w:val="22"/>
          </w:rPr>
          <w:t>https://strabajo.edomex.gob.mx/sites/strabajo.edomex.gob.mx/files/files/strabajo_pdf_manual_02.pdf</w:t>
        </w:r>
      </w:hyperlink>
      <w:r w:rsidRPr="00AC2741">
        <w:rPr>
          <w:rFonts w:ascii="Palatino Linotype" w:eastAsia="Palatino Linotype" w:hAnsi="Palatino Linotype" w:cs="Palatino Linotype"/>
          <w:sz w:val="22"/>
          <w:szCs w:val="22"/>
        </w:rPr>
        <w:t xml:space="preserve"> ), dentro de la Tramitación y Resolución de Conflictos laborales se considera la </w:t>
      </w:r>
      <w:r w:rsidRPr="00AC2741">
        <w:rPr>
          <w:rFonts w:ascii="Palatino Linotype" w:eastAsia="Palatino Linotype" w:hAnsi="Palatino Linotype" w:cs="Palatino Linotype"/>
          <w:b/>
          <w:sz w:val="22"/>
          <w:szCs w:val="22"/>
          <w:u w:val="single"/>
        </w:rPr>
        <w:t>celebración de conflictos laborales ante el Tribunal y sus Salas Auxiliares</w:t>
      </w:r>
      <w:r w:rsidRPr="00AC2741">
        <w:rPr>
          <w:rFonts w:ascii="Palatino Linotype" w:eastAsia="Palatino Linotype" w:hAnsi="Palatino Linotype" w:cs="Palatino Linotype"/>
          <w:sz w:val="22"/>
          <w:szCs w:val="22"/>
        </w:rPr>
        <w:t xml:space="preserve">, lo cual tiene por objetivo </w:t>
      </w:r>
      <w:r w:rsidR="00E061E0" w:rsidRPr="00AC2741">
        <w:rPr>
          <w:rFonts w:ascii="Palatino Linotype" w:eastAsia="Palatino Linotype" w:hAnsi="Palatino Linotype" w:cs="Palatino Linotype"/>
          <w:sz w:val="22"/>
          <w:szCs w:val="22"/>
        </w:rPr>
        <w:t>lo siguiente:</w:t>
      </w:r>
    </w:p>
    <w:p w14:paraId="4FF73641" w14:textId="77777777" w:rsidR="00E061E0" w:rsidRPr="00AC2741" w:rsidRDefault="00E061E0" w:rsidP="00E95C3C">
      <w:pPr>
        <w:spacing w:line="360" w:lineRule="auto"/>
        <w:jc w:val="both"/>
        <w:rPr>
          <w:rFonts w:ascii="Palatino Linotype" w:eastAsia="Palatino Linotype" w:hAnsi="Palatino Linotype" w:cs="Palatino Linotype"/>
          <w:sz w:val="22"/>
          <w:szCs w:val="22"/>
        </w:rPr>
      </w:pPr>
    </w:p>
    <w:p w14:paraId="59E94D0E" w14:textId="2B912AFB" w:rsidR="00E061E0" w:rsidRPr="00AC2741" w:rsidRDefault="00E061E0" w:rsidP="00E95C3C">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noProof/>
          <w:sz w:val="22"/>
          <w:szCs w:val="22"/>
        </w:rPr>
        <w:drawing>
          <wp:inline distT="0" distB="0" distL="0" distR="0" wp14:anchorId="7B2A9880" wp14:editId="0BAF2264">
            <wp:extent cx="5612130" cy="752475"/>
            <wp:effectExtent l="19050" t="19050" r="26670"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752475"/>
                    </a:xfrm>
                    <a:prstGeom prst="rect">
                      <a:avLst/>
                    </a:prstGeom>
                    <a:ln>
                      <a:solidFill>
                        <a:schemeClr val="accent1"/>
                      </a:solidFill>
                    </a:ln>
                  </pic:spPr>
                </pic:pic>
              </a:graphicData>
            </a:graphic>
          </wp:inline>
        </w:drawing>
      </w:r>
    </w:p>
    <w:p w14:paraId="045A07D8" w14:textId="77777777" w:rsidR="00E95C3C" w:rsidRPr="00AC2741" w:rsidRDefault="00E95C3C" w:rsidP="00E95C3C">
      <w:pPr>
        <w:spacing w:line="360" w:lineRule="auto"/>
        <w:jc w:val="both"/>
        <w:rPr>
          <w:rFonts w:ascii="Palatino Linotype" w:eastAsia="Palatino Linotype" w:hAnsi="Palatino Linotype" w:cs="Palatino Linotype"/>
          <w:sz w:val="22"/>
          <w:szCs w:val="22"/>
        </w:rPr>
      </w:pPr>
    </w:p>
    <w:p w14:paraId="0CEBA8DD" w14:textId="6B51752D" w:rsidR="00E95C3C" w:rsidRPr="00AC2741" w:rsidRDefault="00E061E0" w:rsidP="00E95C3C">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Asimismo, dentro de la forma en cómo se desarrolla el procedimiento relativo a la “</w:t>
      </w:r>
      <w:r w:rsidRPr="00AC2741">
        <w:rPr>
          <w:rFonts w:ascii="Palatino Linotype" w:eastAsia="Palatino Linotype" w:hAnsi="Palatino Linotype" w:cs="Palatino Linotype"/>
          <w:b/>
          <w:sz w:val="22"/>
          <w:szCs w:val="22"/>
        </w:rPr>
        <w:t>Celebración de Convenios sin juicio en el Tribunal</w:t>
      </w:r>
      <w:r w:rsidRPr="00AC2741">
        <w:rPr>
          <w:rFonts w:ascii="Palatino Linotype" w:eastAsia="Palatino Linotype" w:hAnsi="Palatino Linotype" w:cs="Palatino Linotype"/>
          <w:sz w:val="22"/>
          <w:szCs w:val="22"/>
        </w:rPr>
        <w:t>”, se prevé que el Trabajador o la Institución o Dependencia, acudan por sí o por conducto de sus representantes, a las oficinas del Tribunal Estatal de Conciliación y Arbitraje, en la Oficialía de Partes y soliciten se asigne un número de expediente de convenio sin juicio, como se muestra:</w:t>
      </w:r>
    </w:p>
    <w:p w14:paraId="2F092C12" w14:textId="77777777" w:rsidR="00E061E0" w:rsidRPr="00AC2741" w:rsidRDefault="00E061E0" w:rsidP="00E95C3C">
      <w:pPr>
        <w:spacing w:line="360" w:lineRule="auto"/>
        <w:jc w:val="both"/>
        <w:rPr>
          <w:rFonts w:ascii="Palatino Linotype" w:eastAsia="Palatino Linotype" w:hAnsi="Palatino Linotype" w:cs="Palatino Linotype"/>
          <w:sz w:val="22"/>
          <w:szCs w:val="22"/>
        </w:rPr>
      </w:pPr>
    </w:p>
    <w:p w14:paraId="00424748" w14:textId="44184E31" w:rsidR="00E95C3C" w:rsidRPr="00AC2741" w:rsidRDefault="00E95C3C" w:rsidP="00E95C3C">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Robustece el argumento anterior, el pronunciamiento del </w:t>
      </w:r>
      <w:r w:rsidRPr="00AC2741">
        <w:rPr>
          <w:rFonts w:ascii="Palatino Linotype" w:eastAsia="Palatino Linotype" w:hAnsi="Palatino Linotype" w:cs="Palatino Linotype"/>
          <w:b/>
          <w:sz w:val="22"/>
          <w:szCs w:val="22"/>
        </w:rPr>
        <w:t>Sujeto Obligado</w:t>
      </w:r>
      <w:r w:rsidRPr="00AC2741">
        <w:rPr>
          <w:rFonts w:ascii="Palatino Linotype" w:eastAsia="Palatino Linotype" w:hAnsi="Palatino Linotype" w:cs="Palatino Linotype"/>
          <w:sz w:val="22"/>
          <w:szCs w:val="22"/>
        </w:rPr>
        <w:t xml:space="preserve">, donde en lo medular, manifestó a través de los servidores públicos habilitados de la Contaduría General Gubernamental, la Subsecretaría de Planeación y Presupuesto, la </w:t>
      </w:r>
      <w:r w:rsidR="003C2D62" w:rsidRPr="00AC2741">
        <w:rPr>
          <w:rFonts w:ascii="Palatino Linotype" w:eastAsia="Palatino Linotype" w:hAnsi="Palatino Linotype" w:cs="Palatino Linotype"/>
          <w:sz w:val="22"/>
          <w:szCs w:val="22"/>
        </w:rPr>
        <w:t>Subsecretaría de</w:t>
      </w:r>
      <w:r w:rsidRPr="00AC2741">
        <w:rPr>
          <w:rFonts w:ascii="Palatino Linotype" w:eastAsia="Palatino Linotype" w:hAnsi="Palatino Linotype" w:cs="Palatino Linotype"/>
          <w:sz w:val="22"/>
          <w:szCs w:val="22"/>
        </w:rPr>
        <w:t xml:space="preserve"> Tesorería, y la Subsecretaría de Ingresos, lo siguiente:</w:t>
      </w:r>
    </w:p>
    <w:p w14:paraId="5E1FBDED" w14:textId="77777777" w:rsidR="00EE23CB" w:rsidRPr="00AC2741" w:rsidRDefault="00EE23CB" w:rsidP="00E95C3C">
      <w:pPr>
        <w:spacing w:line="360" w:lineRule="auto"/>
        <w:jc w:val="both"/>
        <w:rPr>
          <w:rFonts w:ascii="Palatino Linotype" w:eastAsia="Palatino Linotype" w:hAnsi="Palatino Linotype" w:cs="Palatino Linotype"/>
          <w:sz w:val="22"/>
          <w:szCs w:val="22"/>
        </w:rPr>
      </w:pPr>
    </w:p>
    <w:p w14:paraId="02C611BB" w14:textId="03A2E43E" w:rsidR="00EE23CB" w:rsidRPr="00AC2741" w:rsidRDefault="00EE23CB" w:rsidP="00E95C3C">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noProof/>
          <w:sz w:val="22"/>
          <w:szCs w:val="22"/>
        </w:rPr>
        <w:drawing>
          <wp:inline distT="0" distB="0" distL="0" distR="0" wp14:anchorId="1B1ABF92" wp14:editId="3B505FE9">
            <wp:extent cx="5610225" cy="2438400"/>
            <wp:effectExtent l="19050" t="19050" r="28575" b="190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b="69065"/>
                    <a:stretch/>
                  </pic:blipFill>
                  <pic:spPr bwMode="auto">
                    <a:xfrm>
                      <a:off x="0" y="0"/>
                      <a:ext cx="5610225" cy="2438400"/>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EF82C8B" w14:textId="77777777" w:rsidR="00E95C3C" w:rsidRPr="00AC2741" w:rsidRDefault="00E95C3C">
      <w:pPr>
        <w:spacing w:line="360" w:lineRule="auto"/>
        <w:jc w:val="both"/>
        <w:rPr>
          <w:rFonts w:ascii="Palatino Linotype" w:eastAsia="Palatino Linotype" w:hAnsi="Palatino Linotype" w:cs="Palatino Linotype"/>
          <w:sz w:val="22"/>
          <w:szCs w:val="22"/>
        </w:rPr>
      </w:pPr>
    </w:p>
    <w:p w14:paraId="132D2111" w14:textId="7011AB75" w:rsidR="00D87494" w:rsidRPr="00AC2741" w:rsidRDefault="00E061E0">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noProof/>
          <w:sz w:val="22"/>
          <w:szCs w:val="22"/>
        </w:rPr>
        <w:drawing>
          <wp:inline distT="0" distB="0" distL="0" distR="0" wp14:anchorId="2C5C44D9" wp14:editId="47AD41F3">
            <wp:extent cx="5610225" cy="4381500"/>
            <wp:effectExtent l="19050" t="19050" r="28575"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30935"/>
                    <a:stretch/>
                  </pic:blipFill>
                  <pic:spPr bwMode="auto">
                    <a:xfrm>
                      <a:off x="0" y="0"/>
                      <a:ext cx="5610225" cy="4381500"/>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55A44BE" w14:textId="77777777" w:rsidR="00D87494" w:rsidRPr="00AC2741" w:rsidRDefault="00D87494">
      <w:pPr>
        <w:spacing w:line="360" w:lineRule="auto"/>
        <w:jc w:val="both"/>
        <w:rPr>
          <w:rFonts w:ascii="Palatino Linotype" w:eastAsia="Palatino Linotype" w:hAnsi="Palatino Linotype" w:cs="Palatino Linotype"/>
          <w:sz w:val="22"/>
          <w:szCs w:val="22"/>
        </w:rPr>
      </w:pPr>
    </w:p>
    <w:p w14:paraId="330C1660" w14:textId="00CCA303" w:rsidR="00D87494" w:rsidRPr="00AC2741" w:rsidRDefault="00E061E0">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De lo anterior, se puede advertir que es el Tribunal Estatal de Conciliación y Arbitraje quien da seguimiento a los convenios presentados en su oficialía de partes, como medio alterno de solución de conflictos; y, quien en todo caso conoce la tramitología que se le dio al referido en la solicitud de información</w:t>
      </w:r>
      <w:r w:rsidR="00EE23CB" w:rsidRPr="00AC2741">
        <w:rPr>
          <w:rFonts w:ascii="Palatino Linotype" w:eastAsia="Palatino Linotype" w:hAnsi="Palatino Linotype" w:cs="Palatino Linotype"/>
          <w:sz w:val="22"/>
          <w:szCs w:val="22"/>
        </w:rPr>
        <w:t>;</w:t>
      </w:r>
      <w:r w:rsidRPr="00AC2741">
        <w:rPr>
          <w:rFonts w:ascii="Palatino Linotype" w:eastAsia="Palatino Linotype" w:hAnsi="Palatino Linotype" w:cs="Palatino Linotype"/>
          <w:sz w:val="22"/>
          <w:szCs w:val="22"/>
        </w:rPr>
        <w:t xml:space="preserve"> </w:t>
      </w:r>
      <w:r w:rsidR="00E94D3E" w:rsidRPr="00AC2741">
        <w:rPr>
          <w:rFonts w:ascii="Palatino Linotype" w:eastAsia="Palatino Linotype" w:hAnsi="Palatino Linotype" w:cs="Palatino Linotype"/>
          <w:sz w:val="22"/>
          <w:szCs w:val="22"/>
        </w:rPr>
        <w:t>incluso en</w:t>
      </w:r>
      <w:r w:rsidRPr="00AC2741">
        <w:rPr>
          <w:rFonts w:ascii="Palatino Linotype" w:eastAsia="Palatino Linotype" w:hAnsi="Palatino Linotype" w:cs="Palatino Linotype"/>
          <w:sz w:val="22"/>
          <w:szCs w:val="22"/>
        </w:rPr>
        <w:t xml:space="preserve"> el desarrollo de sus procedimientos, dicho Tribunal </w:t>
      </w:r>
      <w:r w:rsidR="00E94D3E" w:rsidRPr="00AC2741">
        <w:rPr>
          <w:rFonts w:ascii="Palatino Linotype" w:eastAsia="Palatino Linotype" w:hAnsi="Palatino Linotype" w:cs="Palatino Linotype"/>
          <w:sz w:val="22"/>
          <w:szCs w:val="22"/>
        </w:rPr>
        <w:t xml:space="preserve">es competente para requerir a la institución o dependencia </w:t>
      </w:r>
      <w:r w:rsidR="00EE23CB" w:rsidRPr="00AC2741">
        <w:rPr>
          <w:rFonts w:ascii="Palatino Linotype" w:eastAsia="Palatino Linotype" w:hAnsi="Palatino Linotype" w:cs="Palatino Linotype"/>
          <w:sz w:val="22"/>
          <w:szCs w:val="22"/>
        </w:rPr>
        <w:t xml:space="preserve">en calidad de patrón, </w:t>
      </w:r>
      <w:r w:rsidR="00E94D3E" w:rsidRPr="00AC2741">
        <w:rPr>
          <w:rFonts w:ascii="Palatino Linotype" w:eastAsia="Palatino Linotype" w:hAnsi="Palatino Linotype" w:cs="Palatino Linotype"/>
          <w:sz w:val="22"/>
          <w:szCs w:val="22"/>
        </w:rPr>
        <w:t>efectué el pago correspondiente al trabajador y verificar el cumplimiento del convenio.</w:t>
      </w:r>
    </w:p>
    <w:p w14:paraId="11809B94" w14:textId="77777777" w:rsidR="00E061E0" w:rsidRPr="00AC2741" w:rsidRDefault="00E061E0">
      <w:pPr>
        <w:spacing w:line="360" w:lineRule="auto"/>
        <w:jc w:val="both"/>
        <w:rPr>
          <w:rFonts w:ascii="Palatino Linotype" w:eastAsia="Palatino Linotype" w:hAnsi="Palatino Linotype" w:cs="Palatino Linotype"/>
          <w:sz w:val="22"/>
          <w:szCs w:val="22"/>
        </w:rPr>
      </w:pPr>
    </w:p>
    <w:p w14:paraId="0DDD387D" w14:textId="3CB46DD4" w:rsidR="00E061E0" w:rsidRPr="00AC2741" w:rsidRDefault="00E061E0">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Máxime que</w:t>
      </w:r>
      <w:r w:rsidR="00EE23CB" w:rsidRPr="00AC2741">
        <w:rPr>
          <w:rFonts w:ascii="Palatino Linotype" w:eastAsia="Palatino Linotype" w:hAnsi="Palatino Linotype" w:cs="Palatino Linotype"/>
          <w:sz w:val="22"/>
          <w:szCs w:val="22"/>
        </w:rPr>
        <w:t>, se insiste,</w:t>
      </w:r>
      <w:r w:rsidRPr="00AC2741">
        <w:rPr>
          <w:rFonts w:ascii="Palatino Linotype" w:eastAsia="Palatino Linotype" w:hAnsi="Palatino Linotype" w:cs="Palatino Linotype"/>
          <w:sz w:val="22"/>
          <w:szCs w:val="22"/>
        </w:rPr>
        <w:t xml:space="preserve"> de las constancias del asunto que nos ocupa, se advierte que el </w:t>
      </w:r>
      <w:r w:rsidR="00E94D3E" w:rsidRPr="00AC2741">
        <w:rPr>
          <w:rFonts w:ascii="Palatino Linotype" w:eastAsia="Palatino Linotype" w:hAnsi="Palatino Linotype" w:cs="Palatino Linotype"/>
          <w:sz w:val="22"/>
          <w:szCs w:val="22"/>
        </w:rPr>
        <w:t>convenio laboral del cual se entregó su primera página, cuenta con expediente radicado ante el Tribunal Estatal de Conciliación y Arbitraje.</w:t>
      </w:r>
    </w:p>
    <w:p w14:paraId="5F5FBBAB" w14:textId="77777777" w:rsidR="00E94D3E" w:rsidRPr="00AC2741" w:rsidRDefault="00E94D3E">
      <w:pPr>
        <w:spacing w:line="360" w:lineRule="auto"/>
        <w:jc w:val="both"/>
        <w:rPr>
          <w:rFonts w:ascii="Palatino Linotype" w:eastAsia="Palatino Linotype" w:hAnsi="Palatino Linotype" w:cs="Palatino Linotype"/>
          <w:sz w:val="22"/>
          <w:szCs w:val="22"/>
        </w:rPr>
      </w:pPr>
    </w:p>
    <w:p w14:paraId="76AF67AF" w14:textId="12E86628" w:rsidR="00E94D3E" w:rsidRPr="00AC2741" w:rsidRDefault="00E94D3E">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Por lo que, el Tribunal Estatal de Conciliación y Arbitraje</w:t>
      </w:r>
      <w:r w:rsidR="00EE23CB" w:rsidRPr="00AC2741">
        <w:rPr>
          <w:rFonts w:ascii="Palatino Linotype" w:eastAsia="Palatino Linotype" w:hAnsi="Palatino Linotype" w:cs="Palatino Linotype"/>
          <w:sz w:val="22"/>
          <w:szCs w:val="22"/>
        </w:rPr>
        <w:t xml:space="preserve">, </w:t>
      </w:r>
      <w:r w:rsidRPr="00AC2741">
        <w:rPr>
          <w:rFonts w:ascii="Palatino Linotype" w:eastAsia="Palatino Linotype" w:hAnsi="Palatino Linotype" w:cs="Palatino Linotype"/>
          <w:sz w:val="22"/>
          <w:szCs w:val="22"/>
        </w:rPr>
        <w:t>es la autoridad competente para conocer, sobre el estatus actual del expediente, las acciones emprendidas contra el organismo o dependencia involucrada sobre el presunto incumplimiento de pago del convenio.</w:t>
      </w:r>
    </w:p>
    <w:p w14:paraId="71C3232F" w14:textId="77777777" w:rsidR="00D87494" w:rsidRPr="00AC2741" w:rsidRDefault="00D87494">
      <w:pPr>
        <w:spacing w:line="360" w:lineRule="auto"/>
        <w:jc w:val="both"/>
        <w:rPr>
          <w:rFonts w:ascii="Palatino Linotype" w:eastAsia="Palatino Linotype" w:hAnsi="Palatino Linotype" w:cs="Palatino Linotype"/>
          <w:sz w:val="22"/>
          <w:szCs w:val="22"/>
        </w:rPr>
      </w:pPr>
    </w:p>
    <w:p w14:paraId="785F9559" w14:textId="7D2F231A" w:rsidR="00DF614C" w:rsidRPr="00AC2741" w:rsidRDefault="00EE23CB">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Además, de</w:t>
      </w:r>
      <w:r w:rsidR="00E94D3E" w:rsidRPr="00AC2741">
        <w:rPr>
          <w:rFonts w:ascii="Palatino Linotype" w:eastAsia="Palatino Linotype" w:hAnsi="Palatino Linotype" w:cs="Palatino Linotype"/>
          <w:sz w:val="22"/>
          <w:szCs w:val="22"/>
        </w:rPr>
        <w:t xml:space="preserve"> conformidad con el Padrón de Sujetos Obligados en Materia de Protección de Datos Personales del Estado de México y Municipios vigente, el </w:t>
      </w:r>
      <w:r w:rsidR="000046B3" w:rsidRPr="00AC2741">
        <w:rPr>
          <w:rFonts w:ascii="Palatino Linotype" w:eastAsia="Palatino Linotype" w:hAnsi="Palatino Linotype" w:cs="Palatino Linotype"/>
          <w:sz w:val="22"/>
          <w:szCs w:val="22"/>
        </w:rPr>
        <w:t>Tribunal Estatal de Conciliación y Arbitraje, es un sujeto obligado distinto a la Secretaría del Trabajo, como se muestra:</w:t>
      </w:r>
    </w:p>
    <w:p w14:paraId="2FFCC7A6" w14:textId="629819BA" w:rsidR="000046B3" w:rsidRPr="00AC2741" w:rsidRDefault="000046B3">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noProof/>
          <w:sz w:val="22"/>
          <w:szCs w:val="22"/>
        </w:rPr>
        <w:drawing>
          <wp:inline distT="0" distB="0" distL="0" distR="0" wp14:anchorId="001FDE60" wp14:editId="65F32A2F">
            <wp:extent cx="5612130" cy="356870"/>
            <wp:effectExtent l="0" t="0" r="762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356870"/>
                    </a:xfrm>
                    <a:prstGeom prst="rect">
                      <a:avLst/>
                    </a:prstGeom>
                  </pic:spPr>
                </pic:pic>
              </a:graphicData>
            </a:graphic>
          </wp:inline>
        </w:drawing>
      </w:r>
    </w:p>
    <w:p w14:paraId="3CA63E4B" w14:textId="1B3DD8BB" w:rsidR="000046B3" w:rsidRPr="00AC2741" w:rsidRDefault="000046B3" w:rsidP="000046B3">
      <w:pPr>
        <w:spacing w:line="360" w:lineRule="auto"/>
        <w:jc w:val="center"/>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w:t>
      </w:r>
    </w:p>
    <w:p w14:paraId="0F8408E5" w14:textId="3E9F62A3" w:rsidR="000046B3" w:rsidRPr="00AC2741" w:rsidRDefault="000046B3">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noProof/>
          <w:sz w:val="22"/>
          <w:szCs w:val="22"/>
        </w:rPr>
        <w:drawing>
          <wp:inline distT="0" distB="0" distL="0" distR="0" wp14:anchorId="0397E0AF" wp14:editId="027B7849">
            <wp:extent cx="5612130" cy="334010"/>
            <wp:effectExtent l="0" t="0" r="762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334010"/>
                    </a:xfrm>
                    <a:prstGeom prst="rect">
                      <a:avLst/>
                    </a:prstGeom>
                  </pic:spPr>
                </pic:pic>
              </a:graphicData>
            </a:graphic>
          </wp:inline>
        </w:drawing>
      </w:r>
    </w:p>
    <w:p w14:paraId="4415236C" w14:textId="47005731" w:rsidR="000046B3" w:rsidRPr="00AC2741" w:rsidRDefault="000046B3" w:rsidP="000046B3">
      <w:pPr>
        <w:spacing w:before="240" w:after="240" w:line="360" w:lineRule="auto"/>
        <w:jc w:val="both"/>
        <w:rPr>
          <w:rFonts w:ascii="Palatino Linotype" w:eastAsia="Palatino Linotype" w:hAnsi="Palatino Linotype" w:cs="Palatino Linotype"/>
          <w:sz w:val="22"/>
        </w:rPr>
      </w:pPr>
      <w:r w:rsidRPr="00AC2741">
        <w:rPr>
          <w:rFonts w:ascii="Palatino Linotype" w:eastAsia="Palatino Linotype" w:hAnsi="Palatino Linotype" w:cs="Palatino Linotype"/>
          <w:sz w:val="22"/>
        </w:rPr>
        <w:t xml:space="preserve">Robustece el argumento anterior, el pronunciamiento del </w:t>
      </w:r>
      <w:r w:rsidRPr="00AC2741">
        <w:rPr>
          <w:rFonts w:ascii="Palatino Linotype" w:eastAsia="Palatino Linotype" w:hAnsi="Palatino Linotype" w:cs="Palatino Linotype"/>
          <w:b/>
          <w:sz w:val="22"/>
        </w:rPr>
        <w:t>Sujeto Obligado</w:t>
      </w:r>
      <w:r w:rsidRPr="00AC2741">
        <w:rPr>
          <w:rFonts w:ascii="Palatino Linotype" w:eastAsia="Palatino Linotype" w:hAnsi="Palatino Linotype" w:cs="Palatino Linotype"/>
          <w:sz w:val="22"/>
        </w:rPr>
        <w:t>, en el sentido de que si bien el Tribunal Estatal de Conciliación y Arbitraje, bajo el cual se encuentra substanciándose el expediente referido en la solicitud, está sectorizado a la Secretaría del Trabajo, es un órgano autónomo y sujeto obligado diferente, orientando a la particular a dirigir su solicitud, ante la Unidad de Transparencia de dicho Tribunal, además de indicar que para ejercer los derechos ARCO, el titular o su representante legal debe acreditar su identidad o representación.</w:t>
      </w:r>
    </w:p>
    <w:p w14:paraId="7E8466B0" w14:textId="77777777" w:rsidR="000046B3" w:rsidRPr="00AC2741" w:rsidRDefault="000046B3" w:rsidP="000046B3">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En este sentido, resulta aplicable el criterio orientador 13/17 emitido por el entonces Pleno del Instituto Nacional de Transparencia, Acceso a la Información y Protección de Datos Personales, el cual, para pronta referencia se reproduce a continuación:</w:t>
      </w:r>
    </w:p>
    <w:p w14:paraId="3864660D" w14:textId="77777777" w:rsidR="000046B3" w:rsidRPr="00AC2741" w:rsidRDefault="000046B3" w:rsidP="000046B3">
      <w:pPr>
        <w:spacing w:line="259" w:lineRule="auto"/>
        <w:ind w:left="851" w:right="851"/>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b/>
          <w:i/>
          <w:sz w:val="22"/>
          <w:szCs w:val="22"/>
        </w:rPr>
        <w:t>“Incompetencia. La incompetencia implica la ausencia de atribuciones del sujeto obligado para poseer la información solicitada</w:t>
      </w:r>
      <w:r w:rsidRPr="00AC2741">
        <w:rPr>
          <w:rFonts w:ascii="Palatino Linotype" w:eastAsia="Palatino Linotype" w:hAnsi="Palatino Linotype" w:cs="Palatino Linotype"/>
          <w:i/>
          <w:sz w:val="22"/>
          <w:szCs w:val="22"/>
        </w:rPr>
        <w:t xml:space="preserve">; es decir, se trata de una cuestión de derecho, </w:t>
      </w:r>
      <w:r w:rsidRPr="00AC2741">
        <w:rPr>
          <w:rFonts w:ascii="Palatino Linotype" w:eastAsia="Palatino Linotype" w:hAnsi="Palatino Linotype" w:cs="Palatino Linotype"/>
          <w:b/>
          <w:i/>
          <w:sz w:val="22"/>
          <w:szCs w:val="22"/>
        </w:rPr>
        <w:t>en tanto que no existan facultades para contar con lo requerido</w:t>
      </w:r>
      <w:r w:rsidRPr="00AC2741">
        <w:rPr>
          <w:rFonts w:ascii="Palatino Linotype" w:eastAsia="Palatino Linotype" w:hAnsi="Palatino Linotype" w:cs="Palatino Linotype"/>
          <w:i/>
          <w:sz w:val="22"/>
          <w:szCs w:val="22"/>
        </w:rPr>
        <w:t>; por lo que la incompetencia es una cualidad atribuida al sujeto obligado que la declara.”</w:t>
      </w:r>
    </w:p>
    <w:p w14:paraId="02C5EF92" w14:textId="77777777" w:rsidR="000046B3" w:rsidRPr="00AC2741" w:rsidRDefault="000046B3" w:rsidP="00E94D3E">
      <w:pPr>
        <w:spacing w:line="360" w:lineRule="auto"/>
        <w:jc w:val="both"/>
        <w:rPr>
          <w:rFonts w:ascii="Palatino Linotype" w:hAnsi="Palatino Linotype" w:cs="Arial"/>
          <w:sz w:val="22"/>
          <w:szCs w:val="20"/>
          <w:lang w:eastAsia="es-ES"/>
        </w:rPr>
      </w:pPr>
    </w:p>
    <w:p w14:paraId="3596D484" w14:textId="67A3A631" w:rsidR="00E94D3E" w:rsidRPr="00AC2741" w:rsidRDefault="00E94D3E" w:rsidP="00E94D3E">
      <w:pPr>
        <w:spacing w:line="360" w:lineRule="auto"/>
        <w:jc w:val="both"/>
        <w:rPr>
          <w:rFonts w:ascii="Palatino Linotype" w:eastAsia="Calibri" w:hAnsi="Palatino Linotype"/>
          <w:sz w:val="22"/>
          <w:szCs w:val="20"/>
          <w:lang w:eastAsia="en-US"/>
        </w:rPr>
      </w:pPr>
      <w:r w:rsidRPr="00AC2741">
        <w:rPr>
          <w:rFonts w:ascii="Palatino Linotype" w:hAnsi="Palatino Linotype" w:cs="Arial"/>
          <w:sz w:val="22"/>
          <w:szCs w:val="20"/>
          <w:lang w:eastAsia="es-ES"/>
        </w:rPr>
        <w:t>De lo anterior se puede advertir que existe</w:t>
      </w:r>
      <w:r w:rsidR="000046B3" w:rsidRPr="00AC2741">
        <w:rPr>
          <w:rFonts w:ascii="Palatino Linotype" w:hAnsi="Palatino Linotype" w:cs="Arial"/>
          <w:sz w:val="22"/>
          <w:szCs w:val="20"/>
          <w:lang w:eastAsia="es-ES"/>
        </w:rPr>
        <w:t xml:space="preserve"> una incompetencia evidente de la Secretaría del Trabajo </w:t>
      </w:r>
      <w:r w:rsidRPr="00AC2741">
        <w:rPr>
          <w:rFonts w:ascii="Palatino Linotype" w:hAnsi="Palatino Linotype" w:cs="Arial"/>
          <w:sz w:val="22"/>
          <w:szCs w:val="20"/>
          <w:lang w:eastAsia="es-ES"/>
        </w:rPr>
        <w:t xml:space="preserve">para atender </w:t>
      </w:r>
      <w:r w:rsidR="000046B3" w:rsidRPr="00AC2741">
        <w:rPr>
          <w:rFonts w:ascii="Palatino Linotype" w:hAnsi="Palatino Linotype" w:cs="Arial"/>
          <w:sz w:val="22"/>
          <w:szCs w:val="20"/>
          <w:lang w:eastAsia="es-ES"/>
        </w:rPr>
        <w:t>solicitud de acceso a</w:t>
      </w:r>
      <w:r w:rsidRPr="00AC2741">
        <w:rPr>
          <w:rFonts w:ascii="Palatino Linotype" w:hAnsi="Palatino Linotype" w:cs="Arial"/>
          <w:sz w:val="22"/>
          <w:szCs w:val="20"/>
          <w:lang w:eastAsia="es-ES"/>
        </w:rPr>
        <w:t xml:space="preserve"> datos que pretende realizar la parte </w:t>
      </w:r>
      <w:r w:rsidR="000046B3" w:rsidRPr="00AC2741">
        <w:rPr>
          <w:rFonts w:ascii="Palatino Linotype" w:hAnsi="Palatino Linotype" w:cs="Arial"/>
          <w:b/>
          <w:sz w:val="22"/>
          <w:szCs w:val="20"/>
          <w:lang w:eastAsia="es-ES"/>
        </w:rPr>
        <w:t>Recurrente.</w:t>
      </w:r>
    </w:p>
    <w:p w14:paraId="7663AB69" w14:textId="77777777" w:rsidR="00E94D3E" w:rsidRPr="00AC2741" w:rsidRDefault="00E94D3E" w:rsidP="00E94D3E">
      <w:pPr>
        <w:spacing w:line="360" w:lineRule="auto"/>
        <w:ind w:right="51"/>
        <w:jc w:val="both"/>
        <w:rPr>
          <w:rFonts w:ascii="Palatino Linotype" w:eastAsia="Palatino Linotype" w:hAnsi="Palatino Linotype" w:cs="Palatino Linotype"/>
          <w:b/>
          <w:sz w:val="22"/>
          <w:szCs w:val="22"/>
        </w:rPr>
      </w:pPr>
    </w:p>
    <w:p w14:paraId="68B3C4B7" w14:textId="77777777" w:rsidR="00E94D3E" w:rsidRPr="00AC2741" w:rsidRDefault="00E94D3E" w:rsidP="00E94D3E">
      <w:pPr>
        <w:spacing w:line="360" w:lineRule="auto"/>
        <w:ind w:right="51"/>
        <w:jc w:val="both"/>
        <w:rPr>
          <w:rFonts w:ascii="Palatino Linotype" w:eastAsia="Palatino Linotype" w:hAnsi="Palatino Linotype" w:cs="Palatino Linotype"/>
          <w:sz w:val="22"/>
          <w:szCs w:val="22"/>
          <w:lang w:val="es-ES"/>
        </w:rPr>
      </w:pPr>
      <w:r w:rsidRPr="00AC2741">
        <w:rPr>
          <w:rFonts w:ascii="Palatino Linotype" w:eastAsia="Palatino Linotype" w:hAnsi="Palatino Linotype" w:cs="Palatino Linotype"/>
          <w:sz w:val="22"/>
          <w:szCs w:val="22"/>
        </w:rPr>
        <w:t>Por tanto</w:t>
      </w:r>
      <w:r w:rsidRPr="00AC2741">
        <w:rPr>
          <w:rFonts w:ascii="Palatino Linotype" w:eastAsia="Palatino Linotype" w:hAnsi="Palatino Linotype" w:cs="Palatino Linotype"/>
          <w:sz w:val="22"/>
          <w:szCs w:val="22"/>
          <w:lang w:val="es-ES_tradnl"/>
        </w:rPr>
        <w:t xml:space="preserve">, </w:t>
      </w:r>
      <w:r w:rsidRPr="00AC2741">
        <w:rPr>
          <w:rFonts w:ascii="Palatino Linotype" w:eastAsia="Palatino Linotype" w:hAnsi="Palatino Linotype" w:cs="Palatino Linotype"/>
          <w:sz w:val="22"/>
          <w:szCs w:val="22"/>
          <w:lang w:val="es-ES"/>
        </w:rPr>
        <w:t>es necesario traer a contexto lo dispuesto en el primer párrafo del artículo 112 de la Ley de Protección de Datos Personales en Posesión de Sujetos Obligados del Estado de México y Municipios, a saber:</w:t>
      </w:r>
    </w:p>
    <w:p w14:paraId="538E9E22" w14:textId="77777777" w:rsidR="00E94D3E" w:rsidRPr="00AC2741" w:rsidRDefault="00E94D3E" w:rsidP="00E94D3E">
      <w:pPr>
        <w:spacing w:line="360" w:lineRule="auto"/>
        <w:ind w:right="51"/>
        <w:jc w:val="both"/>
        <w:rPr>
          <w:rFonts w:ascii="Palatino Linotype" w:eastAsia="Palatino Linotype" w:hAnsi="Palatino Linotype" w:cs="Palatino Linotype"/>
          <w:sz w:val="22"/>
          <w:szCs w:val="22"/>
          <w:lang w:val="es-ES"/>
        </w:rPr>
      </w:pPr>
    </w:p>
    <w:p w14:paraId="21556FA5" w14:textId="77777777" w:rsidR="00E94D3E" w:rsidRPr="00AC2741" w:rsidRDefault="00E94D3E" w:rsidP="00E94D3E">
      <w:pPr>
        <w:spacing w:line="276" w:lineRule="auto"/>
        <w:ind w:left="567" w:right="616"/>
        <w:jc w:val="both"/>
        <w:rPr>
          <w:rFonts w:ascii="Palatino Linotype" w:eastAsia="Palatino Linotype" w:hAnsi="Palatino Linotype" w:cs="Palatino Linotype"/>
          <w:i/>
          <w:sz w:val="22"/>
          <w:szCs w:val="22"/>
        </w:rPr>
      </w:pPr>
      <w:r w:rsidRPr="00AC2741">
        <w:rPr>
          <w:rFonts w:ascii="Palatino Linotype" w:eastAsia="Palatino Linotype" w:hAnsi="Palatino Linotype" w:cs="Palatino Linotype"/>
          <w:i/>
          <w:sz w:val="22"/>
          <w:szCs w:val="22"/>
        </w:rPr>
        <w:t>“</w:t>
      </w:r>
      <w:r w:rsidRPr="00AC2741">
        <w:rPr>
          <w:rFonts w:ascii="Palatino Linotype" w:eastAsia="Palatino Linotype" w:hAnsi="Palatino Linotype" w:cs="Palatino Linotype"/>
          <w:b/>
          <w:i/>
          <w:sz w:val="22"/>
          <w:szCs w:val="22"/>
          <w:u w:val="single"/>
        </w:rPr>
        <w:t>Artículo 112. Cuando el responsable no sea competente para atender la solicitud para el ejercicio de derechos ARCO, deberá hacer del conocimiento del titular dicha situación dentro de los tres días siguientes a la presentación de la solicitud y en caso de poderlo determinar, orientarlo hacia el responsable competente</w:t>
      </w:r>
      <w:r w:rsidRPr="00AC2741">
        <w:rPr>
          <w:rFonts w:ascii="Palatino Linotype" w:eastAsia="Palatino Linotype" w:hAnsi="Palatino Linotype" w:cs="Palatino Linotype"/>
          <w:i/>
          <w:sz w:val="22"/>
          <w:szCs w:val="22"/>
        </w:rPr>
        <w:t>.[…]”</w:t>
      </w:r>
    </w:p>
    <w:p w14:paraId="65A8D8FE" w14:textId="77777777" w:rsidR="00E94D3E" w:rsidRPr="00AC2741" w:rsidRDefault="00E94D3E" w:rsidP="00E94D3E">
      <w:pPr>
        <w:spacing w:line="360" w:lineRule="auto"/>
        <w:ind w:right="51"/>
        <w:jc w:val="both"/>
        <w:rPr>
          <w:rFonts w:ascii="Palatino Linotype" w:eastAsia="Palatino Linotype" w:hAnsi="Palatino Linotype" w:cs="Palatino Linotype"/>
          <w:b/>
          <w:sz w:val="22"/>
          <w:szCs w:val="22"/>
        </w:rPr>
      </w:pPr>
    </w:p>
    <w:p w14:paraId="19997020" w14:textId="77777777" w:rsidR="00E94D3E" w:rsidRPr="00AC2741" w:rsidRDefault="00E94D3E" w:rsidP="00E94D3E">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Del precepto normativo se desprende que cuando el responsable de los datos personales, determine una notoria incompetencia para el ejercicio de los derechos ARCO, deben realizar lo siguiente:</w:t>
      </w:r>
    </w:p>
    <w:p w14:paraId="2E6F4C06" w14:textId="77777777" w:rsidR="00E94D3E" w:rsidRPr="00AC2741" w:rsidRDefault="00E94D3E" w:rsidP="00E94D3E">
      <w:pPr>
        <w:spacing w:line="360" w:lineRule="auto"/>
        <w:jc w:val="both"/>
        <w:rPr>
          <w:rFonts w:ascii="Palatino Linotype" w:eastAsia="Palatino Linotype" w:hAnsi="Palatino Linotype" w:cs="Palatino Linotype"/>
          <w:sz w:val="22"/>
          <w:szCs w:val="22"/>
        </w:rPr>
      </w:pPr>
    </w:p>
    <w:p w14:paraId="7EC45832" w14:textId="77777777" w:rsidR="00E94D3E" w:rsidRPr="00AC2741" w:rsidRDefault="00E94D3E" w:rsidP="00E94D3E">
      <w:pPr>
        <w:numPr>
          <w:ilvl w:val="0"/>
          <w:numId w:val="11"/>
        </w:numPr>
        <w:tabs>
          <w:tab w:val="left" w:pos="709"/>
        </w:tabs>
        <w:spacing w:line="360" w:lineRule="auto"/>
        <w:ind w:left="425" w:firstLine="0"/>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Hacerlo del conocimiento de la persona solicitante, dentro de los tres días hábiles, posteriores a la presentación de la solicitud de información, y</w:t>
      </w:r>
    </w:p>
    <w:p w14:paraId="4D786415" w14:textId="77777777" w:rsidR="00E94D3E" w:rsidRPr="00AC2741" w:rsidRDefault="00E94D3E" w:rsidP="00E94D3E">
      <w:pPr>
        <w:numPr>
          <w:ilvl w:val="0"/>
          <w:numId w:val="11"/>
        </w:numPr>
        <w:tabs>
          <w:tab w:val="left" w:pos="709"/>
        </w:tabs>
        <w:spacing w:line="360" w:lineRule="auto"/>
        <w:ind w:left="425" w:firstLine="0"/>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En caso de poder determinar al Sujeto Obligado competente, orientarle a la persona solicitante a presentar la solicitud ante el mismo.</w:t>
      </w:r>
    </w:p>
    <w:p w14:paraId="1EA46574" w14:textId="77777777" w:rsidR="00E94D3E" w:rsidRPr="00AC2741" w:rsidRDefault="00E94D3E" w:rsidP="00E94D3E">
      <w:pPr>
        <w:spacing w:line="360" w:lineRule="auto"/>
        <w:jc w:val="both"/>
        <w:rPr>
          <w:rFonts w:ascii="Palatino Linotype" w:eastAsia="Palatino Linotype" w:hAnsi="Palatino Linotype" w:cs="Palatino Linotype"/>
          <w:sz w:val="22"/>
          <w:szCs w:val="22"/>
        </w:rPr>
      </w:pPr>
    </w:p>
    <w:p w14:paraId="15B4356F" w14:textId="698704CD" w:rsidR="000046B3" w:rsidRPr="00AC2741" w:rsidRDefault="000046B3" w:rsidP="000046B3">
      <w:pPr>
        <w:tabs>
          <w:tab w:val="left" w:pos="142"/>
          <w:tab w:val="left" w:pos="284"/>
        </w:tabs>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Así, </w:t>
      </w:r>
      <w:r w:rsidR="00E94D3E" w:rsidRPr="00AC2741">
        <w:rPr>
          <w:rFonts w:ascii="Palatino Linotype" w:eastAsia="Palatino Linotype" w:hAnsi="Palatino Linotype" w:cs="Palatino Linotype"/>
          <w:sz w:val="22"/>
          <w:szCs w:val="22"/>
        </w:rPr>
        <w:t xml:space="preserve"> en el presente caso, </w:t>
      </w:r>
      <w:r w:rsidRPr="00AC2741">
        <w:rPr>
          <w:rFonts w:ascii="Palatino Linotype" w:eastAsia="Palatino Linotype" w:hAnsi="Palatino Linotype" w:cs="Palatino Linotype"/>
          <w:sz w:val="22"/>
          <w:szCs w:val="22"/>
        </w:rPr>
        <w:t xml:space="preserve">la solicitud fue registrada en fecha </w:t>
      </w:r>
      <w:r w:rsidRPr="00AC2741">
        <w:rPr>
          <w:rFonts w:ascii="Palatino Linotype" w:eastAsia="Palatino Linotype" w:hAnsi="Palatino Linotype" w:cs="Palatino Linotype"/>
          <w:b/>
          <w:sz w:val="22"/>
          <w:szCs w:val="22"/>
        </w:rPr>
        <w:t>trece de junio de dos mil veinticinco</w:t>
      </w:r>
      <w:r w:rsidRPr="00AC2741">
        <w:rPr>
          <w:rFonts w:ascii="Palatino Linotype" w:eastAsia="Palatino Linotype" w:hAnsi="Palatino Linotype" w:cs="Palatino Linotype"/>
          <w:sz w:val="22"/>
          <w:szCs w:val="22"/>
        </w:rPr>
        <w:t xml:space="preserve"> y la declinación de competencia fue hecha por el </w:t>
      </w:r>
      <w:r w:rsidRPr="00AC2741">
        <w:rPr>
          <w:rFonts w:ascii="Palatino Linotype" w:eastAsia="Palatino Linotype" w:hAnsi="Palatino Linotype" w:cs="Palatino Linotype"/>
          <w:b/>
          <w:sz w:val="22"/>
          <w:szCs w:val="22"/>
        </w:rPr>
        <w:t xml:space="preserve">Sujeto Obligado </w:t>
      </w:r>
      <w:r w:rsidRPr="00AC2741">
        <w:rPr>
          <w:rFonts w:ascii="Palatino Linotype" w:eastAsia="Palatino Linotype" w:hAnsi="Palatino Linotype" w:cs="Palatino Linotype"/>
          <w:sz w:val="22"/>
          <w:szCs w:val="22"/>
        </w:rPr>
        <w:t xml:space="preserve">el </w:t>
      </w:r>
      <w:r w:rsidRPr="00AC2741">
        <w:rPr>
          <w:rFonts w:ascii="Palatino Linotype" w:eastAsia="Palatino Linotype" w:hAnsi="Palatino Linotype" w:cs="Palatino Linotype"/>
          <w:b/>
          <w:sz w:val="22"/>
          <w:szCs w:val="22"/>
        </w:rPr>
        <w:t>diecisiete de junio de dos mil veinticinco</w:t>
      </w:r>
      <w:r w:rsidRPr="00AC2741">
        <w:rPr>
          <w:rFonts w:ascii="Palatino Linotype" w:eastAsia="Palatino Linotype" w:hAnsi="Palatino Linotype" w:cs="Palatino Linotype"/>
          <w:sz w:val="22"/>
          <w:szCs w:val="22"/>
        </w:rPr>
        <w:t xml:space="preserve">, esto es, al segundo día hábil siguiente a aquel en que se tuvo conocimiento de la solicitud, lo que indica que la </w:t>
      </w:r>
      <w:r w:rsidRPr="00AC2741">
        <w:rPr>
          <w:rFonts w:ascii="Palatino Linotype" w:eastAsia="Palatino Linotype" w:hAnsi="Palatino Linotype" w:cs="Palatino Linotype"/>
          <w:b/>
          <w:sz w:val="22"/>
          <w:szCs w:val="22"/>
          <w:u w:val="single"/>
        </w:rPr>
        <w:t>declinación de competencia se presentó dentro del plazo de los tres días establecidos en la Ley</w:t>
      </w:r>
      <w:r w:rsidRPr="00AC2741">
        <w:rPr>
          <w:rFonts w:ascii="Palatino Linotype" w:eastAsia="Palatino Linotype" w:hAnsi="Palatino Linotype" w:cs="Palatino Linotype"/>
          <w:sz w:val="22"/>
          <w:szCs w:val="22"/>
        </w:rPr>
        <w:t xml:space="preserve">, situación que nos conduce a señalar que el Sujeto Obligado dio cabal cumplimiento a las formalidades que se establecen para declarar su incompetencia. </w:t>
      </w:r>
    </w:p>
    <w:p w14:paraId="2099673F" w14:textId="77777777" w:rsidR="000046B3" w:rsidRPr="00AC2741" w:rsidRDefault="000046B3" w:rsidP="00E94D3E">
      <w:pPr>
        <w:spacing w:line="360" w:lineRule="auto"/>
        <w:jc w:val="both"/>
        <w:rPr>
          <w:rFonts w:ascii="Palatino Linotype" w:eastAsia="Palatino Linotype" w:hAnsi="Palatino Linotype" w:cs="Palatino Linotype"/>
          <w:sz w:val="22"/>
          <w:szCs w:val="22"/>
        </w:rPr>
      </w:pPr>
    </w:p>
    <w:p w14:paraId="769FDB98" w14:textId="766FC5AB" w:rsidR="000046B3" w:rsidRPr="00AC2741" w:rsidRDefault="000046B3" w:rsidP="00E94D3E">
      <w:pPr>
        <w:spacing w:line="360" w:lineRule="auto"/>
        <w:jc w:val="both"/>
        <w:rPr>
          <w:rFonts w:ascii="Palatino Linotype" w:eastAsia="Palatino Linotype" w:hAnsi="Palatino Linotype" w:cs="Palatino Linotype"/>
        </w:rPr>
      </w:pPr>
      <w:r w:rsidRPr="00AC2741">
        <w:rPr>
          <w:rFonts w:ascii="Palatino Linotype" w:eastAsia="Palatino Linotype" w:hAnsi="Palatino Linotype" w:cs="Palatino Linotype"/>
          <w:sz w:val="22"/>
          <w:szCs w:val="22"/>
        </w:rPr>
        <w:t xml:space="preserve">Aunado a que de la respuesta emitida por el ente obligado se advierte que este emitió orientación a la persona solicitante </w:t>
      </w:r>
      <w:r w:rsidR="00030BAF" w:rsidRPr="00AC2741">
        <w:rPr>
          <w:rFonts w:ascii="Palatino Linotype" w:eastAsia="Palatino Linotype" w:hAnsi="Palatino Linotype" w:cs="Palatino Linotype"/>
          <w:sz w:val="22"/>
          <w:szCs w:val="22"/>
        </w:rPr>
        <w:t>par</w:t>
      </w:r>
      <w:r w:rsidRPr="00AC2741">
        <w:rPr>
          <w:rFonts w:ascii="Palatino Linotype" w:eastAsia="Palatino Linotype" w:hAnsi="Palatino Linotype" w:cs="Palatino Linotype"/>
          <w:sz w:val="22"/>
          <w:szCs w:val="22"/>
        </w:rPr>
        <w:t xml:space="preserve">a </w:t>
      </w:r>
      <w:r w:rsidR="00030BAF" w:rsidRPr="00AC2741">
        <w:rPr>
          <w:rFonts w:ascii="Palatino Linotype" w:eastAsia="Palatino Linotype" w:hAnsi="Palatino Linotype" w:cs="Palatino Linotype"/>
          <w:sz w:val="22"/>
          <w:szCs w:val="22"/>
        </w:rPr>
        <w:t xml:space="preserve">que presentara su </w:t>
      </w:r>
      <w:r w:rsidRPr="00AC2741">
        <w:rPr>
          <w:rFonts w:ascii="Palatino Linotype" w:eastAsia="Palatino Linotype" w:hAnsi="Palatino Linotype" w:cs="Palatino Linotype"/>
          <w:sz w:val="22"/>
          <w:szCs w:val="22"/>
        </w:rPr>
        <w:t xml:space="preserve">solicitud al sujeto obligado competente, esto es, al </w:t>
      </w:r>
      <w:r w:rsidRPr="00AC2741">
        <w:rPr>
          <w:rFonts w:ascii="Palatino Linotype" w:eastAsia="Palatino Linotype" w:hAnsi="Palatino Linotype" w:cs="Palatino Linotype"/>
          <w:b/>
          <w:sz w:val="22"/>
          <w:szCs w:val="22"/>
        </w:rPr>
        <w:t>Tribunal Estatal de Conciliación y Arbitraje</w:t>
      </w:r>
      <w:r w:rsidRPr="00AC2741">
        <w:rPr>
          <w:rFonts w:ascii="Palatino Linotype" w:eastAsia="Palatino Linotype" w:hAnsi="Palatino Linotype" w:cs="Palatino Linotype"/>
          <w:sz w:val="22"/>
          <w:szCs w:val="22"/>
        </w:rPr>
        <w:t>.</w:t>
      </w:r>
    </w:p>
    <w:p w14:paraId="63DBA439" w14:textId="77777777" w:rsidR="00E94D3E" w:rsidRPr="00AC2741" w:rsidRDefault="00E94D3E" w:rsidP="00E94D3E">
      <w:pPr>
        <w:spacing w:line="360" w:lineRule="auto"/>
        <w:jc w:val="both"/>
        <w:rPr>
          <w:rFonts w:ascii="Palatino Linotype" w:eastAsia="Palatino Linotype" w:hAnsi="Palatino Linotype" w:cs="Palatino Linotype"/>
          <w:sz w:val="22"/>
          <w:szCs w:val="22"/>
        </w:rPr>
      </w:pPr>
    </w:p>
    <w:p w14:paraId="5D60A061" w14:textId="40C08E73" w:rsidR="00E94D3E" w:rsidRPr="00AC2741" w:rsidRDefault="00E94D3E" w:rsidP="00E94D3E">
      <w:pPr>
        <w:tabs>
          <w:tab w:val="left" w:pos="709"/>
        </w:tabs>
        <w:spacing w:line="360" w:lineRule="auto"/>
        <w:ind w:right="51"/>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En este orden de ideas, se dejan a salvo los derechos de la parte </w:t>
      </w:r>
      <w:r w:rsidRPr="00AC2741">
        <w:rPr>
          <w:rFonts w:ascii="Palatino Linotype" w:eastAsia="Palatino Linotype" w:hAnsi="Palatino Linotype" w:cs="Palatino Linotype"/>
          <w:b/>
          <w:sz w:val="22"/>
          <w:szCs w:val="22"/>
        </w:rPr>
        <w:t>Recurrente</w:t>
      </w:r>
      <w:r w:rsidRPr="00AC2741">
        <w:rPr>
          <w:rFonts w:ascii="Palatino Linotype" w:eastAsia="Palatino Linotype" w:hAnsi="Palatino Linotype" w:cs="Palatino Linotype"/>
          <w:sz w:val="22"/>
          <w:szCs w:val="22"/>
        </w:rPr>
        <w:t xml:space="preserve"> para que formule una nueva solicitud de </w:t>
      </w:r>
      <w:r w:rsidR="00030BAF" w:rsidRPr="00AC2741">
        <w:rPr>
          <w:rFonts w:ascii="Palatino Linotype" w:eastAsia="Palatino Linotype" w:hAnsi="Palatino Linotype" w:cs="Palatino Linotype"/>
          <w:sz w:val="22"/>
          <w:szCs w:val="22"/>
        </w:rPr>
        <w:t>acceso de</w:t>
      </w:r>
      <w:r w:rsidRPr="00AC2741">
        <w:rPr>
          <w:rFonts w:ascii="Palatino Linotype" w:eastAsia="Palatino Linotype" w:hAnsi="Palatino Linotype" w:cs="Palatino Linotype"/>
          <w:sz w:val="22"/>
          <w:szCs w:val="22"/>
        </w:rPr>
        <w:t xml:space="preserve"> datos personales respecto ante el </w:t>
      </w:r>
      <w:r w:rsidRPr="00AC2741">
        <w:rPr>
          <w:rFonts w:ascii="Palatino Linotype" w:eastAsia="Palatino Linotype" w:hAnsi="Palatino Linotype" w:cs="Palatino Linotype"/>
          <w:b/>
          <w:sz w:val="22"/>
          <w:szCs w:val="22"/>
        </w:rPr>
        <w:t>Sujeto Obligado</w:t>
      </w:r>
      <w:r w:rsidR="00030BAF" w:rsidRPr="00AC2741">
        <w:rPr>
          <w:rFonts w:ascii="Palatino Linotype" w:eastAsia="Palatino Linotype" w:hAnsi="Palatino Linotype" w:cs="Palatino Linotype"/>
          <w:sz w:val="22"/>
          <w:szCs w:val="22"/>
        </w:rPr>
        <w:t xml:space="preserve"> competente, para que requiera la información que es de su interés.</w:t>
      </w:r>
    </w:p>
    <w:p w14:paraId="32A66C55" w14:textId="77777777" w:rsidR="00E94D3E" w:rsidRPr="00AC2741" w:rsidRDefault="00E94D3E">
      <w:pPr>
        <w:spacing w:line="360" w:lineRule="auto"/>
        <w:jc w:val="both"/>
        <w:rPr>
          <w:rFonts w:ascii="Palatino Linotype" w:eastAsia="Palatino Linotype" w:hAnsi="Palatino Linotype" w:cs="Palatino Linotype"/>
          <w:sz w:val="22"/>
          <w:szCs w:val="22"/>
        </w:rPr>
      </w:pPr>
    </w:p>
    <w:p w14:paraId="4153304D" w14:textId="77777777" w:rsidR="00030BAF" w:rsidRPr="00AC2741" w:rsidRDefault="00030BAF" w:rsidP="00030BAF">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Por lo anterior, toda vez que, se demostró que el </w:t>
      </w:r>
      <w:r w:rsidRPr="00AC2741">
        <w:rPr>
          <w:rFonts w:ascii="Palatino Linotype" w:eastAsia="Palatino Linotype" w:hAnsi="Palatino Linotype" w:cs="Palatino Linotype"/>
          <w:b/>
          <w:sz w:val="22"/>
          <w:szCs w:val="22"/>
        </w:rPr>
        <w:t>Sujeto Obligado</w:t>
      </w:r>
      <w:r w:rsidRPr="00AC2741">
        <w:rPr>
          <w:rFonts w:ascii="Palatino Linotype" w:eastAsia="Palatino Linotype" w:hAnsi="Palatino Linotype" w:cs="Palatino Linotype"/>
          <w:sz w:val="22"/>
          <w:szCs w:val="22"/>
        </w:rPr>
        <w:t xml:space="preserve"> no es competente para generar, administrar y poseer la información solicitada, este declinó su competencia dentro del plazo establecido por la Ley en la materia, y emitió orientación a la persona solicitante sobre el sujeto obligado que tiene competencia para conocer sobre lo requerido, se determina que, los agravios hechos valer por la parte </w:t>
      </w:r>
      <w:r w:rsidRPr="00AC2741">
        <w:rPr>
          <w:rFonts w:ascii="Palatino Linotype" w:eastAsia="Palatino Linotype" w:hAnsi="Palatino Linotype" w:cs="Palatino Linotype"/>
          <w:b/>
          <w:sz w:val="22"/>
          <w:szCs w:val="22"/>
        </w:rPr>
        <w:t xml:space="preserve">Recurrente </w:t>
      </w:r>
      <w:r w:rsidRPr="00AC2741">
        <w:rPr>
          <w:rFonts w:ascii="Palatino Linotype" w:eastAsia="Palatino Linotype" w:hAnsi="Palatino Linotype" w:cs="Palatino Linotype"/>
          <w:sz w:val="22"/>
          <w:szCs w:val="22"/>
        </w:rPr>
        <w:t xml:space="preserve">devienen </w:t>
      </w:r>
      <w:r w:rsidRPr="00AC2741">
        <w:rPr>
          <w:rFonts w:ascii="Palatino Linotype" w:eastAsia="Palatino Linotype" w:hAnsi="Palatino Linotype" w:cs="Palatino Linotype"/>
          <w:b/>
          <w:sz w:val="22"/>
          <w:szCs w:val="22"/>
        </w:rPr>
        <w:t xml:space="preserve">infundados </w:t>
      </w:r>
      <w:r w:rsidRPr="00AC2741">
        <w:rPr>
          <w:rFonts w:ascii="Palatino Linotype" w:eastAsia="Palatino Linotype" w:hAnsi="Palatino Linotype" w:cs="Palatino Linotype"/>
          <w:sz w:val="22"/>
          <w:szCs w:val="22"/>
        </w:rPr>
        <w:t xml:space="preserve">y, por lo tanto, resulta procedente </w:t>
      </w:r>
      <w:r w:rsidRPr="00AC2741">
        <w:rPr>
          <w:rFonts w:ascii="Palatino Linotype" w:eastAsia="Palatino Linotype" w:hAnsi="Palatino Linotype" w:cs="Palatino Linotype"/>
          <w:b/>
          <w:sz w:val="22"/>
          <w:szCs w:val="22"/>
        </w:rPr>
        <w:t xml:space="preserve">confirmar </w:t>
      </w:r>
      <w:r w:rsidRPr="00AC2741">
        <w:rPr>
          <w:rFonts w:ascii="Palatino Linotype" w:eastAsia="Palatino Linotype" w:hAnsi="Palatino Linotype" w:cs="Palatino Linotype"/>
          <w:sz w:val="22"/>
          <w:szCs w:val="22"/>
        </w:rPr>
        <w:t>la respuesta emitida por el Sujeto Obligado.</w:t>
      </w:r>
    </w:p>
    <w:p w14:paraId="13DC5927" w14:textId="77777777" w:rsidR="00E94D3E" w:rsidRPr="00AC2741" w:rsidRDefault="00E94D3E">
      <w:pPr>
        <w:spacing w:line="360" w:lineRule="auto"/>
        <w:jc w:val="both"/>
        <w:rPr>
          <w:rFonts w:ascii="Palatino Linotype" w:eastAsia="Palatino Linotype" w:hAnsi="Palatino Linotype" w:cs="Palatino Linotype"/>
          <w:sz w:val="22"/>
          <w:szCs w:val="22"/>
        </w:rPr>
      </w:pPr>
    </w:p>
    <w:p w14:paraId="721A515C" w14:textId="77777777" w:rsidR="007D160C" w:rsidRPr="00AC2741" w:rsidRDefault="00DF6B5B">
      <w:pPr>
        <w:shd w:val="clear" w:color="auto" w:fill="FFFFFF"/>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Así, con fundamento en lo prescrito en los artículos 5</w:t>
      </w:r>
      <w:r w:rsidR="001C59A2" w:rsidRPr="00AC2741">
        <w:rPr>
          <w:rFonts w:ascii="Palatino Linotype" w:eastAsia="Palatino Linotype" w:hAnsi="Palatino Linotype" w:cs="Palatino Linotype"/>
          <w:sz w:val="22"/>
          <w:szCs w:val="22"/>
        </w:rPr>
        <w:t xml:space="preserve">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AC2741">
        <w:rPr>
          <w:rFonts w:ascii="Palatino Linotype" w:eastAsia="Palatino Linotype" w:hAnsi="Palatino Linotype" w:cs="Palatino Linotype"/>
          <w:sz w:val="22"/>
          <w:szCs w:val="22"/>
        </w:rPr>
        <w:t>; 2 fracción II, 29, 36 fracciones I y II, 176, 178, 179, 181, 185 fracción I, 186 y 188 de la Ley de Transparencia y Acceso a la Información Pública del Estado de México y Municipios de aplicación supletoria, 1, 81, 82 fracciones I y III, 119, 127, 128, 129, 132, 133, y 137 de la Ley de Protección de Datos Personales en Posesión de Sujetos Obligados del Estado de México y Municipios, este Pleno:</w:t>
      </w:r>
    </w:p>
    <w:p w14:paraId="76B03C77" w14:textId="77777777" w:rsidR="007D160C" w:rsidRPr="00AC2741" w:rsidRDefault="007D160C">
      <w:pPr>
        <w:shd w:val="clear" w:color="auto" w:fill="FFFFFF"/>
        <w:spacing w:line="360" w:lineRule="auto"/>
        <w:jc w:val="both"/>
        <w:rPr>
          <w:rFonts w:ascii="Palatino Linotype" w:eastAsia="Palatino Linotype" w:hAnsi="Palatino Linotype" w:cs="Palatino Linotype"/>
          <w:sz w:val="22"/>
          <w:szCs w:val="22"/>
        </w:rPr>
      </w:pPr>
    </w:p>
    <w:p w14:paraId="620C9FC8" w14:textId="77777777" w:rsidR="007D160C" w:rsidRPr="00AC2741" w:rsidRDefault="00DF6B5B">
      <w:pPr>
        <w:spacing w:line="360" w:lineRule="auto"/>
        <w:jc w:val="center"/>
        <w:rPr>
          <w:rFonts w:ascii="Palatino Linotype" w:eastAsia="Palatino Linotype" w:hAnsi="Palatino Linotype" w:cs="Palatino Linotype"/>
          <w:b/>
          <w:sz w:val="22"/>
          <w:szCs w:val="22"/>
        </w:rPr>
      </w:pPr>
      <w:r w:rsidRPr="00AC2741">
        <w:rPr>
          <w:rFonts w:ascii="Palatino Linotype" w:eastAsia="Palatino Linotype" w:hAnsi="Palatino Linotype" w:cs="Palatino Linotype"/>
          <w:b/>
          <w:sz w:val="22"/>
          <w:szCs w:val="22"/>
        </w:rPr>
        <w:t>R E S U E L V E:</w:t>
      </w:r>
    </w:p>
    <w:p w14:paraId="195AB3EB" w14:textId="77777777" w:rsidR="007D160C" w:rsidRPr="00AC2741" w:rsidRDefault="007D160C">
      <w:pPr>
        <w:spacing w:line="360" w:lineRule="auto"/>
        <w:jc w:val="center"/>
        <w:rPr>
          <w:rFonts w:ascii="Palatino Linotype" w:eastAsia="Palatino Linotype" w:hAnsi="Palatino Linotype" w:cs="Palatino Linotype"/>
          <w:sz w:val="22"/>
          <w:szCs w:val="22"/>
        </w:rPr>
      </w:pPr>
    </w:p>
    <w:p w14:paraId="1878895F" w14:textId="7A959342" w:rsidR="00030BAF" w:rsidRPr="00AC2741" w:rsidRDefault="00030BAF" w:rsidP="00030BAF">
      <w:pPr>
        <w:spacing w:line="360" w:lineRule="auto"/>
        <w:jc w:val="both"/>
        <w:rPr>
          <w:sz w:val="22"/>
          <w:szCs w:val="22"/>
        </w:rPr>
      </w:pPr>
      <w:r w:rsidRPr="00AC2741">
        <w:rPr>
          <w:rFonts w:ascii="Palatino Linotype" w:eastAsia="Palatino Linotype" w:hAnsi="Palatino Linotype" w:cs="Palatino Linotype"/>
          <w:b/>
          <w:sz w:val="22"/>
          <w:szCs w:val="22"/>
        </w:rPr>
        <w:t xml:space="preserve">Primero. </w:t>
      </w:r>
      <w:r w:rsidRPr="00AC2741">
        <w:rPr>
          <w:rFonts w:ascii="Palatino Linotype" w:eastAsia="Palatino Linotype" w:hAnsi="Palatino Linotype" w:cs="Palatino Linotype"/>
          <w:sz w:val="22"/>
          <w:szCs w:val="22"/>
        </w:rPr>
        <w:t>Resultan</w:t>
      </w:r>
      <w:r w:rsidRPr="00AC2741">
        <w:rPr>
          <w:rFonts w:ascii="Palatino Linotype" w:eastAsia="Palatino Linotype" w:hAnsi="Palatino Linotype" w:cs="Palatino Linotype"/>
          <w:b/>
          <w:sz w:val="22"/>
          <w:szCs w:val="22"/>
        </w:rPr>
        <w:t xml:space="preserve"> infundados</w:t>
      </w:r>
      <w:r w:rsidRPr="00AC2741">
        <w:rPr>
          <w:rFonts w:ascii="Palatino Linotype" w:eastAsia="Palatino Linotype" w:hAnsi="Palatino Linotype" w:cs="Palatino Linotype"/>
          <w:sz w:val="22"/>
          <w:szCs w:val="22"/>
        </w:rPr>
        <w:t xml:space="preserve"> los motivos de inconformidad hechos valer por la parte </w:t>
      </w:r>
      <w:r w:rsidRPr="00AC2741">
        <w:rPr>
          <w:rFonts w:ascii="Palatino Linotype" w:eastAsia="Palatino Linotype" w:hAnsi="Palatino Linotype" w:cs="Palatino Linotype"/>
          <w:b/>
          <w:sz w:val="22"/>
          <w:szCs w:val="22"/>
        </w:rPr>
        <w:t xml:space="preserve">Recurrente </w:t>
      </w:r>
      <w:r w:rsidRPr="00AC2741">
        <w:rPr>
          <w:rFonts w:ascii="Palatino Linotype" w:eastAsia="Palatino Linotype" w:hAnsi="Palatino Linotype" w:cs="Palatino Linotype"/>
          <w:sz w:val="22"/>
          <w:szCs w:val="22"/>
        </w:rPr>
        <w:t xml:space="preserve">en el recurso de revisión </w:t>
      </w:r>
      <w:r w:rsidRPr="00AC2741">
        <w:rPr>
          <w:rFonts w:ascii="Palatino Linotype" w:eastAsia="Palatino Linotype" w:hAnsi="Palatino Linotype" w:cs="Palatino Linotype"/>
          <w:b/>
          <w:sz w:val="22"/>
          <w:szCs w:val="22"/>
        </w:rPr>
        <w:t>08109/INFOEM/AD/RR/202</w:t>
      </w:r>
      <w:r w:rsidR="00EE23CB" w:rsidRPr="00AC2741">
        <w:rPr>
          <w:rFonts w:ascii="Palatino Linotype" w:eastAsia="Palatino Linotype" w:hAnsi="Palatino Linotype" w:cs="Palatino Linotype"/>
          <w:b/>
          <w:sz w:val="22"/>
          <w:szCs w:val="22"/>
        </w:rPr>
        <w:t>5</w:t>
      </w:r>
      <w:r w:rsidRPr="00AC2741">
        <w:rPr>
          <w:rFonts w:ascii="Palatino Linotype" w:eastAsia="Palatino Linotype" w:hAnsi="Palatino Linotype" w:cs="Palatino Linotype"/>
          <w:sz w:val="22"/>
          <w:szCs w:val="22"/>
        </w:rPr>
        <w:t xml:space="preserve">; por lo que, en términos de los argumentos señalados en el </w:t>
      </w:r>
      <w:r w:rsidRPr="00AC2741">
        <w:rPr>
          <w:rFonts w:ascii="Palatino Linotype" w:eastAsia="Palatino Linotype" w:hAnsi="Palatino Linotype" w:cs="Palatino Linotype"/>
          <w:b/>
          <w:sz w:val="22"/>
          <w:szCs w:val="22"/>
        </w:rPr>
        <w:t>Considerando Tercero</w:t>
      </w:r>
      <w:r w:rsidRPr="00AC2741">
        <w:rPr>
          <w:rFonts w:ascii="Palatino Linotype" w:eastAsia="Palatino Linotype" w:hAnsi="Palatino Linotype" w:cs="Palatino Linotype"/>
          <w:sz w:val="22"/>
          <w:szCs w:val="22"/>
        </w:rPr>
        <w:t xml:space="preserve">, se </w:t>
      </w:r>
      <w:r w:rsidRPr="00AC2741">
        <w:rPr>
          <w:rFonts w:ascii="Palatino Linotype" w:eastAsia="Palatino Linotype" w:hAnsi="Palatino Linotype" w:cs="Palatino Linotype"/>
          <w:b/>
          <w:sz w:val="22"/>
          <w:szCs w:val="22"/>
        </w:rPr>
        <w:t>CONFIRMA</w:t>
      </w:r>
      <w:r w:rsidRPr="00AC2741">
        <w:rPr>
          <w:rFonts w:ascii="Palatino Linotype" w:eastAsia="Palatino Linotype" w:hAnsi="Palatino Linotype" w:cs="Palatino Linotype"/>
          <w:sz w:val="22"/>
          <w:szCs w:val="22"/>
        </w:rPr>
        <w:t xml:space="preserve"> la respuesta emitida por el </w:t>
      </w:r>
      <w:r w:rsidRPr="00AC2741">
        <w:rPr>
          <w:rFonts w:ascii="Palatino Linotype" w:eastAsia="Palatino Linotype" w:hAnsi="Palatino Linotype" w:cs="Palatino Linotype"/>
          <w:b/>
          <w:sz w:val="22"/>
          <w:szCs w:val="22"/>
        </w:rPr>
        <w:t>Sujeto Obligado.</w:t>
      </w:r>
    </w:p>
    <w:p w14:paraId="633ACCBD" w14:textId="77777777" w:rsidR="00030BAF" w:rsidRPr="00AC2741" w:rsidRDefault="00030BAF" w:rsidP="00030BAF">
      <w:pPr>
        <w:spacing w:line="360" w:lineRule="auto"/>
        <w:jc w:val="both"/>
        <w:rPr>
          <w:rFonts w:ascii="Palatino Linotype" w:eastAsia="Palatino Linotype" w:hAnsi="Palatino Linotype" w:cs="Palatino Linotype"/>
          <w:b/>
          <w:sz w:val="22"/>
          <w:szCs w:val="22"/>
        </w:rPr>
      </w:pPr>
      <w:bookmarkStart w:id="9" w:name="_heading=h.4d34og8" w:colFirst="0" w:colLast="0"/>
      <w:bookmarkEnd w:id="9"/>
    </w:p>
    <w:p w14:paraId="61CD5695" w14:textId="77777777" w:rsidR="00030BAF" w:rsidRPr="00AC2741" w:rsidRDefault="00030BAF" w:rsidP="00030BAF">
      <w:pPr>
        <w:spacing w:line="360" w:lineRule="auto"/>
        <w:jc w:val="both"/>
        <w:rPr>
          <w:sz w:val="22"/>
          <w:szCs w:val="22"/>
        </w:rPr>
      </w:pPr>
      <w:r w:rsidRPr="00AC2741">
        <w:rPr>
          <w:rFonts w:ascii="Palatino Linotype" w:eastAsia="Palatino Linotype" w:hAnsi="Palatino Linotype" w:cs="Palatino Linotype"/>
          <w:b/>
          <w:sz w:val="22"/>
          <w:szCs w:val="22"/>
        </w:rPr>
        <w:t>Segundo</w:t>
      </w:r>
      <w:r w:rsidRPr="00AC2741">
        <w:rPr>
          <w:rFonts w:ascii="Palatino Linotype" w:eastAsia="Palatino Linotype" w:hAnsi="Palatino Linotype" w:cs="Palatino Linotype"/>
          <w:sz w:val="22"/>
          <w:szCs w:val="22"/>
        </w:rPr>
        <w:t xml:space="preserve">. Notifíquese, vía </w:t>
      </w:r>
      <w:r w:rsidRPr="00AC2741">
        <w:rPr>
          <w:rFonts w:ascii="Palatino Linotype" w:eastAsia="Palatino Linotype" w:hAnsi="Palatino Linotype" w:cs="Palatino Linotype"/>
          <w:b/>
          <w:sz w:val="22"/>
          <w:szCs w:val="22"/>
        </w:rPr>
        <w:t>SARCOEM</w:t>
      </w:r>
      <w:r w:rsidRPr="00AC2741">
        <w:rPr>
          <w:rFonts w:ascii="Palatino Linotype" w:eastAsia="Palatino Linotype" w:hAnsi="Palatino Linotype" w:cs="Palatino Linotype"/>
          <w:sz w:val="22"/>
          <w:szCs w:val="22"/>
        </w:rPr>
        <w:t xml:space="preserve">, al Titular de la Unidad de Transparencia del </w:t>
      </w:r>
      <w:r w:rsidRPr="00AC2741">
        <w:rPr>
          <w:rFonts w:ascii="Palatino Linotype" w:eastAsia="Palatino Linotype" w:hAnsi="Palatino Linotype" w:cs="Palatino Linotype"/>
          <w:b/>
          <w:sz w:val="22"/>
          <w:szCs w:val="22"/>
        </w:rPr>
        <w:t>Sujeto Obligado</w:t>
      </w:r>
      <w:r w:rsidRPr="00AC2741">
        <w:rPr>
          <w:rFonts w:ascii="Palatino Linotype" w:eastAsia="Palatino Linotype" w:hAnsi="Palatino Linotype" w:cs="Palatino Linotype"/>
          <w:sz w:val="22"/>
          <w:szCs w:val="22"/>
        </w:rPr>
        <w:t>, la presente resolución para su conocimiento.</w:t>
      </w:r>
    </w:p>
    <w:p w14:paraId="1D7F8FDC" w14:textId="77777777" w:rsidR="00030BAF" w:rsidRPr="00AC2741" w:rsidRDefault="00030BAF" w:rsidP="00030BAF">
      <w:pPr>
        <w:spacing w:line="360" w:lineRule="auto"/>
        <w:rPr>
          <w:sz w:val="22"/>
          <w:szCs w:val="22"/>
        </w:rPr>
      </w:pPr>
    </w:p>
    <w:p w14:paraId="41BEBCD2" w14:textId="77777777" w:rsidR="00030BAF" w:rsidRPr="00AC2741" w:rsidRDefault="00030BAF" w:rsidP="00030BAF">
      <w:pPr>
        <w:spacing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b/>
          <w:sz w:val="22"/>
          <w:szCs w:val="22"/>
        </w:rPr>
        <w:t>Tercero.  Notifíquese</w:t>
      </w:r>
      <w:r w:rsidRPr="00AC2741">
        <w:rPr>
          <w:rFonts w:ascii="Palatino Linotype" w:eastAsia="Palatino Linotype" w:hAnsi="Palatino Linotype" w:cs="Palatino Linotype"/>
          <w:sz w:val="22"/>
          <w:szCs w:val="22"/>
        </w:rPr>
        <w:t xml:space="preserve"> vía </w:t>
      </w:r>
      <w:r w:rsidRPr="00AC2741">
        <w:rPr>
          <w:rFonts w:ascii="Palatino Linotype" w:eastAsia="Palatino Linotype" w:hAnsi="Palatino Linotype" w:cs="Palatino Linotype"/>
          <w:b/>
          <w:sz w:val="22"/>
          <w:szCs w:val="22"/>
        </w:rPr>
        <w:t xml:space="preserve">SARCOEM, </w:t>
      </w:r>
      <w:r w:rsidRPr="00AC2741">
        <w:rPr>
          <w:rFonts w:ascii="Palatino Linotype" w:eastAsia="Palatino Linotype" w:hAnsi="Palatino Linotype" w:cs="Palatino Linotype"/>
          <w:sz w:val="22"/>
          <w:szCs w:val="22"/>
        </w:rPr>
        <w:t xml:space="preserve">a </w:t>
      </w:r>
      <w:r w:rsidRPr="00AC2741">
        <w:rPr>
          <w:rFonts w:ascii="Palatino Linotype" w:eastAsia="Palatino Linotype" w:hAnsi="Palatino Linotype" w:cs="Palatino Linotype"/>
          <w:b/>
          <w:sz w:val="22"/>
          <w:szCs w:val="22"/>
        </w:rPr>
        <w:t>la parte</w:t>
      </w:r>
      <w:r w:rsidRPr="00AC2741">
        <w:rPr>
          <w:rFonts w:ascii="Palatino Linotype" w:eastAsia="Palatino Linotype" w:hAnsi="Palatino Linotype" w:cs="Palatino Linotype"/>
          <w:sz w:val="22"/>
          <w:szCs w:val="22"/>
        </w:rPr>
        <w:t xml:space="preserve"> </w:t>
      </w:r>
      <w:r w:rsidRPr="00AC2741">
        <w:rPr>
          <w:rFonts w:ascii="Palatino Linotype" w:eastAsia="Palatino Linotype" w:hAnsi="Palatino Linotype" w:cs="Palatino Linotype"/>
          <w:b/>
          <w:sz w:val="22"/>
          <w:szCs w:val="22"/>
        </w:rPr>
        <w:t>Recurrente</w:t>
      </w:r>
      <w:r w:rsidRPr="00AC2741">
        <w:rPr>
          <w:rFonts w:ascii="Palatino Linotype" w:eastAsia="Palatino Linotype" w:hAnsi="Palatino Linotype" w:cs="Palatino Linotype"/>
          <w:sz w:val="22"/>
          <w:szCs w:val="22"/>
        </w:rPr>
        <w:t xml:space="preserve"> la presente resolución, así como que de conformidad con lo establecido en el artículo 142 de la Ley de Protección de Datos Personales en Posesión de Sujetos Obligados del Estado de México y Municipios, podrá promover el Juicio de Amparo en los términos de las leyes aplicables.</w:t>
      </w:r>
    </w:p>
    <w:p w14:paraId="51069BDC" w14:textId="2E60653B" w:rsidR="007D160C" w:rsidRPr="00AC2741" w:rsidRDefault="00DF6B5B">
      <w:pPr>
        <w:spacing w:before="240" w:after="240" w:line="360" w:lineRule="auto"/>
        <w:jc w:val="both"/>
        <w:rPr>
          <w:rFonts w:ascii="Palatino Linotype" w:eastAsia="Palatino Linotype" w:hAnsi="Palatino Linotype" w:cs="Palatino Linotype"/>
          <w:sz w:val="22"/>
          <w:szCs w:val="22"/>
        </w:rPr>
      </w:pPr>
      <w:r w:rsidRPr="00AC2741">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030BAF" w:rsidRPr="00AC2741">
        <w:rPr>
          <w:rFonts w:ascii="Palatino Linotype" w:eastAsia="Palatino Linotype" w:hAnsi="Palatino Linotype" w:cs="Palatino Linotype"/>
          <w:sz w:val="22"/>
          <w:szCs w:val="22"/>
        </w:rPr>
        <w:t>OCTAVA SESIÓN</w:t>
      </w:r>
      <w:r w:rsidRPr="00AC2741">
        <w:rPr>
          <w:rFonts w:ascii="Palatino Linotype" w:eastAsia="Palatino Linotype" w:hAnsi="Palatino Linotype" w:cs="Palatino Linotype"/>
          <w:sz w:val="22"/>
          <w:szCs w:val="22"/>
        </w:rPr>
        <w:t xml:space="preserve"> ORDINARIA, CELEBRADA EL</w:t>
      </w:r>
      <w:r w:rsidRPr="00AC2741">
        <w:rPr>
          <w:sz w:val="22"/>
          <w:szCs w:val="22"/>
        </w:rPr>
        <w:t xml:space="preserve"> </w:t>
      </w:r>
      <w:r w:rsidR="00030BAF" w:rsidRPr="00AC2741">
        <w:rPr>
          <w:rFonts w:ascii="Palatino Linotype" w:eastAsia="Palatino Linotype" w:hAnsi="Palatino Linotype" w:cs="Palatino Linotype"/>
          <w:sz w:val="22"/>
          <w:szCs w:val="22"/>
        </w:rPr>
        <w:t>CI</w:t>
      </w:r>
      <w:r w:rsidR="00AC2741" w:rsidRPr="00AC2741">
        <w:rPr>
          <w:rFonts w:ascii="Palatino Linotype" w:eastAsia="Palatino Linotype" w:hAnsi="Palatino Linotype" w:cs="Palatino Linotype"/>
          <w:sz w:val="22"/>
          <w:szCs w:val="22"/>
        </w:rPr>
        <w:t>NCO DE MARZO DE DOS MIL VEINTISÉ</w:t>
      </w:r>
      <w:r w:rsidR="00030BAF" w:rsidRPr="00AC2741">
        <w:rPr>
          <w:rFonts w:ascii="Palatino Linotype" w:eastAsia="Palatino Linotype" w:hAnsi="Palatino Linotype" w:cs="Palatino Linotype"/>
          <w:sz w:val="22"/>
          <w:szCs w:val="22"/>
        </w:rPr>
        <w:t>IS</w:t>
      </w:r>
      <w:r w:rsidRPr="00AC2741">
        <w:rPr>
          <w:rFonts w:ascii="Palatino Linotype" w:eastAsia="Palatino Linotype" w:hAnsi="Palatino Linotype" w:cs="Palatino Linotype"/>
          <w:sz w:val="22"/>
          <w:szCs w:val="22"/>
        </w:rPr>
        <w:t>, ANTE EL SECRETARIO TÉCNICO DEL PLENO ALEXIS TAPIA RAMÍREZ.</w:t>
      </w:r>
    </w:p>
    <w:p w14:paraId="05961CC2" w14:textId="77777777" w:rsidR="007D160C" w:rsidRPr="00AC2741" w:rsidRDefault="007D160C">
      <w:pPr>
        <w:spacing w:before="240" w:after="240" w:line="360" w:lineRule="auto"/>
        <w:jc w:val="both"/>
        <w:rPr>
          <w:rFonts w:ascii="Palatino Linotype" w:eastAsia="Palatino Linotype" w:hAnsi="Palatino Linotype" w:cs="Palatino Linotype"/>
          <w:sz w:val="22"/>
          <w:szCs w:val="22"/>
        </w:rPr>
      </w:pPr>
    </w:p>
    <w:p w14:paraId="6AD9E164" w14:textId="77777777" w:rsidR="007D160C" w:rsidRPr="00AC2741" w:rsidRDefault="007D160C">
      <w:pPr>
        <w:spacing w:line="360" w:lineRule="auto"/>
        <w:jc w:val="both"/>
        <w:rPr>
          <w:rFonts w:ascii="Palatino Linotype" w:eastAsia="Palatino Linotype" w:hAnsi="Palatino Linotype" w:cs="Palatino Linotype"/>
          <w:sz w:val="22"/>
          <w:szCs w:val="22"/>
        </w:rPr>
      </w:pPr>
      <w:bookmarkStart w:id="10" w:name="_heading=h.1t3h5sf" w:colFirst="0" w:colLast="0"/>
      <w:bookmarkEnd w:id="10"/>
    </w:p>
    <w:p w14:paraId="43A8ABE5"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38D73FB1"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34B3386D"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5A88803E"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41ACB1C6"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192CDE4F"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69594D52"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21F82DB7"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48FE80AC"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669B335A"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6B0E00F9"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13484546"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569648CC"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5E73A70E"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15DCA1F9"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4C3E97C9"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1851DB0E"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174D642E"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0F09061D"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683C525C"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6D308CBA"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7A93BEB1"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110787B6"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68EE0AE2" w14:textId="77777777" w:rsidR="007D160C" w:rsidRPr="00AC2741" w:rsidRDefault="007D160C">
      <w:pPr>
        <w:spacing w:line="360" w:lineRule="auto"/>
        <w:jc w:val="both"/>
        <w:rPr>
          <w:rFonts w:ascii="Palatino Linotype" w:eastAsia="Palatino Linotype" w:hAnsi="Palatino Linotype" w:cs="Palatino Linotype"/>
          <w:sz w:val="22"/>
          <w:szCs w:val="22"/>
        </w:rPr>
      </w:pPr>
    </w:p>
    <w:p w14:paraId="0F248208" w14:textId="77777777" w:rsidR="007D160C" w:rsidRPr="00AC2741" w:rsidRDefault="007D160C">
      <w:pPr>
        <w:spacing w:line="360" w:lineRule="auto"/>
        <w:jc w:val="both"/>
        <w:rPr>
          <w:rFonts w:ascii="Palatino Linotype" w:eastAsia="Palatino Linotype" w:hAnsi="Palatino Linotype" w:cs="Palatino Linotype"/>
          <w:sz w:val="22"/>
          <w:szCs w:val="22"/>
        </w:rPr>
      </w:pPr>
    </w:p>
    <w:sectPr w:rsidR="007D160C" w:rsidRPr="00AC2741">
      <w:headerReference w:type="default" r:id="rId16"/>
      <w:footerReference w:type="default" r:id="rId17"/>
      <w:headerReference w:type="first" r:id="rId18"/>
      <w:footerReference w:type="first" r:id="rId19"/>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60954" w14:textId="77777777" w:rsidR="00E75AC6" w:rsidRDefault="00E75AC6">
      <w:r>
        <w:separator/>
      </w:r>
    </w:p>
  </w:endnote>
  <w:endnote w:type="continuationSeparator" w:id="0">
    <w:p w14:paraId="56ED9661" w14:textId="77777777" w:rsidR="00E75AC6" w:rsidRDefault="00E75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Liberation Serif">
    <w:panose1 w:val="00000000000000000000"/>
    <w:charset w:val="00"/>
    <w:family w:val="roman"/>
    <w:notTrueType/>
    <w:pitch w:val="default"/>
  </w:font>
  <w:font w:name="DejaVu Sans">
    <w:charset w:val="00"/>
    <w:family w:val="swiss"/>
    <w:pitch w:val="variable"/>
    <w:sig w:usb0="E7002EFF" w:usb1="D200FDFF" w:usb2="0A246029" w:usb3="00000000" w:csb0="000001FF" w:csb1="00000000"/>
  </w:font>
  <w:font w:name="Lohit Hindi">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Myriad Pro">
    <w:panose1 w:val="00000000000000000000"/>
    <w:charset w:val="00"/>
    <w:family w:val="roman"/>
    <w:notTrueType/>
    <w:pitch w:val="default"/>
  </w:font>
  <w:font w:name="MS Mincho">
    <w:altName w:val="Yu Gothic UI"/>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6163E" w14:textId="44F50CDD" w:rsidR="00B645BA" w:rsidRDefault="00B645B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392773">
      <w:rPr>
        <w:rFonts w:ascii="Palatino Linotype" w:eastAsia="Palatino Linotype" w:hAnsi="Palatino Linotype" w:cs="Palatino Linotype"/>
        <w:b/>
        <w:noProof/>
        <w:color w:val="000000"/>
        <w:sz w:val="20"/>
        <w:szCs w:val="20"/>
      </w:rPr>
      <w:t>24</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92773">
      <w:rPr>
        <w:rFonts w:ascii="Palatino Linotype" w:eastAsia="Palatino Linotype" w:hAnsi="Palatino Linotype" w:cs="Palatino Linotype"/>
        <w:b/>
        <w:noProof/>
        <w:color w:val="000000"/>
        <w:sz w:val="20"/>
        <w:szCs w:val="20"/>
      </w:rPr>
      <w:t>26</w:t>
    </w:r>
    <w:r>
      <w:rPr>
        <w:rFonts w:ascii="Palatino Linotype" w:eastAsia="Palatino Linotype" w:hAnsi="Palatino Linotype" w:cs="Palatino Linotype"/>
        <w:b/>
        <w:color w:val="000000"/>
        <w:sz w:val="20"/>
        <w:szCs w:val="20"/>
      </w:rPr>
      <w:fldChar w:fldCharType="end"/>
    </w:r>
  </w:p>
  <w:p w14:paraId="5AE0006B" w14:textId="77777777" w:rsidR="00B645BA" w:rsidRDefault="00B645BA">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26E30" w14:textId="51003A9D" w:rsidR="00B645BA" w:rsidRDefault="00B645B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392773">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92773">
      <w:rPr>
        <w:rFonts w:ascii="Palatino Linotype" w:eastAsia="Palatino Linotype" w:hAnsi="Palatino Linotype" w:cs="Palatino Linotype"/>
        <w:b/>
        <w:noProof/>
        <w:color w:val="000000"/>
        <w:sz w:val="20"/>
        <w:szCs w:val="20"/>
      </w:rPr>
      <w:t>26</w:t>
    </w:r>
    <w:r>
      <w:rPr>
        <w:rFonts w:ascii="Palatino Linotype" w:eastAsia="Palatino Linotype" w:hAnsi="Palatino Linotype" w:cs="Palatino Linotype"/>
        <w:b/>
        <w:color w:val="000000"/>
        <w:sz w:val="20"/>
        <w:szCs w:val="20"/>
      </w:rPr>
      <w:fldChar w:fldCharType="end"/>
    </w:r>
  </w:p>
  <w:p w14:paraId="2679FCA2" w14:textId="77777777" w:rsidR="00B645BA" w:rsidRDefault="00B645BA">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B0B04" w14:textId="77777777" w:rsidR="00E75AC6" w:rsidRDefault="00E75AC6">
      <w:r>
        <w:separator/>
      </w:r>
    </w:p>
  </w:footnote>
  <w:footnote w:type="continuationSeparator" w:id="0">
    <w:p w14:paraId="352DBB31" w14:textId="77777777" w:rsidR="00E75AC6" w:rsidRDefault="00E75A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8A9B3" w14:textId="77777777" w:rsidR="00B645BA" w:rsidRDefault="00B645BA">
    <w:pPr>
      <w:rPr>
        <w:rFonts w:ascii="Cambria" w:eastAsia="Cambria" w:hAnsi="Cambria" w:cs="Cambria"/>
        <w:color w:val="000000"/>
      </w:rPr>
    </w:pPr>
    <w:r>
      <w:rPr>
        <w:noProof/>
      </w:rPr>
      <w:drawing>
        <wp:anchor distT="0" distB="0" distL="0" distR="0" simplePos="0" relativeHeight="251658240" behindDoc="1" locked="0" layoutInCell="1" hidden="0" allowOverlap="1" wp14:anchorId="7C984D69" wp14:editId="79DEC1C8">
          <wp:simplePos x="0" y="0"/>
          <wp:positionH relativeFrom="column">
            <wp:posOffset>-1080116</wp:posOffset>
          </wp:positionH>
          <wp:positionV relativeFrom="paragraph">
            <wp:posOffset>-488294</wp:posOffset>
          </wp:positionV>
          <wp:extent cx="7809865" cy="10165715"/>
          <wp:effectExtent l="0" t="0" r="0" b="0"/>
          <wp:wrapNone/>
          <wp:docPr id="20197576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4"/>
      <w:tblW w:w="5953" w:type="dxa"/>
      <w:tblInd w:w="3261" w:type="dxa"/>
      <w:tblLayout w:type="fixed"/>
      <w:tblLook w:val="0400" w:firstRow="0" w:lastRow="0" w:firstColumn="0" w:lastColumn="0" w:noHBand="0" w:noVBand="1"/>
    </w:tblPr>
    <w:tblGrid>
      <w:gridCol w:w="2489"/>
      <w:gridCol w:w="3464"/>
    </w:tblGrid>
    <w:tr w:rsidR="00B645BA" w14:paraId="4267D9B2" w14:textId="77777777">
      <w:tc>
        <w:tcPr>
          <w:tcW w:w="2489" w:type="dxa"/>
          <w:shd w:val="clear" w:color="auto" w:fill="auto"/>
        </w:tcPr>
        <w:p w14:paraId="2E52F40C" w14:textId="77777777" w:rsidR="00B645BA" w:rsidRDefault="00B645B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shd w:val="clear" w:color="auto" w:fill="auto"/>
          <w:vAlign w:val="center"/>
        </w:tcPr>
        <w:p w14:paraId="3F6936CB" w14:textId="025E156C" w:rsidR="00B645BA" w:rsidRDefault="00B645BA" w:rsidP="00630EDD">
          <w:pPr>
            <w:ind w:left="-53"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08109/INFOEM/AD/RR/2025</w:t>
          </w:r>
        </w:p>
      </w:tc>
    </w:tr>
    <w:tr w:rsidR="00B645BA" w14:paraId="354A82C4" w14:textId="77777777">
      <w:trPr>
        <w:trHeight w:val="228"/>
      </w:trPr>
      <w:tc>
        <w:tcPr>
          <w:tcW w:w="2489" w:type="dxa"/>
          <w:shd w:val="clear" w:color="auto" w:fill="auto"/>
          <w:vAlign w:val="center"/>
        </w:tcPr>
        <w:p w14:paraId="2517543D" w14:textId="77777777" w:rsidR="00B645BA" w:rsidRDefault="00B645B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shd w:val="clear" w:color="auto" w:fill="auto"/>
          <w:vAlign w:val="center"/>
        </w:tcPr>
        <w:p w14:paraId="0B076215" w14:textId="7051A5F9" w:rsidR="00B645BA" w:rsidRDefault="00B645BA">
          <w:pPr>
            <w:ind w:left="-45" w:right="176"/>
            <w:jc w:val="both"/>
            <w:rPr>
              <w:rFonts w:ascii="Palatino Linotype" w:eastAsia="Palatino Linotype" w:hAnsi="Palatino Linotype" w:cs="Palatino Linotype"/>
              <w:b/>
              <w:sz w:val="22"/>
              <w:szCs w:val="22"/>
            </w:rPr>
          </w:pPr>
          <w:r w:rsidRPr="00781FC9">
            <w:rPr>
              <w:rFonts w:ascii="Palatino Linotype" w:eastAsia="Palatino Linotype" w:hAnsi="Palatino Linotype" w:cs="Palatino Linotype"/>
              <w:b/>
              <w:bCs/>
              <w:sz w:val="22"/>
              <w:szCs w:val="22"/>
            </w:rPr>
            <w:t>Secretaría del Trabajo</w:t>
          </w:r>
        </w:p>
      </w:tc>
    </w:tr>
    <w:tr w:rsidR="00B645BA" w14:paraId="5F1D0D81" w14:textId="77777777">
      <w:tc>
        <w:tcPr>
          <w:tcW w:w="2489" w:type="dxa"/>
          <w:shd w:val="clear" w:color="auto" w:fill="auto"/>
          <w:vAlign w:val="center"/>
        </w:tcPr>
        <w:p w14:paraId="06876975" w14:textId="77777777" w:rsidR="00B645BA" w:rsidRDefault="00B645BA">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shd w:val="clear" w:color="auto" w:fill="auto"/>
          <w:vAlign w:val="center"/>
        </w:tcPr>
        <w:p w14:paraId="13E54F3A" w14:textId="77777777" w:rsidR="00B645BA" w:rsidRDefault="00B645BA">
          <w:pPr>
            <w:ind w:left="-53"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89BF8DC" w14:textId="77777777" w:rsidR="00B645BA" w:rsidRDefault="00B645BA">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7D06B" w14:textId="77777777" w:rsidR="00B645BA" w:rsidRDefault="00B645BA">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p>
  <w:tbl>
    <w:tblPr>
      <w:tblStyle w:val="af5"/>
      <w:tblW w:w="5670" w:type="dxa"/>
      <w:tblInd w:w="3261" w:type="dxa"/>
      <w:tblLayout w:type="fixed"/>
      <w:tblLook w:val="0400" w:firstRow="0" w:lastRow="0" w:firstColumn="0" w:lastColumn="0" w:noHBand="0" w:noVBand="1"/>
    </w:tblPr>
    <w:tblGrid>
      <w:gridCol w:w="2551"/>
      <w:gridCol w:w="3119"/>
    </w:tblGrid>
    <w:tr w:rsidR="00B645BA" w14:paraId="735C8C5A" w14:textId="77777777">
      <w:tc>
        <w:tcPr>
          <w:tcW w:w="2551" w:type="dxa"/>
          <w:shd w:val="clear" w:color="auto" w:fill="auto"/>
          <w:vAlign w:val="center"/>
        </w:tcPr>
        <w:p w14:paraId="1003A391" w14:textId="77777777" w:rsidR="00B645BA" w:rsidRDefault="00B645B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119" w:type="dxa"/>
          <w:shd w:val="clear" w:color="auto" w:fill="auto"/>
          <w:vAlign w:val="center"/>
        </w:tcPr>
        <w:p w14:paraId="76A6AD8A" w14:textId="1C1A84AD" w:rsidR="00B645BA" w:rsidRDefault="00B645BA" w:rsidP="00630EDD">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08109/INFOEM/AD/RR/2025</w:t>
          </w:r>
        </w:p>
      </w:tc>
    </w:tr>
    <w:tr w:rsidR="00B645BA" w14:paraId="2E21C185" w14:textId="77777777">
      <w:trPr>
        <w:trHeight w:val="130"/>
      </w:trPr>
      <w:tc>
        <w:tcPr>
          <w:tcW w:w="2551" w:type="dxa"/>
          <w:shd w:val="clear" w:color="auto" w:fill="auto"/>
          <w:vAlign w:val="center"/>
        </w:tcPr>
        <w:p w14:paraId="40815766" w14:textId="77777777" w:rsidR="00B645BA" w:rsidRDefault="00B645B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119" w:type="dxa"/>
          <w:shd w:val="clear" w:color="auto" w:fill="auto"/>
          <w:vAlign w:val="center"/>
        </w:tcPr>
        <w:p w14:paraId="3D02C3E3" w14:textId="584B2193" w:rsidR="00B645BA" w:rsidRPr="006E190E" w:rsidRDefault="00392773" w:rsidP="00392773">
          <w:pPr>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bCs/>
              <w:sz w:val="22"/>
              <w:szCs w:val="22"/>
            </w:rPr>
            <w:t xml:space="preserve">XXXXXXX XXXXXX XXXXXXXXX </w:t>
          </w:r>
        </w:p>
      </w:tc>
    </w:tr>
    <w:tr w:rsidR="00B645BA" w14:paraId="435BC72D" w14:textId="77777777">
      <w:trPr>
        <w:trHeight w:val="228"/>
      </w:trPr>
      <w:tc>
        <w:tcPr>
          <w:tcW w:w="2551" w:type="dxa"/>
          <w:shd w:val="clear" w:color="auto" w:fill="auto"/>
          <w:vAlign w:val="center"/>
        </w:tcPr>
        <w:p w14:paraId="6009CDED" w14:textId="77777777" w:rsidR="00B645BA" w:rsidRDefault="00B645B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119" w:type="dxa"/>
          <w:shd w:val="clear" w:color="auto" w:fill="auto"/>
          <w:vAlign w:val="center"/>
        </w:tcPr>
        <w:p w14:paraId="732DE94B" w14:textId="44D3EB7E" w:rsidR="00B645BA" w:rsidRDefault="00B645BA">
          <w:pPr>
            <w:ind w:left="-45" w:right="176"/>
            <w:jc w:val="both"/>
            <w:rPr>
              <w:rFonts w:ascii="Palatino Linotype" w:eastAsia="Palatino Linotype" w:hAnsi="Palatino Linotype" w:cs="Palatino Linotype"/>
              <w:b/>
              <w:sz w:val="22"/>
              <w:szCs w:val="22"/>
            </w:rPr>
          </w:pPr>
          <w:r w:rsidRPr="00781FC9">
            <w:rPr>
              <w:rFonts w:ascii="Palatino Linotype" w:eastAsia="Palatino Linotype" w:hAnsi="Palatino Linotype" w:cs="Palatino Linotype"/>
              <w:b/>
              <w:bCs/>
              <w:sz w:val="22"/>
              <w:szCs w:val="22"/>
            </w:rPr>
            <w:t>Secretaría del Trabajo</w:t>
          </w:r>
          <w:r>
            <w:rPr>
              <w:noProof/>
            </w:rPr>
            <w:drawing>
              <wp:anchor distT="0" distB="0" distL="0" distR="0" simplePos="0" relativeHeight="251659264" behindDoc="1" locked="0" layoutInCell="1" hidden="0" allowOverlap="1" wp14:anchorId="71BD139C" wp14:editId="7DA62E8C">
                <wp:simplePos x="0" y="0"/>
                <wp:positionH relativeFrom="column">
                  <wp:posOffset>-4875529</wp:posOffset>
                </wp:positionH>
                <wp:positionV relativeFrom="paragraph">
                  <wp:posOffset>-1099184</wp:posOffset>
                </wp:positionV>
                <wp:extent cx="7809865" cy="10165715"/>
                <wp:effectExtent l="0" t="0" r="0" b="0"/>
                <wp:wrapNone/>
                <wp:docPr id="20197576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c>
    </w:tr>
    <w:tr w:rsidR="00B645BA" w14:paraId="366FDFEE" w14:textId="77777777">
      <w:tc>
        <w:tcPr>
          <w:tcW w:w="2551" w:type="dxa"/>
          <w:shd w:val="clear" w:color="auto" w:fill="auto"/>
          <w:vAlign w:val="center"/>
        </w:tcPr>
        <w:p w14:paraId="32F4D69A" w14:textId="77777777" w:rsidR="00B645BA" w:rsidRDefault="00B645B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119" w:type="dxa"/>
          <w:shd w:val="clear" w:color="auto" w:fill="auto"/>
          <w:vAlign w:val="center"/>
        </w:tcPr>
        <w:p w14:paraId="75D98FD5" w14:textId="77777777" w:rsidR="00B645BA" w:rsidRDefault="00B645BA">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CEE898B" w14:textId="77777777" w:rsidR="00B645BA" w:rsidRDefault="00B645BA">
    <w:pPr>
      <w:pBdr>
        <w:top w:val="nil"/>
        <w:left w:val="nil"/>
        <w:bottom w:val="nil"/>
        <w:right w:val="nil"/>
        <w:between w:val="nil"/>
      </w:pBdr>
      <w:tabs>
        <w:tab w:val="center" w:pos="4252"/>
        <w:tab w:val="right" w:pos="8504"/>
      </w:tabs>
      <w:rPr>
        <w:rFonts w:ascii="Cambria" w:eastAsia="Cambria" w:hAnsi="Cambria" w:cs="Cambria"/>
        <w:color w:val="000000"/>
      </w:rPr>
    </w:pPr>
  </w:p>
  <w:p w14:paraId="661FA2C3" w14:textId="77777777" w:rsidR="00B645BA" w:rsidRDefault="00B645B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33C9"/>
    <w:multiLevelType w:val="multilevel"/>
    <w:tmpl w:val="DF1256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93200D"/>
    <w:multiLevelType w:val="multilevel"/>
    <w:tmpl w:val="8EC0D6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DE401F"/>
    <w:multiLevelType w:val="multilevel"/>
    <w:tmpl w:val="6D8E66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584AA0"/>
    <w:multiLevelType w:val="multilevel"/>
    <w:tmpl w:val="3C224F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113688"/>
    <w:multiLevelType w:val="multilevel"/>
    <w:tmpl w:val="82C2D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0DB0CB1"/>
    <w:multiLevelType w:val="hybridMultilevel"/>
    <w:tmpl w:val="B7D27F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D225429"/>
    <w:multiLevelType w:val="multilevel"/>
    <w:tmpl w:val="C07ABDB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CA27501"/>
    <w:multiLevelType w:val="multilevel"/>
    <w:tmpl w:val="EBE09FCE"/>
    <w:lvl w:ilvl="0">
      <w:start w:val="1"/>
      <w:numFmt w:val="upperRoman"/>
      <w:pStyle w:val="Listaconvietas3"/>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DF83F7B"/>
    <w:multiLevelType w:val="hybridMultilevel"/>
    <w:tmpl w:val="4C1E94CA"/>
    <w:lvl w:ilvl="0" w:tplc="FDE014D6">
      <w:start w:val="5"/>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65E7831"/>
    <w:multiLevelType w:val="multilevel"/>
    <w:tmpl w:val="70D287EC"/>
    <w:lvl w:ilvl="0">
      <w:numFmt w:val="bullet"/>
      <w:lvlText w:val="-"/>
      <w:lvlJc w:val="left"/>
      <w:pPr>
        <w:ind w:left="720" w:hanging="360"/>
      </w:pPr>
      <w:rPr>
        <w:rFonts w:ascii="Palatino Linotype" w:eastAsia="Palatino Linotype" w:hAnsi="Palatino Linotype" w:cs="Palatino Linotype"/>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9A8325A"/>
    <w:multiLevelType w:val="hybridMultilevel"/>
    <w:tmpl w:val="B7942A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2"/>
  </w:num>
  <w:num w:numId="5">
    <w:abstractNumId w:val="4"/>
  </w:num>
  <w:num w:numId="6">
    <w:abstractNumId w:val="6"/>
  </w:num>
  <w:num w:numId="7">
    <w:abstractNumId w:val="5"/>
  </w:num>
  <w:num w:numId="8">
    <w:abstractNumId w:val="10"/>
  </w:num>
  <w:num w:numId="9">
    <w:abstractNumId w:val="8"/>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60C"/>
    <w:rsid w:val="000046B3"/>
    <w:rsid w:val="00030BAF"/>
    <w:rsid w:val="00035DEB"/>
    <w:rsid w:val="0008644C"/>
    <w:rsid w:val="001619CB"/>
    <w:rsid w:val="001648B0"/>
    <w:rsid w:val="00167D63"/>
    <w:rsid w:val="001C59A2"/>
    <w:rsid w:val="00222757"/>
    <w:rsid w:val="00255A00"/>
    <w:rsid w:val="00283E04"/>
    <w:rsid w:val="002E0EAE"/>
    <w:rsid w:val="00365DE9"/>
    <w:rsid w:val="003759F9"/>
    <w:rsid w:val="00376D9E"/>
    <w:rsid w:val="0038276E"/>
    <w:rsid w:val="00392773"/>
    <w:rsid w:val="00397962"/>
    <w:rsid w:val="003B11DC"/>
    <w:rsid w:val="003C1EE5"/>
    <w:rsid w:val="003C2D62"/>
    <w:rsid w:val="00480521"/>
    <w:rsid w:val="00571E2F"/>
    <w:rsid w:val="00616A12"/>
    <w:rsid w:val="00630EDD"/>
    <w:rsid w:val="006E190E"/>
    <w:rsid w:val="00727262"/>
    <w:rsid w:val="007449B5"/>
    <w:rsid w:val="00781FC9"/>
    <w:rsid w:val="007C7386"/>
    <w:rsid w:val="007D160C"/>
    <w:rsid w:val="008B56CD"/>
    <w:rsid w:val="008C58A9"/>
    <w:rsid w:val="009021BC"/>
    <w:rsid w:val="009328C0"/>
    <w:rsid w:val="009845F4"/>
    <w:rsid w:val="0098712E"/>
    <w:rsid w:val="009901EB"/>
    <w:rsid w:val="009F0B46"/>
    <w:rsid w:val="009F4B27"/>
    <w:rsid w:val="00A73FD8"/>
    <w:rsid w:val="00AB72DE"/>
    <w:rsid w:val="00AC2741"/>
    <w:rsid w:val="00B118D7"/>
    <w:rsid w:val="00B16A69"/>
    <w:rsid w:val="00B645BA"/>
    <w:rsid w:val="00B67A40"/>
    <w:rsid w:val="00BB7A8F"/>
    <w:rsid w:val="00BD1D2C"/>
    <w:rsid w:val="00BD7329"/>
    <w:rsid w:val="00BF69B9"/>
    <w:rsid w:val="00C2252F"/>
    <w:rsid w:val="00C37376"/>
    <w:rsid w:val="00C466C0"/>
    <w:rsid w:val="00D17D65"/>
    <w:rsid w:val="00D27D2F"/>
    <w:rsid w:val="00D35136"/>
    <w:rsid w:val="00D505DE"/>
    <w:rsid w:val="00D63E90"/>
    <w:rsid w:val="00D67986"/>
    <w:rsid w:val="00D87494"/>
    <w:rsid w:val="00DF614C"/>
    <w:rsid w:val="00DF6B5B"/>
    <w:rsid w:val="00E061E0"/>
    <w:rsid w:val="00E129BA"/>
    <w:rsid w:val="00E7506E"/>
    <w:rsid w:val="00E75AC6"/>
    <w:rsid w:val="00E94D3E"/>
    <w:rsid w:val="00E95C3C"/>
    <w:rsid w:val="00EA592B"/>
    <w:rsid w:val="00ED6A51"/>
    <w:rsid w:val="00EE23CB"/>
    <w:rsid w:val="00FA4541"/>
    <w:rsid w:val="00FB54E7"/>
    <w:rsid w:val="00FD10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C365"/>
  <w15:docId w15:val="{B0497C38-F424-46EC-948B-BBE579E1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pPr>
      <w:spacing w:before="240" w:after="60"/>
      <w:ind w:left="4320" w:hanging="720"/>
      <w:outlineLvl w:val="5"/>
    </w:pPr>
    <w:rPr>
      <w:b/>
      <w:sz w:val="22"/>
      <w:szCs w:val="22"/>
    </w:rPr>
  </w:style>
  <w:style w:type="paragraph" w:styleId="Ttulo7">
    <w:name w:val="heading 7"/>
    <w:basedOn w:val="Normal"/>
    <w:next w:val="Normal"/>
    <w:link w:val="Ttulo7Car"/>
    <w:uiPriority w:val="9"/>
    <w:semiHidden/>
    <w:unhideWhenUsed/>
    <w:qFormat/>
    <w:rsid w:val="003B73CD"/>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3B73CD"/>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3B73CD"/>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80">
    <w:name w:val="Table Normal8"/>
    <w:tblPr>
      <w:tblCellMar>
        <w:top w:w="0" w:type="dxa"/>
        <w:left w:w="0" w:type="dxa"/>
        <w:bottom w:w="0" w:type="dxa"/>
        <w:right w:w="0" w:type="dxa"/>
      </w:tblCellMar>
    </w:tblPr>
  </w:style>
  <w:style w:type="table" w:customStyle="1" w:styleId="TableNormal70">
    <w:name w:val="Table Normal7"/>
    <w:tblPr>
      <w:tblCellMar>
        <w:top w:w="0" w:type="dxa"/>
        <w:left w:w="0" w:type="dxa"/>
        <w:bottom w:w="0" w:type="dxa"/>
        <w:right w:w="0" w:type="dxa"/>
      </w:tblCellMar>
    </w:tblPr>
  </w:style>
  <w:style w:type="table" w:customStyle="1" w:styleId="TableNormal60">
    <w:name w:val="Table Normal6"/>
    <w:tblPr>
      <w:tblCellMar>
        <w:top w:w="0" w:type="dxa"/>
        <w:left w:w="0" w:type="dxa"/>
        <w:bottom w:w="0" w:type="dxa"/>
        <w:right w:w="0" w:type="dxa"/>
      </w:tblCellMar>
    </w:tblPr>
  </w:style>
  <w:style w:type="table" w:customStyle="1" w:styleId="TableNormal50">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80F8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80F8C"/>
  </w:style>
  <w:style w:type="paragraph" w:styleId="Piedepgina">
    <w:name w:val="footer"/>
    <w:basedOn w:val="Normal"/>
    <w:link w:val="PiedepginaCar"/>
    <w:uiPriority w:val="99"/>
    <w:unhideWhenUsed/>
    <w:rsid w:val="00C80F8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80F8C"/>
  </w:style>
  <w:style w:type="paragraph" w:styleId="Textodeglobo">
    <w:name w:val="Balloon Text"/>
    <w:basedOn w:val="Normal"/>
    <w:link w:val="TextodegloboCar"/>
    <w:uiPriority w:val="99"/>
    <w:semiHidden/>
    <w:unhideWhenUsed/>
    <w:rsid w:val="00C80F8C"/>
    <w:rPr>
      <w:rFonts w:ascii="Lucida Grande" w:eastAsiaTheme="minorEastAsia" w:hAnsi="Lucida Grande" w:cs="Lucida Grande"/>
      <w:sz w:val="18"/>
      <w:szCs w:val="18"/>
      <w:lang w:val="es-ES_tradnl"/>
    </w:rPr>
  </w:style>
  <w:style w:type="character" w:customStyle="1" w:styleId="TextodegloboCar">
    <w:name w:val="Texto de globo Car"/>
    <w:basedOn w:val="Fuentedeprrafopredeter"/>
    <w:link w:val="Textodeglobo"/>
    <w:uiPriority w:val="99"/>
    <w:semiHidden/>
    <w:rsid w:val="00C80F8C"/>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0703E"/>
    <w:pPr>
      <w:ind w:left="720"/>
      <w:contextualSpacing/>
    </w:pPr>
  </w:style>
  <w:style w:type="character" w:styleId="Hipervnculo">
    <w:name w:val="Hyperlink"/>
    <w:basedOn w:val="Fuentedeprrafopredeter"/>
    <w:uiPriority w:val="99"/>
    <w:unhideWhenUsed/>
    <w:rsid w:val="00FD7589"/>
    <w:rPr>
      <w:color w:val="0000FF"/>
      <w:u w:val="single"/>
    </w:rPr>
  </w:style>
  <w:style w:type="character" w:customStyle="1" w:styleId="apple-converted-space">
    <w:name w:val="apple-converted-space"/>
    <w:basedOn w:val="Fuentedeprrafopredeter"/>
    <w:rsid w:val="00FD7589"/>
  </w:style>
  <w:style w:type="paragraph" w:customStyle="1" w:styleId="Listavistosa-nfasis11">
    <w:name w:val="Lista vistosa - Énfasis 11"/>
    <w:basedOn w:val="Normal"/>
    <w:link w:val="Listavistosa-nfasis1Car"/>
    <w:uiPriority w:val="34"/>
    <w:qFormat/>
    <w:rsid w:val="000D2D89"/>
    <w:pPr>
      <w:ind w:left="708"/>
    </w:pPr>
  </w:style>
  <w:style w:type="character" w:customStyle="1" w:styleId="Listavistosa-nfasis1Car">
    <w:name w:val="Lista vistosa - Énfasis 1 Car"/>
    <w:link w:val="Listavistosa-nfasis11"/>
    <w:uiPriority w:val="34"/>
    <w:locked/>
    <w:rsid w:val="000D2D89"/>
    <w:rPr>
      <w:rFonts w:ascii="Times New Roman" w:eastAsia="Times New Roman" w:hAnsi="Times New Roman" w:cs="Times New Roman"/>
      <w:lang w:val="es-ES"/>
    </w:rPr>
  </w:style>
  <w:style w:type="paragraph" w:customStyle="1" w:styleId="Texto">
    <w:name w:val="Texto"/>
    <w:basedOn w:val="Normal"/>
    <w:link w:val="TextoCar"/>
    <w:rsid w:val="000470FE"/>
    <w:pPr>
      <w:spacing w:after="101" w:line="216" w:lineRule="exact"/>
      <w:ind w:firstLine="288"/>
      <w:jc w:val="both"/>
    </w:pPr>
    <w:rPr>
      <w:rFonts w:ascii="Arial" w:hAnsi="Arial" w:cs="Arial"/>
      <w:sz w:val="18"/>
      <w:szCs w:val="18"/>
    </w:rPr>
  </w:style>
  <w:style w:type="paragraph" w:styleId="NormalWeb">
    <w:name w:val="Normal (Web)"/>
    <w:basedOn w:val="Normal"/>
    <w:uiPriority w:val="99"/>
    <w:rsid w:val="000470FE"/>
    <w:pPr>
      <w:spacing w:before="100" w:beforeAutospacing="1" w:after="100" w:afterAutospacing="1"/>
    </w:pPr>
  </w:style>
  <w:style w:type="character" w:customStyle="1" w:styleId="apple-style-span">
    <w:name w:val="apple-style-span"/>
    <w:rsid w:val="008846E7"/>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E1FF4"/>
    <w:rPr>
      <w:rFonts w:ascii="Times New Roman" w:eastAsia="Times New Roman" w:hAnsi="Times New Roman" w:cs="Times New Roman"/>
      <w:lang w:val="es-ES"/>
    </w:rPr>
  </w:style>
  <w:style w:type="character" w:styleId="Textoennegrita">
    <w:name w:val="Strong"/>
    <w:uiPriority w:val="22"/>
    <w:qFormat/>
    <w:rsid w:val="003D1B5F"/>
    <w:rPr>
      <w:b/>
      <w:bC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944C8"/>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2944C8"/>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2944C8"/>
    <w:rPr>
      <w:vertAlign w:val="superscript"/>
    </w:rPr>
  </w:style>
  <w:style w:type="paragraph" w:styleId="Sinespaciado">
    <w:name w:val="No Spacing"/>
    <w:aliases w:val="Francesa,INAI"/>
    <w:link w:val="SinespaciadoCar"/>
    <w:uiPriority w:val="1"/>
    <w:qFormat/>
    <w:rsid w:val="002944C8"/>
  </w:style>
  <w:style w:type="paragraph" w:styleId="Textoindependiente2">
    <w:name w:val="Body Text 2"/>
    <w:basedOn w:val="Normal"/>
    <w:link w:val="Textoindependiente2Car"/>
    <w:uiPriority w:val="99"/>
    <w:unhideWhenUsed/>
    <w:rsid w:val="002944C8"/>
    <w:pPr>
      <w:spacing w:after="120" w:line="480" w:lineRule="auto"/>
    </w:pPr>
  </w:style>
  <w:style w:type="character" w:customStyle="1" w:styleId="Textoindependiente2Car">
    <w:name w:val="Texto independiente 2 Car"/>
    <w:basedOn w:val="Fuentedeprrafopredeter"/>
    <w:link w:val="Textoindependiente2"/>
    <w:uiPriority w:val="99"/>
    <w:rsid w:val="002944C8"/>
    <w:rPr>
      <w:rFonts w:ascii="Times New Roman" w:eastAsia="Times New Roman" w:hAnsi="Times New Roman" w:cs="Times New Roman"/>
      <w:lang w:val="es-ES"/>
    </w:rPr>
  </w:style>
  <w:style w:type="paragraph" w:styleId="Textosinformato">
    <w:name w:val="Plain Text"/>
    <w:basedOn w:val="Normal"/>
    <w:link w:val="TextosinformatoCar"/>
    <w:rsid w:val="002944C8"/>
    <w:rPr>
      <w:rFonts w:ascii="Courier New" w:hAnsi="Courier New"/>
      <w:sz w:val="20"/>
      <w:szCs w:val="20"/>
    </w:rPr>
  </w:style>
  <w:style w:type="character" w:customStyle="1" w:styleId="TextosinformatoCar">
    <w:name w:val="Texto sin formato Car"/>
    <w:basedOn w:val="Fuentedeprrafopredeter"/>
    <w:link w:val="Textosinformato"/>
    <w:rsid w:val="002944C8"/>
    <w:rPr>
      <w:rFonts w:ascii="Courier New" w:eastAsia="Times New Roman" w:hAnsi="Courier New" w:cs="Times New Roman"/>
      <w:sz w:val="20"/>
      <w:szCs w:val="20"/>
      <w:lang w:val="es-ES"/>
    </w:rPr>
  </w:style>
  <w:style w:type="paragraph" w:customStyle="1" w:styleId="Standard">
    <w:name w:val="Standard"/>
    <w:rsid w:val="002944C8"/>
    <w:pPr>
      <w:widowControl w:val="0"/>
      <w:suppressAutoHyphens/>
      <w:autoSpaceDN w:val="0"/>
      <w:textAlignment w:val="baseline"/>
    </w:pPr>
    <w:rPr>
      <w:rFonts w:ascii="Liberation Serif" w:eastAsia="DejaVu Sans" w:hAnsi="Liberation Serif" w:cs="Lohit Hindi"/>
      <w:kern w:val="3"/>
      <w:lang w:eastAsia="zh-CN" w:bidi="hi-IN"/>
    </w:rPr>
  </w:style>
  <w:style w:type="character" w:customStyle="1" w:styleId="negritas1">
    <w:name w:val="negritas1"/>
    <w:rsid w:val="002944C8"/>
    <w:rPr>
      <w:rFonts w:ascii="Arial" w:hAnsi="Arial" w:cs="Arial" w:hint="default"/>
      <w:b/>
      <w:bCs/>
      <w:sz w:val="18"/>
      <w:szCs w:val="18"/>
    </w:rPr>
  </w:style>
  <w:style w:type="paragraph" w:customStyle="1" w:styleId="Pa2">
    <w:name w:val="Pa2"/>
    <w:basedOn w:val="Normal"/>
    <w:next w:val="Normal"/>
    <w:uiPriority w:val="99"/>
    <w:rsid w:val="002944C8"/>
    <w:pPr>
      <w:autoSpaceDE w:val="0"/>
      <w:autoSpaceDN w:val="0"/>
      <w:adjustRightInd w:val="0"/>
      <w:spacing w:line="240" w:lineRule="atLeast"/>
    </w:pPr>
    <w:rPr>
      <w:rFonts w:ascii="Helvetica" w:hAnsi="Helvetica"/>
      <w:lang w:val="es-ES_tradnl" w:eastAsia="es-ES_tradnl"/>
    </w:rPr>
  </w:style>
  <w:style w:type="paragraph" w:customStyle="1" w:styleId="Default">
    <w:name w:val="Default"/>
    <w:rsid w:val="002944C8"/>
    <w:pPr>
      <w:autoSpaceDE w:val="0"/>
      <w:autoSpaceDN w:val="0"/>
      <w:adjustRightInd w:val="0"/>
    </w:pPr>
    <w:rPr>
      <w:rFonts w:ascii="Arial" w:eastAsiaTheme="minorHAnsi" w:hAnsi="Arial" w:cs="Arial"/>
      <w:color w:val="000000"/>
      <w:lang w:eastAsia="en-US"/>
    </w:rPr>
  </w:style>
  <w:style w:type="character" w:customStyle="1" w:styleId="f">
    <w:name w:val="f"/>
    <w:basedOn w:val="Fuentedeprrafopredeter"/>
    <w:rsid w:val="002944C8"/>
  </w:style>
  <w:style w:type="paragraph" w:customStyle="1" w:styleId="q">
    <w:name w:val="q"/>
    <w:basedOn w:val="Normal"/>
    <w:rsid w:val="002944C8"/>
    <w:pPr>
      <w:spacing w:before="100" w:beforeAutospacing="1" w:after="100" w:afterAutospacing="1"/>
    </w:pPr>
  </w:style>
  <w:style w:type="character" w:customStyle="1" w:styleId="d">
    <w:name w:val="d"/>
    <w:basedOn w:val="Fuentedeprrafopredeter"/>
    <w:rsid w:val="002944C8"/>
  </w:style>
  <w:style w:type="character" w:customStyle="1" w:styleId="b">
    <w:name w:val="b"/>
    <w:basedOn w:val="Fuentedeprrafopredeter"/>
    <w:rsid w:val="002944C8"/>
  </w:style>
  <w:style w:type="character" w:customStyle="1" w:styleId="k">
    <w:name w:val="k"/>
    <w:basedOn w:val="Fuentedeprrafopredeter"/>
    <w:rsid w:val="002944C8"/>
  </w:style>
  <w:style w:type="character" w:customStyle="1" w:styleId="h">
    <w:name w:val="h"/>
    <w:basedOn w:val="Fuentedeprrafopredeter"/>
    <w:rsid w:val="002944C8"/>
  </w:style>
  <w:style w:type="character" w:styleId="Hipervnculovisitado">
    <w:name w:val="FollowedHyperlink"/>
    <w:basedOn w:val="Fuentedeprrafopredeter"/>
    <w:uiPriority w:val="99"/>
    <w:semiHidden/>
    <w:unhideWhenUsed/>
    <w:rsid w:val="002944C8"/>
    <w:rPr>
      <w:color w:val="800080" w:themeColor="followedHyperlink"/>
      <w:u w:val="single"/>
    </w:rPr>
  </w:style>
  <w:style w:type="character" w:styleId="CitaHTML">
    <w:name w:val="HTML Cite"/>
    <w:uiPriority w:val="99"/>
    <w:semiHidden/>
    <w:unhideWhenUsed/>
    <w:rsid w:val="00B85C7C"/>
    <w:rPr>
      <w:i/>
      <w:iCs/>
    </w:rPr>
  </w:style>
  <w:style w:type="character" w:customStyle="1" w:styleId="SinespaciadoCar">
    <w:name w:val="Sin espaciado Car"/>
    <w:aliases w:val="Francesa Car,INAI Car"/>
    <w:link w:val="Sinespaciado"/>
    <w:uiPriority w:val="1"/>
    <w:locked/>
    <w:rsid w:val="00270539"/>
    <w:rPr>
      <w:rFonts w:ascii="Times New Roman" w:eastAsia="Times New Roman" w:hAnsi="Times New Roman" w:cs="Times New Roman"/>
      <w:lang w:val="es-MX"/>
    </w:rPr>
  </w:style>
  <w:style w:type="character" w:customStyle="1" w:styleId="medium">
    <w:name w:val="medium"/>
    <w:basedOn w:val="Fuentedeprrafopredeter"/>
    <w:rsid w:val="00354DB7"/>
  </w:style>
  <w:style w:type="table" w:styleId="Tablaconcuadrcula">
    <w:name w:val="Table Grid"/>
    <w:basedOn w:val="Tablanormal"/>
    <w:uiPriority w:val="59"/>
    <w:rsid w:val="00BB3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eroconsecutivo">
    <w:name w:val="numeroconsecutivo"/>
    <w:basedOn w:val="Fuentedeprrafopredeter"/>
    <w:rsid w:val="00615060"/>
  </w:style>
  <w:style w:type="character" w:customStyle="1" w:styleId="titulorubrolgt">
    <w:name w:val="titulorubrolgt"/>
    <w:basedOn w:val="Fuentedeprrafopredeter"/>
    <w:rsid w:val="00615060"/>
  </w:style>
  <w:style w:type="character" w:customStyle="1" w:styleId="ctr">
    <w:name w:val="ctr"/>
    <w:basedOn w:val="Fuentedeprrafopredeter"/>
    <w:rsid w:val="00615060"/>
  </w:style>
  <w:style w:type="paragraph" w:styleId="Textonotaalfinal">
    <w:name w:val="endnote text"/>
    <w:basedOn w:val="Normal"/>
    <w:link w:val="TextonotaalfinalCar"/>
    <w:uiPriority w:val="99"/>
    <w:semiHidden/>
    <w:unhideWhenUsed/>
    <w:rsid w:val="00D25E88"/>
    <w:rPr>
      <w:sz w:val="20"/>
      <w:szCs w:val="20"/>
    </w:rPr>
  </w:style>
  <w:style w:type="character" w:customStyle="1" w:styleId="TextonotaalfinalCar">
    <w:name w:val="Texto nota al final Car"/>
    <w:basedOn w:val="Fuentedeprrafopredeter"/>
    <w:link w:val="Textonotaalfinal"/>
    <w:uiPriority w:val="99"/>
    <w:semiHidden/>
    <w:rsid w:val="00D25E88"/>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semiHidden/>
    <w:unhideWhenUsed/>
    <w:rsid w:val="00D25E88"/>
    <w:rPr>
      <w:vertAlign w:val="superscript"/>
    </w:rPr>
  </w:style>
  <w:style w:type="character" w:customStyle="1" w:styleId="A1">
    <w:name w:val="A1"/>
    <w:uiPriority w:val="99"/>
    <w:rsid w:val="00EC4ECD"/>
    <w:rPr>
      <w:rFonts w:ascii="Myriad Pro" w:hAnsi="Myriad Pro" w:cs="Myriad Pro" w:hint="default"/>
      <w:color w:val="000000"/>
      <w:sz w:val="22"/>
      <w:szCs w:val="22"/>
    </w:rPr>
  </w:style>
  <w:style w:type="paragraph" w:customStyle="1" w:styleId="Pa9">
    <w:name w:val="Pa9"/>
    <w:basedOn w:val="Normal"/>
    <w:next w:val="Normal"/>
    <w:uiPriority w:val="99"/>
    <w:rsid w:val="00EC4ECD"/>
    <w:pPr>
      <w:autoSpaceDE w:val="0"/>
      <w:autoSpaceDN w:val="0"/>
      <w:adjustRightInd w:val="0"/>
      <w:spacing w:line="241" w:lineRule="atLeast"/>
    </w:pPr>
    <w:rPr>
      <w:rFonts w:ascii="Myriad Pro" w:eastAsiaTheme="minorHAnsi" w:hAnsi="Myriad Pro" w:cstheme="minorBidi"/>
      <w:lang w:eastAsia="en-US"/>
    </w:rPr>
  </w:style>
  <w:style w:type="paragraph" w:customStyle="1" w:styleId="Pa5">
    <w:name w:val="Pa5"/>
    <w:basedOn w:val="Normal"/>
    <w:next w:val="Normal"/>
    <w:uiPriority w:val="99"/>
    <w:rsid w:val="00EC4ECD"/>
    <w:pPr>
      <w:autoSpaceDE w:val="0"/>
      <w:autoSpaceDN w:val="0"/>
      <w:adjustRightInd w:val="0"/>
      <w:spacing w:line="201" w:lineRule="atLeast"/>
    </w:pPr>
    <w:rPr>
      <w:rFonts w:ascii="Myriad Pro" w:eastAsiaTheme="minorHAnsi" w:hAnsi="Myriad Pro" w:cstheme="minorBidi"/>
      <w:lang w:eastAsia="en-US"/>
    </w:rPr>
  </w:style>
  <w:style w:type="paragraph" w:customStyle="1" w:styleId="m5127500252372250437gmail-paragraph">
    <w:name w:val="m_5127500252372250437gmail-paragraph"/>
    <w:basedOn w:val="Normal"/>
    <w:rsid w:val="00980B7E"/>
    <w:pPr>
      <w:spacing w:before="100" w:beforeAutospacing="1" w:after="100" w:afterAutospacing="1"/>
    </w:pPr>
  </w:style>
  <w:style w:type="character" w:customStyle="1" w:styleId="nombrefraccder">
    <w:name w:val="nombrefraccder"/>
    <w:basedOn w:val="Fuentedeprrafopredeter"/>
    <w:rsid w:val="009B4A68"/>
  </w:style>
  <w:style w:type="character" w:customStyle="1" w:styleId="numberfraccder">
    <w:name w:val="numberfraccder"/>
    <w:basedOn w:val="Fuentedeprrafopredeter"/>
    <w:rsid w:val="009B4A68"/>
  </w:style>
  <w:style w:type="character" w:customStyle="1" w:styleId="TextoCar">
    <w:name w:val="Texto Car"/>
    <w:link w:val="Texto"/>
    <w:locked/>
    <w:rsid w:val="002B0963"/>
    <w:rPr>
      <w:rFonts w:ascii="Arial" w:eastAsia="Times New Roman" w:hAnsi="Arial" w:cs="Arial"/>
      <w:sz w:val="18"/>
      <w:szCs w:val="18"/>
      <w:lang w:val="es-MX"/>
    </w:rPr>
  </w:style>
  <w:style w:type="character" w:styleId="nfasis">
    <w:name w:val="Emphasis"/>
    <w:basedOn w:val="Fuentedeprrafopredeter"/>
    <w:uiPriority w:val="20"/>
    <w:qFormat/>
    <w:rsid w:val="00C536F2"/>
    <w:rPr>
      <w:i/>
      <w:iCs/>
    </w:rPr>
  </w:style>
  <w:style w:type="character" w:customStyle="1" w:styleId="normaltextrun">
    <w:name w:val="normaltextrun"/>
    <w:basedOn w:val="Fuentedeprrafopredeter"/>
    <w:rsid w:val="0011437B"/>
  </w:style>
  <w:style w:type="character" w:customStyle="1" w:styleId="m5127500252372250437gmail-normaltextrun">
    <w:name w:val="m_5127500252372250437gmail-normaltextrun"/>
    <w:basedOn w:val="Fuentedeprrafopredeter"/>
    <w:rsid w:val="0011437B"/>
  </w:style>
  <w:style w:type="paragraph" w:customStyle="1" w:styleId="m-60081275284358516gmail-msolistparagraph">
    <w:name w:val="m_-60081275284358516gmail-msolistparagraph"/>
    <w:basedOn w:val="Normal"/>
    <w:rsid w:val="00207C90"/>
    <w:pPr>
      <w:spacing w:before="100" w:beforeAutospacing="1" w:after="100" w:afterAutospacing="1"/>
    </w:pPr>
  </w:style>
  <w:style w:type="paragraph" w:customStyle="1" w:styleId="ANOTACION">
    <w:name w:val="ANOTACION"/>
    <w:basedOn w:val="Normal"/>
    <w:link w:val="ANOTACIONCar"/>
    <w:rsid w:val="001B5A73"/>
    <w:pPr>
      <w:spacing w:before="101" w:after="101" w:line="216" w:lineRule="atLeast"/>
      <w:jc w:val="center"/>
    </w:pPr>
    <w:rPr>
      <w:b/>
      <w:sz w:val="18"/>
      <w:szCs w:val="20"/>
      <w:lang w:val="es-ES_tradnl"/>
    </w:rPr>
  </w:style>
  <w:style w:type="character" w:customStyle="1" w:styleId="ANOTACIONCar">
    <w:name w:val="ANOTACION Car"/>
    <w:link w:val="ANOTACION"/>
    <w:locked/>
    <w:rsid w:val="001B5A73"/>
    <w:rPr>
      <w:rFonts w:ascii="Times New Roman" w:eastAsia="Times New Roman" w:hAnsi="Times New Roman" w:cs="Times New Roman"/>
      <w:b/>
      <w:sz w:val="18"/>
      <w:szCs w:val="20"/>
    </w:rPr>
  </w:style>
  <w:style w:type="paragraph" w:customStyle="1" w:styleId="j">
    <w:name w:val="j"/>
    <w:basedOn w:val="Normal"/>
    <w:rsid w:val="007B00BD"/>
    <w:pPr>
      <w:spacing w:before="100" w:beforeAutospacing="1" w:after="100" w:afterAutospacing="1"/>
    </w:pPr>
  </w:style>
  <w:style w:type="character" w:customStyle="1" w:styleId="nacep">
    <w:name w:val="n_acep"/>
    <w:basedOn w:val="Fuentedeprrafopredeter"/>
    <w:rsid w:val="007B00BD"/>
  </w:style>
  <w:style w:type="paragraph" w:customStyle="1" w:styleId="k5">
    <w:name w:val="k5"/>
    <w:basedOn w:val="Normal"/>
    <w:rsid w:val="007B00BD"/>
    <w:pPr>
      <w:spacing w:before="100" w:beforeAutospacing="1" w:after="100" w:afterAutospacing="1"/>
    </w:pPr>
  </w:style>
  <w:style w:type="paragraph" w:customStyle="1" w:styleId="m">
    <w:name w:val="m"/>
    <w:basedOn w:val="Normal"/>
    <w:rsid w:val="007B00BD"/>
    <w:pPr>
      <w:spacing w:before="100" w:beforeAutospacing="1" w:after="100" w:afterAutospacing="1"/>
    </w:pPr>
  </w:style>
  <w:style w:type="character" w:styleId="Refdecomentario">
    <w:name w:val="annotation reference"/>
    <w:basedOn w:val="Fuentedeprrafopredeter"/>
    <w:uiPriority w:val="99"/>
    <w:semiHidden/>
    <w:unhideWhenUsed/>
    <w:rsid w:val="003219FE"/>
    <w:rPr>
      <w:sz w:val="16"/>
      <w:szCs w:val="16"/>
    </w:rPr>
  </w:style>
  <w:style w:type="paragraph" w:styleId="Textocomentario">
    <w:name w:val="annotation text"/>
    <w:basedOn w:val="Normal"/>
    <w:link w:val="TextocomentarioCar"/>
    <w:uiPriority w:val="99"/>
    <w:semiHidden/>
    <w:unhideWhenUsed/>
    <w:rsid w:val="003219FE"/>
    <w:rPr>
      <w:sz w:val="20"/>
      <w:szCs w:val="20"/>
    </w:rPr>
  </w:style>
  <w:style w:type="character" w:customStyle="1" w:styleId="TextocomentarioCar">
    <w:name w:val="Texto comentario Car"/>
    <w:basedOn w:val="Fuentedeprrafopredeter"/>
    <w:link w:val="Textocomentario"/>
    <w:uiPriority w:val="99"/>
    <w:semiHidden/>
    <w:rsid w:val="003219FE"/>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3219FE"/>
    <w:rPr>
      <w:b/>
      <w:bCs/>
    </w:rPr>
  </w:style>
  <w:style w:type="character" w:customStyle="1" w:styleId="AsuntodelcomentarioCar">
    <w:name w:val="Asunto del comentario Car"/>
    <w:basedOn w:val="TextocomentarioCar"/>
    <w:link w:val="Asuntodelcomentario"/>
    <w:uiPriority w:val="99"/>
    <w:semiHidden/>
    <w:rsid w:val="003219FE"/>
    <w:rPr>
      <w:rFonts w:ascii="Times New Roman" w:eastAsia="Times New Roman" w:hAnsi="Times New Roman" w:cs="Times New Roman"/>
      <w:b/>
      <w:bCs/>
      <w:sz w:val="20"/>
      <w:szCs w:val="20"/>
      <w:lang w:val="es-ES"/>
    </w:rPr>
  </w:style>
  <w:style w:type="paragraph" w:customStyle="1" w:styleId="FAFunotente1">
    <w:name w:val="FA Fu?notente1"/>
    <w:basedOn w:val="Normal"/>
    <w:next w:val="Textonotapie"/>
    <w:uiPriority w:val="99"/>
    <w:unhideWhenUsed/>
    <w:rsid w:val="00A403D3"/>
    <w:rPr>
      <w:rFonts w:asciiTheme="minorHAnsi" w:eastAsia="Cambria" w:hAnsiTheme="minorHAnsi" w:cstheme="minorBidi"/>
      <w:sz w:val="20"/>
      <w:szCs w:val="20"/>
      <w:lang w:eastAsia="en-US"/>
    </w:rPr>
  </w:style>
  <w:style w:type="character" w:customStyle="1" w:styleId="Ttulo1Car">
    <w:name w:val="Título 1 Car"/>
    <w:basedOn w:val="Fuentedeprrafopredeter"/>
    <w:uiPriority w:val="9"/>
    <w:rsid w:val="00603D72"/>
    <w:rPr>
      <w:rFonts w:asciiTheme="majorHAnsi" w:eastAsiaTheme="majorEastAsia" w:hAnsiTheme="majorHAnsi" w:cstheme="majorBidi"/>
      <w:color w:val="365F91" w:themeColor="accent1" w:themeShade="BF"/>
      <w:sz w:val="32"/>
      <w:szCs w:val="32"/>
      <w:lang w:val="es-ES"/>
    </w:rPr>
  </w:style>
  <w:style w:type="character" w:customStyle="1" w:styleId="Ttulo2Car">
    <w:name w:val="Título 2 Car"/>
    <w:basedOn w:val="Fuentedeprrafopredeter"/>
    <w:uiPriority w:val="9"/>
    <w:rsid w:val="00603D72"/>
    <w:rPr>
      <w:rFonts w:asciiTheme="majorHAnsi" w:eastAsiaTheme="majorEastAsia" w:hAnsiTheme="majorHAnsi" w:cstheme="majorBidi"/>
      <w:color w:val="365F91" w:themeColor="accent1" w:themeShade="BF"/>
      <w:sz w:val="26"/>
      <w:szCs w:val="26"/>
      <w:lang w:val="es-ES"/>
    </w:rPr>
  </w:style>
  <w:style w:type="paragraph" w:styleId="Lista">
    <w:name w:val="List"/>
    <w:basedOn w:val="Normal"/>
    <w:uiPriority w:val="99"/>
    <w:unhideWhenUsed/>
    <w:rsid w:val="00603D72"/>
    <w:pPr>
      <w:ind w:left="283" w:hanging="283"/>
      <w:contextualSpacing/>
    </w:pPr>
  </w:style>
  <w:style w:type="paragraph" w:styleId="Lista2">
    <w:name w:val="List 2"/>
    <w:basedOn w:val="Normal"/>
    <w:uiPriority w:val="99"/>
    <w:unhideWhenUsed/>
    <w:rsid w:val="00603D72"/>
    <w:pPr>
      <w:ind w:left="566" w:hanging="283"/>
      <w:contextualSpacing/>
    </w:pPr>
  </w:style>
  <w:style w:type="paragraph" w:styleId="Lista3">
    <w:name w:val="List 3"/>
    <w:basedOn w:val="Normal"/>
    <w:uiPriority w:val="99"/>
    <w:unhideWhenUsed/>
    <w:rsid w:val="00603D72"/>
    <w:pPr>
      <w:ind w:left="849" w:hanging="283"/>
      <w:contextualSpacing/>
    </w:pPr>
  </w:style>
  <w:style w:type="paragraph" w:styleId="Listaconvietas3">
    <w:name w:val="List Bullet 3"/>
    <w:basedOn w:val="Normal"/>
    <w:uiPriority w:val="99"/>
    <w:unhideWhenUsed/>
    <w:rsid w:val="00603D72"/>
    <w:pPr>
      <w:numPr>
        <w:numId w:val="2"/>
      </w:numPr>
      <w:contextualSpacing/>
    </w:pPr>
  </w:style>
  <w:style w:type="paragraph" w:styleId="Continuarlista">
    <w:name w:val="List Continue"/>
    <w:basedOn w:val="Normal"/>
    <w:uiPriority w:val="99"/>
    <w:unhideWhenUsed/>
    <w:rsid w:val="00603D72"/>
    <w:pPr>
      <w:spacing w:after="120"/>
      <w:ind w:left="283"/>
      <w:contextualSpacing/>
    </w:pPr>
  </w:style>
  <w:style w:type="paragraph" w:styleId="Continuarlista2">
    <w:name w:val="List Continue 2"/>
    <w:basedOn w:val="Normal"/>
    <w:uiPriority w:val="99"/>
    <w:unhideWhenUsed/>
    <w:rsid w:val="00603D72"/>
    <w:pPr>
      <w:spacing w:after="120"/>
      <w:ind w:left="566"/>
      <w:contextualSpacing/>
    </w:pPr>
  </w:style>
  <w:style w:type="paragraph" w:styleId="Textoindependiente">
    <w:name w:val="Body Text"/>
    <w:basedOn w:val="Normal"/>
    <w:link w:val="TextoindependienteCar"/>
    <w:uiPriority w:val="99"/>
    <w:unhideWhenUsed/>
    <w:rsid w:val="00603D72"/>
    <w:pPr>
      <w:spacing w:after="120"/>
    </w:pPr>
  </w:style>
  <w:style w:type="character" w:customStyle="1" w:styleId="TextoindependienteCar">
    <w:name w:val="Texto independiente Car"/>
    <w:basedOn w:val="Fuentedeprrafopredeter"/>
    <w:link w:val="Textoindependiente"/>
    <w:uiPriority w:val="99"/>
    <w:rsid w:val="00603D72"/>
    <w:rPr>
      <w:rFonts w:ascii="Times New Roman" w:eastAsia="Times New Roman" w:hAnsi="Times New Roman" w:cs="Times New Roman"/>
      <w:lang w:val="es-ES"/>
    </w:rPr>
  </w:style>
  <w:style w:type="paragraph" w:styleId="Sangradetextonormal">
    <w:name w:val="Body Text Indent"/>
    <w:basedOn w:val="Normal"/>
    <w:link w:val="SangradetextonormalCar"/>
    <w:uiPriority w:val="99"/>
    <w:unhideWhenUsed/>
    <w:rsid w:val="00603D72"/>
    <w:pPr>
      <w:spacing w:after="120"/>
      <w:ind w:left="283"/>
    </w:pPr>
  </w:style>
  <w:style w:type="character" w:customStyle="1" w:styleId="SangradetextonormalCar">
    <w:name w:val="Sangría de texto normal Car"/>
    <w:basedOn w:val="Fuentedeprrafopredeter"/>
    <w:link w:val="Sangradetextonormal"/>
    <w:uiPriority w:val="99"/>
    <w:rsid w:val="00603D72"/>
    <w:rPr>
      <w:rFonts w:ascii="Times New Roman" w:eastAsia="Times New Roman" w:hAnsi="Times New Roman" w:cs="Times New Roman"/>
      <w:lang w:val="es-ES"/>
    </w:rPr>
  </w:style>
  <w:style w:type="paragraph" w:styleId="Textoindependienteprimerasangra2">
    <w:name w:val="Body Text First Indent 2"/>
    <w:basedOn w:val="Sangradetextonormal"/>
    <w:link w:val="Textoindependienteprimerasangra2Car"/>
    <w:uiPriority w:val="99"/>
    <w:unhideWhenUsed/>
    <w:rsid w:val="00603D7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03D72"/>
    <w:rPr>
      <w:rFonts w:ascii="Times New Roman" w:eastAsia="Times New Roman" w:hAnsi="Times New Roman" w:cs="Times New Roman"/>
      <w:lang w:val="es-ES"/>
    </w:rPr>
  </w:style>
  <w:style w:type="paragraph" w:customStyle="1" w:styleId="paragraph">
    <w:name w:val="paragraph"/>
    <w:basedOn w:val="Normal"/>
    <w:rsid w:val="00E34821"/>
    <w:pPr>
      <w:spacing w:before="100" w:beforeAutospacing="1" w:after="100" w:afterAutospacing="1"/>
    </w:pPr>
  </w:style>
  <w:style w:type="paragraph" w:customStyle="1" w:styleId="n2">
    <w:name w:val="n2"/>
    <w:basedOn w:val="Normal"/>
    <w:rsid w:val="009D307C"/>
    <w:pPr>
      <w:spacing w:before="100" w:beforeAutospacing="1" w:after="100" w:afterAutospacing="1"/>
    </w:pPr>
  </w:style>
  <w:style w:type="character" w:customStyle="1" w:styleId="u">
    <w:name w:val="u"/>
    <w:basedOn w:val="Fuentedeprrafopredeter"/>
    <w:rsid w:val="009D307C"/>
  </w:style>
  <w:style w:type="paragraph" w:customStyle="1" w:styleId="j1">
    <w:name w:val="j1"/>
    <w:basedOn w:val="Normal"/>
    <w:rsid w:val="009D307C"/>
    <w:pPr>
      <w:spacing w:before="100" w:beforeAutospacing="1" w:after="100" w:afterAutospacing="1"/>
    </w:pPr>
  </w:style>
  <w:style w:type="paragraph" w:customStyle="1" w:styleId="j2">
    <w:name w:val="j2"/>
    <w:basedOn w:val="Normal"/>
    <w:rsid w:val="009D307C"/>
    <w:pPr>
      <w:spacing w:before="100" w:beforeAutospacing="1" w:after="100" w:afterAutospacing="1"/>
    </w:pPr>
  </w:style>
  <w:style w:type="table" w:styleId="Tabladelista1clara-nfasis1">
    <w:name w:val="List Table 1 Light Accent 1"/>
    <w:basedOn w:val="Tablanormal"/>
    <w:uiPriority w:val="46"/>
    <w:rsid w:val="00A01B9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encinsinresolver1">
    <w:name w:val="Mención sin resolver1"/>
    <w:basedOn w:val="Fuentedeprrafopredeter"/>
    <w:uiPriority w:val="99"/>
    <w:semiHidden/>
    <w:unhideWhenUsed/>
    <w:rsid w:val="00457753"/>
    <w:rPr>
      <w:color w:val="605E5C"/>
      <w:shd w:val="clear" w:color="auto" w:fill="E1DFDD"/>
    </w:rPr>
  </w:style>
  <w:style w:type="character" w:customStyle="1" w:styleId="Mencinsinresolver2">
    <w:name w:val="Mención sin resolver2"/>
    <w:basedOn w:val="Fuentedeprrafopredeter"/>
    <w:uiPriority w:val="99"/>
    <w:semiHidden/>
    <w:unhideWhenUsed/>
    <w:rsid w:val="00CE48D4"/>
    <w:rPr>
      <w:color w:val="605E5C"/>
      <w:shd w:val="clear" w:color="auto" w:fill="E1DFDD"/>
    </w:rPr>
  </w:style>
  <w:style w:type="table" w:customStyle="1" w:styleId="Tabladelista1clara-nfasis11">
    <w:name w:val="Tabla de lista 1 clara - Énfasis 11"/>
    <w:basedOn w:val="Tablanormal"/>
    <w:uiPriority w:val="46"/>
    <w:rsid w:val="008F79FD"/>
    <w:rPr>
      <w:rFonts w:eastAsia="MS Mincho"/>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Ttulo3Car">
    <w:name w:val="Título 3 Car"/>
    <w:basedOn w:val="Fuentedeprrafopredeter"/>
    <w:uiPriority w:val="9"/>
    <w:rsid w:val="003B73CD"/>
    <w:rPr>
      <w:rFonts w:asciiTheme="majorHAnsi" w:eastAsiaTheme="majorEastAsia" w:hAnsiTheme="majorHAnsi" w:cstheme="majorBidi"/>
      <w:b/>
      <w:bCs/>
      <w:sz w:val="26"/>
      <w:szCs w:val="26"/>
      <w:lang w:val="en-US" w:eastAsia="en-US"/>
    </w:rPr>
  </w:style>
  <w:style w:type="character" w:customStyle="1" w:styleId="Ttulo4Car">
    <w:name w:val="Título 4 Car"/>
    <w:basedOn w:val="Fuentedeprrafopredeter"/>
    <w:uiPriority w:val="9"/>
    <w:semiHidden/>
    <w:rsid w:val="003B73CD"/>
    <w:rPr>
      <w:b/>
      <w:bCs/>
      <w:sz w:val="28"/>
      <w:szCs w:val="28"/>
      <w:lang w:val="en-US" w:eastAsia="en-US"/>
    </w:rPr>
  </w:style>
  <w:style w:type="character" w:customStyle="1" w:styleId="Ttulo5Car">
    <w:name w:val="Título 5 Car"/>
    <w:basedOn w:val="Fuentedeprrafopredeter"/>
    <w:uiPriority w:val="9"/>
    <w:semiHidden/>
    <w:rsid w:val="003B73CD"/>
    <w:rPr>
      <w:b/>
      <w:bCs/>
      <w:i/>
      <w:iCs/>
      <w:sz w:val="26"/>
      <w:szCs w:val="26"/>
      <w:lang w:val="en-US" w:eastAsia="en-US"/>
    </w:rPr>
  </w:style>
  <w:style w:type="character" w:customStyle="1" w:styleId="Ttulo6Car">
    <w:name w:val="Título 6 Car"/>
    <w:basedOn w:val="Fuentedeprrafopredeter"/>
    <w:semiHidden/>
    <w:rsid w:val="003B73CD"/>
    <w:rPr>
      <w:rFonts w:ascii="Times New Roman" w:eastAsia="Times New Roman" w:hAnsi="Times New Roman" w:cs="Times New Roman"/>
      <w:b/>
      <w:bCs/>
      <w:sz w:val="22"/>
      <w:szCs w:val="22"/>
      <w:lang w:val="en-US" w:eastAsia="en-US"/>
    </w:rPr>
  </w:style>
  <w:style w:type="character" w:customStyle="1" w:styleId="Ttulo7Car">
    <w:name w:val="Título 7 Car"/>
    <w:basedOn w:val="Fuentedeprrafopredeter"/>
    <w:link w:val="Ttulo7"/>
    <w:uiPriority w:val="9"/>
    <w:semiHidden/>
    <w:rsid w:val="003B73CD"/>
    <w:rPr>
      <w:lang w:val="en-US" w:eastAsia="en-US"/>
    </w:rPr>
  </w:style>
  <w:style w:type="character" w:customStyle="1" w:styleId="Ttulo8Car">
    <w:name w:val="Título 8 Car"/>
    <w:basedOn w:val="Fuentedeprrafopredeter"/>
    <w:link w:val="Ttulo8"/>
    <w:uiPriority w:val="9"/>
    <w:semiHidden/>
    <w:rsid w:val="003B73CD"/>
    <w:rPr>
      <w:i/>
      <w:iCs/>
      <w:lang w:val="en-US" w:eastAsia="en-US"/>
    </w:rPr>
  </w:style>
  <w:style w:type="character" w:customStyle="1" w:styleId="Ttulo9Car">
    <w:name w:val="Título 9 Car"/>
    <w:basedOn w:val="Fuentedeprrafopredeter"/>
    <w:link w:val="Ttulo9"/>
    <w:uiPriority w:val="9"/>
    <w:semiHidden/>
    <w:rsid w:val="003B73CD"/>
    <w:rPr>
      <w:rFonts w:asciiTheme="majorHAnsi" w:eastAsiaTheme="majorEastAsia" w:hAnsiTheme="majorHAnsi" w:cstheme="majorBidi"/>
      <w:sz w:val="22"/>
      <w:szCs w:val="22"/>
      <w:lang w:val="en-US" w:eastAsia="en-US"/>
    </w:rPr>
  </w:style>
  <w:style w:type="table" w:customStyle="1" w:styleId="5">
    <w:name w:val="5"/>
    <w:basedOn w:val="TableNormal10"/>
    <w:tblPr>
      <w:tblStyleRowBandSize w:val="1"/>
      <w:tblStyleColBandSize w:val="1"/>
      <w:tblCellMar>
        <w:left w:w="108" w:type="dxa"/>
        <w:right w:w="108" w:type="dxa"/>
      </w:tblCellMar>
    </w:tblPr>
    <w:tblStylePr w:type="firstRow">
      <w:rPr>
        <w:b/>
      </w:rPr>
      <w:tblPr/>
      <w:tcPr>
        <w:tcBorders>
          <w:bottom w:val="single" w:sz="4"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left w:w="115" w:type="dxa"/>
        <w:right w:w="115" w:type="dxa"/>
      </w:tblCellMar>
    </w:tblPr>
  </w:style>
  <w:style w:type="character" w:customStyle="1" w:styleId="Mencinsinresolver3">
    <w:name w:val="Mención sin resolver3"/>
    <w:basedOn w:val="Fuentedeprrafopredeter"/>
    <w:uiPriority w:val="99"/>
    <w:semiHidden/>
    <w:unhideWhenUsed/>
    <w:rsid w:val="0094565C"/>
    <w:rPr>
      <w:color w:val="605E5C"/>
      <w:shd w:val="clear" w:color="auto" w:fill="E1DFDD"/>
    </w:rPr>
  </w:style>
  <w:style w:type="table" w:customStyle="1" w:styleId="2">
    <w:name w:val="2"/>
    <w:basedOn w:val="TableNormal10"/>
    <w:tblPr>
      <w:tblStyleRowBandSize w:val="1"/>
      <w:tblStyleColBandSize w:val="1"/>
      <w:tblCellMar>
        <w:left w:w="115" w:type="dxa"/>
        <w:right w:w="115" w:type="dxa"/>
      </w:tblCellMar>
    </w:tblPr>
  </w:style>
  <w:style w:type="table" w:customStyle="1" w:styleId="1">
    <w:name w:val="1"/>
    <w:basedOn w:val="TableNormal10"/>
    <w:tblPr>
      <w:tblStyleRowBandSize w:val="1"/>
      <w:tblStyleColBandSize w:val="1"/>
      <w:tblCellMar>
        <w:left w:w="115" w:type="dxa"/>
        <w:right w:w="115" w:type="dxa"/>
      </w:tblCellMar>
    </w:tblPr>
  </w:style>
  <w:style w:type="table" w:customStyle="1" w:styleId="9">
    <w:name w:val="9"/>
    <w:basedOn w:val="TableNormal20"/>
    <w:tblPr>
      <w:tblStyleRowBandSize w:val="1"/>
      <w:tblStyleColBandSize w:val="1"/>
      <w:tblCellMar>
        <w:left w:w="115" w:type="dxa"/>
        <w:right w:w="115" w:type="dxa"/>
      </w:tblCellMar>
    </w:tblPr>
  </w:style>
  <w:style w:type="table" w:customStyle="1" w:styleId="8">
    <w:name w:val="8"/>
    <w:basedOn w:val="TableNormal20"/>
    <w:tblPr>
      <w:tblStyleRowBandSize w:val="1"/>
      <w:tblStyleColBandSize w:val="1"/>
      <w:tblCellMar>
        <w:left w:w="115" w:type="dxa"/>
        <w:right w:w="115" w:type="dxa"/>
      </w:tblCellMar>
    </w:tblPr>
  </w:style>
  <w:style w:type="table" w:customStyle="1" w:styleId="7">
    <w:name w:val="7"/>
    <w:basedOn w:val="TableNormal30"/>
    <w:tblPr>
      <w:tblStyleRowBandSize w:val="1"/>
      <w:tblStyleColBandSize w:val="1"/>
      <w:tblCellMar>
        <w:left w:w="115" w:type="dxa"/>
        <w:right w:w="115" w:type="dxa"/>
      </w:tblCellMar>
    </w:tblPr>
  </w:style>
  <w:style w:type="table" w:customStyle="1" w:styleId="6">
    <w:name w:val="6"/>
    <w:basedOn w:val="TableNormal30"/>
    <w:tblPr>
      <w:tblStyleRowBandSize w:val="1"/>
      <w:tblStyleColBandSize w:val="1"/>
      <w:tblCellMar>
        <w:left w:w="115" w:type="dxa"/>
        <w:right w:w="115" w:type="dxa"/>
      </w:tblCellMar>
    </w:tblPr>
  </w:style>
  <w:style w:type="table" w:customStyle="1" w:styleId="20">
    <w:name w:val="20"/>
    <w:basedOn w:val="TableNormal40"/>
    <w:tblPr>
      <w:tblStyleRowBandSize w:val="1"/>
      <w:tblStyleColBandSize w:val="1"/>
      <w:tblCellMar>
        <w:left w:w="115" w:type="dxa"/>
        <w:right w:w="115" w:type="dxa"/>
      </w:tblCellMar>
    </w:tblPr>
  </w:style>
  <w:style w:type="table" w:customStyle="1" w:styleId="19">
    <w:name w:val="19"/>
    <w:basedOn w:val="TableNormal40"/>
    <w:tblPr>
      <w:tblStyleRowBandSize w:val="1"/>
      <w:tblStyleColBandSize w:val="1"/>
      <w:tblCellMar>
        <w:left w:w="115" w:type="dxa"/>
        <w:right w:w="115" w:type="dxa"/>
      </w:tblCellMar>
    </w:tblPr>
  </w:style>
  <w:style w:type="table" w:customStyle="1" w:styleId="18">
    <w:name w:val="18"/>
    <w:basedOn w:val="TableNormal50"/>
    <w:tblPr>
      <w:tblStyleRowBandSize w:val="1"/>
      <w:tblStyleColBandSize w:val="1"/>
      <w:tblCellMar>
        <w:left w:w="115" w:type="dxa"/>
        <w:right w:w="115" w:type="dxa"/>
      </w:tblCellMar>
    </w:tblPr>
  </w:style>
  <w:style w:type="table" w:customStyle="1" w:styleId="17">
    <w:name w:val="17"/>
    <w:basedOn w:val="TableNormal50"/>
    <w:tblPr>
      <w:tblStyleRowBandSize w:val="1"/>
      <w:tblStyleColBandSize w:val="1"/>
      <w:tblCellMar>
        <w:left w:w="115" w:type="dxa"/>
        <w:right w:w="115" w:type="dxa"/>
      </w:tblCellMar>
    </w:tblPr>
  </w:style>
  <w:style w:type="table" w:customStyle="1" w:styleId="16">
    <w:name w:val="16"/>
    <w:basedOn w:val="TableNormal60"/>
    <w:tblPr>
      <w:tblStyleRowBandSize w:val="1"/>
      <w:tblStyleColBandSize w:val="1"/>
      <w:tblCellMar>
        <w:left w:w="115" w:type="dxa"/>
        <w:right w:w="115" w:type="dxa"/>
      </w:tblCellMar>
    </w:tblPr>
  </w:style>
  <w:style w:type="table" w:customStyle="1" w:styleId="15">
    <w:name w:val="15"/>
    <w:basedOn w:val="TableNormal60"/>
    <w:tblPr>
      <w:tblStyleRowBandSize w:val="1"/>
      <w:tblStyleColBandSize w:val="1"/>
      <w:tblCellMar>
        <w:left w:w="115" w:type="dxa"/>
        <w:right w:w="115" w:type="dxa"/>
      </w:tblCellMar>
    </w:tblPr>
  </w:style>
  <w:style w:type="table" w:customStyle="1" w:styleId="14">
    <w:name w:val="14"/>
    <w:basedOn w:val="TableNormal70"/>
    <w:tblPr>
      <w:tblStyleRowBandSize w:val="1"/>
      <w:tblStyleColBandSize w:val="1"/>
      <w:tblCellMar>
        <w:left w:w="115" w:type="dxa"/>
        <w:right w:w="115" w:type="dxa"/>
      </w:tblCellMar>
    </w:tblPr>
  </w:style>
  <w:style w:type="table" w:customStyle="1" w:styleId="13">
    <w:name w:val="13"/>
    <w:basedOn w:val="TableNormal70"/>
    <w:tblPr>
      <w:tblStyleRowBandSize w:val="1"/>
      <w:tblStyleColBandSize w:val="1"/>
      <w:tblCellMar>
        <w:left w:w="115" w:type="dxa"/>
        <w:right w:w="115" w:type="dxa"/>
      </w:tblCellMar>
    </w:tblPr>
  </w:style>
  <w:style w:type="character" w:customStyle="1" w:styleId="rse6dlih">
    <w:name w:val="rse6dlih"/>
    <w:basedOn w:val="Fuentedeprrafopredeter"/>
    <w:rsid w:val="00190860"/>
  </w:style>
  <w:style w:type="table" w:customStyle="1" w:styleId="12">
    <w:name w:val="12"/>
    <w:basedOn w:val="TableNormal80"/>
    <w:tblPr>
      <w:tblStyleRowBandSize w:val="1"/>
      <w:tblStyleColBandSize w:val="1"/>
      <w:tblCellMar>
        <w:left w:w="108" w:type="dxa"/>
        <w:right w:w="108" w:type="dxa"/>
      </w:tblCellMar>
    </w:tblPr>
    <w:tblStylePr w:type="firstRow">
      <w:rPr>
        <w:b/>
      </w:rPr>
      <w:tblPr/>
      <w:tcPr>
        <w:tcBorders>
          <w:bottom w:val="single" w:sz="4"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11">
    <w:name w:val="11"/>
    <w:basedOn w:val="TableNormal80"/>
    <w:tblPr>
      <w:tblStyleRowBandSize w:val="1"/>
      <w:tblStyleColBandSize w:val="1"/>
      <w:tblCellMar>
        <w:left w:w="115" w:type="dxa"/>
        <w:right w:w="115" w:type="dxa"/>
      </w:tblCellMar>
    </w:tblPr>
  </w:style>
  <w:style w:type="table" w:customStyle="1" w:styleId="10">
    <w:name w:val="10"/>
    <w:basedOn w:val="TableNormal80"/>
    <w:tblPr>
      <w:tblStyleRowBandSize w:val="1"/>
      <w:tblStyleColBandSize w:val="1"/>
      <w:tblCellMar>
        <w:left w:w="115" w:type="dxa"/>
        <w:right w:w="115" w:type="dxa"/>
      </w:tblCellMar>
    </w:tblPr>
  </w:style>
  <w:style w:type="table" w:customStyle="1" w:styleId="24">
    <w:name w:val="24"/>
    <w:basedOn w:val="TableNormal9"/>
    <w:tblPr>
      <w:tblStyleRowBandSize w:val="1"/>
      <w:tblStyleColBandSize w:val="1"/>
      <w:tblCellMar>
        <w:left w:w="115" w:type="dxa"/>
        <w:right w:w="115" w:type="dxa"/>
      </w:tblCellMar>
    </w:tblPr>
  </w:style>
  <w:style w:type="table" w:customStyle="1" w:styleId="23">
    <w:name w:val="23"/>
    <w:basedOn w:val="TableNormal9"/>
    <w:tblPr>
      <w:tblStyleRowBandSize w:val="1"/>
      <w:tblStyleColBandSize w:val="1"/>
      <w:tblCellMar>
        <w:left w:w="108" w:type="dxa"/>
        <w:right w:w="108" w:type="dxa"/>
      </w:tblCellMar>
    </w:tblPr>
    <w:tblStylePr w:type="firstRow">
      <w:rPr>
        <w:b/>
      </w:rPr>
      <w:tblPr/>
      <w:tcPr>
        <w:tcBorders>
          <w:bottom w:val="single" w:sz="4"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22">
    <w:name w:val="22"/>
    <w:basedOn w:val="TableNormal9"/>
    <w:tblPr>
      <w:tblStyleRowBandSize w:val="1"/>
      <w:tblStyleColBandSize w:val="1"/>
      <w:tblCellMar>
        <w:left w:w="115" w:type="dxa"/>
        <w:right w:w="115" w:type="dxa"/>
      </w:tblCellMar>
    </w:tblPr>
  </w:style>
  <w:style w:type="table" w:customStyle="1" w:styleId="21">
    <w:name w:val="21"/>
    <w:basedOn w:val="TableNormal9"/>
    <w:tblPr>
      <w:tblStyleRowBandSize w:val="1"/>
      <w:tblStyleColBandSize w:val="1"/>
      <w:tblCellMar>
        <w:left w:w="115" w:type="dxa"/>
        <w:right w:w="115" w:type="dxa"/>
      </w:tblCellMar>
    </w:tblPr>
  </w:style>
  <w:style w:type="table" w:customStyle="1" w:styleId="a">
    <w:basedOn w:val="TableNormal8"/>
    <w:tblPr>
      <w:tblStyleRowBandSize w:val="1"/>
      <w:tblStyleColBandSize w:val="1"/>
      <w:tblCellMar>
        <w:left w:w="108" w:type="dxa"/>
        <w:right w:w="108" w:type="dxa"/>
      </w:tblCellMar>
    </w:tblPr>
    <w:tblStylePr w:type="firstRow">
      <w:rPr>
        <w:b/>
      </w:rPr>
      <w:tblPr/>
      <w:tcPr>
        <w:tcBorders>
          <w:bottom w:val="single" w:sz="4"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0">
    <w:basedOn w:val="TableNormal8"/>
    <w:tblPr>
      <w:tblStyleRowBandSize w:val="1"/>
      <w:tblStyleColBandSize w:val="1"/>
      <w:tblCellMar>
        <w:left w:w="115" w:type="dxa"/>
        <w:right w:w="115" w:type="dxa"/>
      </w:tblCellMar>
    </w:tblPr>
  </w:style>
  <w:style w:type="table" w:customStyle="1" w:styleId="a2">
    <w:basedOn w:val="TableNormal8"/>
    <w:tblPr>
      <w:tblStyleRowBandSize w:val="1"/>
      <w:tblStyleColBandSize w:val="1"/>
      <w:tblCellMar>
        <w:left w:w="115" w:type="dxa"/>
        <w:right w:w="115" w:type="dxa"/>
      </w:tblCellMar>
    </w:tblPr>
  </w:style>
  <w:style w:type="table" w:customStyle="1" w:styleId="a3">
    <w:basedOn w:val="TableNormal7"/>
    <w:tblPr>
      <w:tblStyleRowBandSize w:val="1"/>
      <w:tblStyleColBandSize w:val="1"/>
      <w:tblCellMar>
        <w:left w:w="115" w:type="dxa"/>
        <w:right w:w="115" w:type="dxa"/>
      </w:tblCellMar>
    </w:tblPr>
    <w:tblStylePr w:type="firstRow">
      <w:rPr>
        <w:b/>
      </w:rPr>
      <w:tblPr/>
      <w:tcPr>
        <w:tcBorders>
          <w:bottom w:val="single" w:sz="4"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4">
    <w:basedOn w:val="TableNormal7"/>
    <w:tblPr>
      <w:tblStyleRowBandSize w:val="1"/>
      <w:tblStyleColBandSize w:val="1"/>
      <w:tblCellMar>
        <w:left w:w="115" w:type="dxa"/>
        <w:right w:w="115" w:type="dxa"/>
      </w:tblCellMar>
    </w:tblPr>
  </w:style>
  <w:style w:type="table" w:customStyle="1" w:styleId="a5">
    <w:basedOn w:val="TableNormal7"/>
    <w:tblPr>
      <w:tblStyleRowBandSize w:val="1"/>
      <w:tblStyleColBandSize w:val="1"/>
      <w:tblCellMar>
        <w:left w:w="115" w:type="dxa"/>
        <w:right w:w="115" w:type="dxa"/>
      </w:tblCellMar>
    </w:tblPr>
  </w:style>
  <w:style w:type="table" w:customStyle="1" w:styleId="a6">
    <w:basedOn w:val="TableNormal6"/>
    <w:tblPr>
      <w:tblStyleRowBandSize w:val="1"/>
      <w:tblStyleColBandSize w:val="1"/>
      <w:tblCellMar>
        <w:left w:w="108" w:type="dxa"/>
        <w:right w:w="108" w:type="dxa"/>
      </w:tblCellMar>
    </w:tblPr>
    <w:tblStylePr w:type="firstRow">
      <w:rPr>
        <w:b/>
      </w:rPr>
      <w:tblPr/>
      <w:tcPr>
        <w:tcBorders>
          <w:bottom w:val="single" w:sz="4"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7">
    <w:basedOn w:val="TableNormal6"/>
    <w:tblPr>
      <w:tblStyleRowBandSize w:val="1"/>
      <w:tblStyleColBandSize w:val="1"/>
      <w:tblCellMar>
        <w:left w:w="115" w:type="dxa"/>
        <w:right w:w="115" w:type="dxa"/>
      </w:tblCellMar>
    </w:tblPr>
  </w:style>
  <w:style w:type="table" w:customStyle="1" w:styleId="a8">
    <w:basedOn w:val="TableNormal6"/>
    <w:tblPr>
      <w:tblStyleRowBandSize w:val="1"/>
      <w:tblStyleColBandSize w:val="1"/>
      <w:tblCellMar>
        <w:left w:w="115" w:type="dxa"/>
        <w:right w:w="115" w:type="dxa"/>
      </w:tblCellMar>
    </w:tblPr>
  </w:style>
  <w:style w:type="character" w:customStyle="1" w:styleId="Mencinsinresolver4">
    <w:name w:val="Mención sin resolver4"/>
    <w:basedOn w:val="Fuentedeprrafopredeter"/>
    <w:uiPriority w:val="99"/>
    <w:semiHidden/>
    <w:unhideWhenUsed/>
    <w:rsid w:val="00B70D09"/>
    <w:rPr>
      <w:color w:val="605E5C"/>
      <w:shd w:val="clear" w:color="auto" w:fill="E1DFDD"/>
    </w:rPr>
  </w:style>
  <w:style w:type="character" w:customStyle="1" w:styleId="Mencinsinresolver5">
    <w:name w:val="Mención sin resolver5"/>
    <w:basedOn w:val="Fuentedeprrafopredeter"/>
    <w:uiPriority w:val="99"/>
    <w:semiHidden/>
    <w:unhideWhenUsed/>
    <w:rsid w:val="00160ABB"/>
    <w:rPr>
      <w:color w:val="605E5C"/>
      <w:shd w:val="clear" w:color="auto" w:fill="E1DFDD"/>
    </w:rPr>
  </w:style>
  <w:style w:type="table" w:customStyle="1" w:styleId="a9">
    <w:basedOn w:val="TableNormal5"/>
    <w:tblPr>
      <w:tblStyleRowBandSize w:val="1"/>
      <w:tblStyleColBandSize w:val="1"/>
      <w:tblCellMar>
        <w:left w:w="108" w:type="dxa"/>
        <w:right w:w="108" w:type="dxa"/>
      </w:tblCellMar>
    </w:tblPr>
  </w:style>
  <w:style w:type="table" w:customStyle="1" w:styleId="aa">
    <w:basedOn w:val="TableNormal5"/>
    <w:tblPr>
      <w:tblStyleRowBandSize w:val="1"/>
      <w:tblStyleColBandSize w:val="1"/>
      <w:tblCellMar>
        <w:left w:w="115" w:type="dxa"/>
        <w:right w:w="115" w:type="dxa"/>
      </w:tblCellMar>
    </w:tblPr>
  </w:style>
  <w:style w:type="table" w:customStyle="1" w:styleId="ab">
    <w:basedOn w:val="TableNormal5"/>
    <w:tblPr>
      <w:tblStyleRowBandSize w:val="1"/>
      <w:tblStyleColBandSize w:val="1"/>
      <w:tblCellMar>
        <w:left w:w="115" w:type="dxa"/>
        <w:right w:w="115" w:type="dxa"/>
      </w:tblCellMar>
    </w:tblPr>
  </w:style>
  <w:style w:type="character" w:customStyle="1" w:styleId="Mencinsinresolver6">
    <w:name w:val="Mención sin resolver6"/>
    <w:basedOn w:val="Fuentedeprrafopredeter"/>
    <w:uiPriority w:val="99"/>
    <w:semiHidden/>
    <w:unhideWhenUsed/>
    <w:rsid w:val="00D20DA7"/>
    <w:rPr>
      <w:color w:val="605E5C"/>
      <w:shd w:val="clear" w:color="auto" w:fill="E1DFDD"/>
    </w:rPr>
  </w:style>
  <w:style w:type="table" w:customStyle="1" w:styleId="ac">
    <w:basedOn w:val="TableNormal4"/>
    <w:tblPr>
      <w:tblStyleRowBandSize w:val="1"/>
      <w:tblStyleColBandSize w:val="1"/>
      <w:tblCellMar>
        <w:left w:w="115" w:type="dxa"/>
        <w:right w:w="115" w:type="dxa"/>
      </w:tblCellMar>
    </w:tblPr>
  </w:style>
  <w:style w:type="table" w:customStyle="1" w:styleId="ad">
    <w:basedOn w:val="TableNormal4"/>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character" w:customStyle="1" w:styleId="Mencinsinresolver7">
    <w:name w:val="Mención sin resolver7"/>
    <w:basedOn w:val="Fuentedeprrafopredeter"/>
    <w:uiPriority w:val="99"/>
    <w:semiHidden/>
    <w:unhideWhenUsed/>
    <w:rsid w:val="003A4FC8"/>
    <w:rPr>
      <w:color w:val="605E5C"/>
      <w:shd w:val="clear" w:color="auto" w:fill="E1DFDD"/>
    </w:r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699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abajo.edomex.gob.mx/sites/strabajo.edomex.gob.mx/files/files/strabajo_pdf_manual_02.pdf"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NTcqi2xjzUlSaA37jqzXpyZEpg==">CgMxLjAyDWguYTU1eW52Zmp6bm4yCGguZ2pkZ3hzMgloLjNkeTZ2a20yCWguMzBqMHpsbDIJaC4yZXQ5MnAwMgloLjJzOGV5bzEyDmguamFzMHdoNGdlcDA2MgloLjRkMzRvZzgyDWguMWV4MW9rOGE2d3AyDmgubzFicjU4MmdjdmdyMgloLjF0M2g1c2Y4AHIhMXN5SUJoMW1BeHhIQ3Vtbi1DV0JBajVkU0NoT2w2VGVr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6207</Words>
  <Characters>34140</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BC</Company>
  <LinksUpToDate>false</LinksUpToDate>
  <CharactersWithSpaces>40267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Maricela Villagómez Martínez</cp:lastModifiedBy>
  <cp:revision>2</cp:revision>
  <dcterms:created xsi:type="dcterms:W3CDTF">2026-04-07T17:37:00Z</dcterms:created>
  <dcterms:modified xsi:type="dcterms:W3CDTF">2026-04-07T17:37:00Z</dcterms:modified>
</cp:coreProperties>
</file>