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D86" w:rsidRPr="00B11C03" w:rsidRDefault="001E3125" w:rsidP="00C511E3">
      <w:pPr>
        <w:spacing w:line="360" w:lineRule="auto"/>
        <w:jc w:val="both"/>
        <w:rPr>
          <w:rFonts w:ascii="Palatino Linotype" w:eastAsia="Palatino Linotype" w:hAnsi="Palatino Linotype" w:cs="Palatino Linotype"/>
        </w:rPr>
      </w:pPr>
      <w:r w:rsidRPr="00B11C0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B620ED" w:rsidRPr="00B11C03">
        <w:rPr>
          <w:rFonts w:ascii="Palatino Linotype" w:eastAsia="Palatino Linotype" w:hAnsi="Palatino Linotype" w:cs="Palatino Linotype"/>
        </w:rPr>
        <w:t>ocho</w:t>
      </w:r>
      <w:r w:rsidR="00BE4003" w:rsidRPr="00B11C03">
        <w:rPr>
          <w:rFonts w:ascii="Palatino Linotype" w:eastAsia="Palatino Linotype" w:hAnsi="Palatino Linotype" w:cs="Palatino Linotype"/>
        </w:rPr>
        <w:t xml:space="preserve"> de </w:t>
      </w:r>
      <w:r w:rsidR="00B620ED" w:rsidRPr="00B11C03">
        <w:rPr>
          <w:rFonts w:ascii="Palatino Linotype" w:eastAsia="Palatino Linotype" w:hAnsi="Palatino Linotype" w:cs="Palatino Linotype"/>
        </w:rPr>
        <w:t xml:space="preserve">mayo </w:t>
      </w:r>
      <w:r w:rsidR="00AE262A" w:rsidRPr="00B11C03">
        <w:rPr>
          <w:rFonts w:ascii="Palatino Linotype" w:eastAsia="Palatino Linotype" w:hAnsi="Palatino Linotype" w:cs="Palatino Linotype"/>
        </w:rPr>
        <w:t>de dos mil veinticinco</w:t>
      </w:r>
      <w:r w:rsidRPr="00B11C03">
        <w:rPr>
          <w:rFonts w:ascii="Palatino Linotype" w:eastAsia="Palatino Linotype" w:hAnsi="Palatino Linotype" w:cs="Palatino Linotype"/>
        </w:rPr>
        <w:t>.</w:t>
      </w:r>
    </w:p>
    <w:p w:rsidR="00E94D86" w:rsidRPr="00B11C03" w:rsidRDefault="00E94D86" w:rsidP="00C511E3">
      <w:pPr>
        <w:jc w:val="both"/>
        <w:rPr>
          <w:rFonts w:ascii="Palatino Linotype" w:eastAsia="Palatino Linotype" w:hAnsi="Palatino Linotype" w:cs="Palatino Linotype"/>
        </w:rPr>
      </w:pPr>
    </w:p>
    <w:p w:rsidR="00E94D86" w:rsidRPr="00B11C03" w:rsidRDefault="001E3125" w:rsidP="00C511E3">
      <w:pPr>
        <w:spacing w:line="360" w:lineRule="auto"/>
        <w:jc w:val="both"/>
        <w:rPr>
          <w:rFonts w:ascii="Palatino Linotype" w:eastAsia="Palatino Linotype" w:hAnsi="Palatino Linotype" w:cs="Palatino Linotype"/>
        </w:rPr>
      </w:pPr>
      <w:r w:rsidRPr="00B11C03">
        <w:rPr>
          <w:rFonts w:ascii="Palatino Linotype" w:eastAsia="Palatino Linotype" w:hAnsi="Palatino Linotype" w:cs="Palatino Linotype"/>
          <w:b/>
        </w:rPr>
        <w:t>VISTO</w:t>
      </w:r>
      <w:r w:rsidRPr="00B11C03">
        <w:rPr>
          <w:rFonts w:ascii="Palatino Linotype" w:eastAsia="Palatino Linotype" w:hAnsi="Palatino Linotype" w:cs="Palatino Linotype"/>
        </w:rPr>
        <w:t xml:space="preserve"> el expediente electrónico formado con motivo del recurso de revisión </w:t>
      </w:r>
      <w:r w:rsidR="00B620ED" w:rsidRPr="00B11C03">
        <w:rPr>
          <w:rFonts w:ascii="Palatino Linotype" w:eastAsia="Palatino Linotype" w:hAnsi="Palatino Linotype" w:cs="Palatino Linotype"/>
          <w:b/>
        </w:rPr>
        <w:t>02178</w:t>
      </w:r>
      <w:r w:rsidR="000067CB" w:rsidRPr="00B11C03">
        <w:rPr>
          <w:rFonts w:ascii="Palatino Linotype" w:eastAsia="Palatino Linotype" w:hAnsi="Palatino Linotype" w:cs="Palatino Linotype"/>
          <w:b/>
        </w:rPr>
        <w:t>/INFOEM/IP/RR/2025</w:t>
      </w:r>
      <w:r w:rsidRPr="00B11C03">
        <w:rPr>
          <w:rFonts w:ascii="Palatino Linotype" w:eastAsia="Palatino Linotype" w:hAnsi="Palatino Linotype" w:cs="Palatino Linotype"/>
          <w:b/>
        </w:rPr>
        <w:t xml:space="preserve">, </w:t>
      </w:r>
      <w:r w:rsidRPr="00B11C03">
        <w:rPr>
          <w:rFonts w:ascii="Palatino Linotype" w:eastAsia="Palatino Linotype" w:hAnsi="Palatino Linotype" w:cs="Palatino Linotype"/>
        </w:rPr>
        <w:t>promovido por</w:t>
      </w:r>
      <w:r w:rsidR="004401C8" w:rsidRPr="00B11C03">
        <w:rPr>
          <w:rFonts w:ascii="Palatino Linotype" w:eastAsia="Palatino Linotype" w:hAnsi="Palatino Linotype" w:cs="Palatino Linotype"/>
        </w:rPr>
        <w:t xml:space="preserve"> </w:t>
      </w:r>
      <w:r w:rsidR="00A3790F">
        <w:rPr>
          <w:rFonts w:ascii="Palatino Linotype" w:eastAsia="Palatino Linotype" w:hAnsi="Palatino Linotype" w:cs="Palatino Linotype"/>
          <w:b/>
        </w:rPr>
        <w:t>XXXX</w:t>
      </w:r>
      <w:r w:rsidR="000067CB" w:rsidRPr="00B11C03">
        <w:rPr>
          <w:rFonts w:ascii="Palatino Linotype" w:eastAsia="Palatino Linotype" w:hAnsi="Palatino Linotype" w:cs="Palatino Linotype"/>
          <w:b/>
        </w:rPr>
        <w:t>,</w:t>
      </w:r>
      <w:r w:rsidR="000067CB" w:rsidRPr="00B11C03">
        <w:rPr>
          <w:rFonts w:ascii="Palatino Linotype" w:eastAsia="Palatino Linotype" w:hAnsi="Palatino Linotype" w:cs="Palatino Linotype"/>
        </w:rPr>
        <w:t xml:space="preserve"> en lo sucesivo el</w:t>
      </w:r>
      <w:r w:rsidR="004401C8" w:rsidRPr="00B11C03">
        <w:rPr>
          <w:rFonts w:ascii="Palatino Linotype" w:eastAsia="Palatino Linotype" w:hAnsi="Palatino Linotype" w:cs="Palatino Linotype"/>
          <w:b/>
        </w:rPr>
        <w:t xml:space="preserve"> RECURRENTE</w:t>
      </w:r>
      <w:r w:rsidRPr="00B11C03">
        <w:rPr>
          <w:rFonts w:ascii="Palatino Linotype" w:eastAsia="Palatino Linotype" w:hAnsi="Palatino Linotype" w:cs="Palatino Linotype"/>
          <w:b/>
        </w:rPr>
        <w:t>,</w:t>
      </w:r>
      <w:r w:rsidRPr="00B11C03">
        <w:rPr>
          <w:rFonts w:ascii="Palatino Linotype" w:eastAsia="Palatino Linotype" w:hAnsi="Palatino Linotype" w:cs="Palatino Linotype"/>
        </w:rPr>
        <w:t xml:space="preserve"> en contra de la respuesta de</w:t>
      </w:r>
      <w:r w:rsidR="000067CB" w:rsidRPr="00B11C03">
        <w:rPr>
          <w:rFonts w:ascii="Palatino Linotype" w:eastAsia="Palatino Linotype" w:hAnsi="Palatino Linotype" w:cs="Palatino Linotype"/>
        </w:rPr>
        <w:t>l</w:t>
      </w:r>
      <w:r w:rsidR="00BE4003" w:rsidRPr="00B11C03">
        <w:rPr>
          <w:rFonts w:ascii="Palatino Linotype" w:eastAsia="Palatino Linotype" w:hAnsi="Palatino Linotype" w:cs="Palatino Linotype"/>
        </w:rPr>
        <w:t xml:space="preserve"> </w:t>
      </w:r>
      <w:r w:rsidR="00B620ED" w:rsidRPr="00B11C03">
        <w:rPr>
          <w:rFonts w:ascii="Palatino Linotype" w:eastAsia="Palatino Linotype" w:hAnsi="Palatino Linotype" w:cs="Palatino Linotype"/>
          <w:b/>
        </w:rPr>
        <w:t>Ayuntamiento Temamatla</w:t>
      </w:r>
      <w:r w:rsidRPr="00B11C03">
        <w:rPr>
          <w:rFonts w:ascii="Palatino Linotype" w:eastAsia="Palatino Linotype" w:hAnsi="Palatino Linotype" w:cs="Palatino Linotype"/>
          <w:b/>
        </w:rPr>
        <w:t xml:space="preserve">, </w:t>
      </w:r>
      <w:r w:rsidRPr="00B11C03">
        <w:rPr>
          <w:rFonts w:ascii="Palatino Linotype" w:eastAsia="Palatino Linotype" w:hAnsi="Palatino Linotype" w:cs="Palatino Linotype"/>
        </w:rPr>
        <w:t xml:space="preserve">en </w:t>
      </w:r>
      <w:r w:rsidR="000067CB" w:rsidRPr="00B11C03">
        <w:rPr>
          <w:rFonts w:ascii="Palatino Linotype" w:eastAsia="Palatino Linotype" w:hAnsi="Palatino Linotype" w:cs="Palatino Linotype"/>
        </w:rPr>
        <w:t>lo sucesivo</w:t>
      </w:r>
      <w:r w:rsidRPr="00B11C03">
        <w:rPr>
          <w:rFonts w:ascii="Palatino Linotype" w:eastAsia="Palatino Linotype" w:hAnsi="Palatino Linotype" w:cs="Palatino Linotype"/>
        </w:rPr>
        <w:t xml:space="preserve"> el</w:t>
      </w:r>
      <w:r w:rsidRPr="00B11C03">
        <w:rPr>
          <w:rFonts w:ascii="Palatino Linotype" w:eastAsia="Palatino Linotype" w:hAnsi="Palatino Linotype" w:cs="Palatino Linotype"/>
          <w:b/>
        </w:rPr>
        <w:t xml:space="preserve"> SUJETO OBLIGADO</w:t>
      </w:r>
      <w:r w:rsidRPr="00B11C03">
        <w:rPr>
          <w:rFonts w:ascii="Palatino Linotype" w:eastAsia="Palatino Linotype" w:hAnsi="Palatino Linotype" w:cs="Palatino Linotype"/>
        </w:rPr>
        <w:t>, por lo que se procede a dictar la presente resolución, con base en los siguientes:</w:t>
      </w:r>
    </w:p>
    <w:p w:rsidR="00E94D86" w:rsidRPr="00B11C03" w:rsidRDefault="00E94D86" w:rsidP="00C511E3">
      <w:pPr>
        <w:jc w:val="both"/>
        <w:rPr>
          <w:rFonts w:ascii="Palatino Linotype" w:eastAsia="Palatino Linotype" w:hAnsi="Palatino Linotype" w:cs="Palatino Linotype"/>
        </w:rPr>
      </w:pPr>
    </w:p>
    <w:p w:rsidR="00E94D86" w:rsidRPr="00B11C03" w:rsidRDefault="001E3125" w:rsidP="00C511E3">
      <w:pPr>
        <w:keepNext/>
        <w:keepLines/>
        <w:spacing w:line="360" w:lineRule="auto"/>
        <w:jc w:val="center"/>
        <w:rPr>
          <w:rFonts w:ascii="Palatino Linotype" w:eastAsia="Palatino Linotype" w:hAnsi="Palatino Linotype" w:cs="Palatino Linotype"/>
          <w:b/>
        </w:rPr>
      </w:pPr>
      <w:r w:rsidRPr="00B11C03">
        <w:rPr>
          <w:rFonts w:ascii="Palatino Linotype" w:eastAsia="Palatino Linotype" w:hAnsi="Palatino Linotype" w:cs="Palatino Linotype"/>
          <w:b/>
        </w:rPr>
        <w:t>A N T E C E D E N T E S</w:t>
      </w:r>
    </w:p>
    <w:p w:rsidR="00E94D86" w:rsidRPr="00B11C03" w:rsidRDefault="00E94D86" w:rsidP="00C511E3">
      <w:pPr>
        <w:rPr>
          <w:rFonts w:ascii="Palatino Linotype" w:eastAsia="Palatino Linotype" w:hAnsi="Palatino Linotype" w:cs="Palatino Linotype"/>
        </w:rPr>
      </w:pPr>
    </w:p>
    <w:p w:rsidR="00E94D86" w:rsidRPr="00B11C03" w:rsidRDefault="001E3125" w:rsidP="00C511E3">
      <w:pPr>
        <w:numPr>
          <w:ilvl w:val="0"/>
          <w:numId w:val="1"/>
        </w:numPr>
        <w:spacing w:line="360" w:lineRule="auto"/>
        <w:ind w:left="0" w:firstLine="0"/>
        <w:jc w:val="both"/>
        <w:rPr>
          <w:rFonts w:ascii="Palatino Linotype" w:eastAsia="Palatino Linotype" w:hAnsi="Palatino Linotype" w:cs="Palatino Linotype"/>
        </w:rPr>
      </w:pPr>
      <w:r w:rsidRPr="00B11C03">
        <w:rPr>
          <w:rFonts w:ascii="Palatino Linotype" w:eastAsia="Palatino Linotype" w:hAnsi="Palatino Linotype" w:cs="Palatino Linotype"/>
        </w:rPr>
        <w:t xml:space="preserve">El </w:t>
      </w:r>
      <w:r w:rsidR="00B620ED" w:rsidRPr="00B11C03">
        <w:rPr>
          <w:rFonts w:ascii="Palatino Linotype" w:eastAsia="Palatino Linotype" w:hAnsi="Palatino Linotype" w:cs="Palatino Linotype"/>
        </w:rPr>
        <w:t xml:space="preserve">treinta y uno de </w:t>
      </w:r>
      <w:r w:rsidR="000067CB" w:rsidRPr="00B11C03">
        <w:rPr>
          <w:rFonts w:ascii="Palatino Linotype" w:eastAsia="Palatino Linotype" w:hAnsi="Palatino Linotype" w:cs="Palatino Linotype"/>
        </w:rPr>
        <w:t>enero</w:t>
      </w:r>
      <w:r w:rsidR="006E5F99" w:rsidRPr="00B11C03">
        <w:rPr>
          <w:rFonts w:ascii="Palatino Linotype" w:eastAsia="Palatino Linotype" w:hAnsi="Palatino Linotype" w:cs="Palatino Linotype"/>
        </w:rPr>
        <w:t xml:space="preserve"> </w:t>
      </w:r>
      <w:r w:rsidR="000067CB" w:rsidRPr="00B11C03">
        <w:rPr>
          <w:rFonts w:ascii="Palatino Linotype" w:eastAsia="Palatino Linotype" w:hAnsi="Palatino Linotype" w:cs="Palatino Linotype"/>
        </w:rPr>
        <w:t>de dos mil veinticinco</w:t>
      </w:r>
      <w:r w:rsidR="00C511E3" w:rsidRPr="00B11C03">
        <w:rPr>
          <w:rFonts w:ascii="Palatino Linotype" w:eastAsia="Palatino Linotype" w:hAnsi="Palatino Linotype" w:cs="Palatino Linotype"/>
        </w:rPr>
        <w:t>, EL</w:t>
      </w:r>
      <w:r w:rsidRPr="00B11C03">
        <w:rPr>
          <w:rFonts w:ascii="Palatino Linotype" w:eastAsia="Palatino Linotype" w:hAnsi="Palatino Linotype" w:cs="Palatino Linotype"/>
          <w:b/>
        </w:rPr>
        <w:t xml:space="preserve"> RECURRENTE </w:t>
      </w:r>
      <w:r w:rsidRPr="00B11C03">
        <w:rPr>
          <w:rFonts w:ascii="Palatino Linotype" w:eastAsia="Palatino Linotype" w:hAnsi="Palatino Linotype" w:cs="Palatino Linotype"/>
        </w:rPr>
        <w:t xml:space="preserve">presentó ante el </w:t>
      </w:r>
      <w:r w:rsidRPr="00B11C03">
        <w:rPr>
          <w:rFonts w:ascii="Palatino Linotype" w:eastAsia="Palatino Linotype" w:hAnsi="Palatino Linotype" w:cs="Palatino Linotype"/>
          <w:b/>
        </w:rPr>
        <w:t>SUJETO OBLIGADO,</w:t>
      </w:r>
      <w:r w:rsidRPr="00B11C03">
        <w:rPr>
          <w:rFonts w:ascii="Palatino Linotype" w:eastAsia="Palatino Linotype" w:hAnsi="Palatino Linotype" w:cs="Palatino Linotype"/>
        </w:rPr>
        <w:t xml:space="preserve"> a través del el Sistema de Acceso a la Información Mexiquense </w:t>
      </w:r>
      <w:r w:rsidRPr="00B11C03">
        <w:rPr>
          <w:rFonts w:ascii="Palatino Linotype" w:eastAsia="Palatino Linotype" w:hAnsi="Palatino Linotype" w:cs="Palatino Linotype"/>
          <w:b/>
        </w:rPr>
        <w:t>(SAIMEX),</w:t>
      </w:r>
      <w:r w:rsidRPr="00B11C03">
        <w:rPr>
          <w:rFonts w:ascii="Palatino Linotype" w:eastAsia="Palatino Linotype" w:hAnsi="Palatino Linotype" w:cs="Palatino Linotype"/>
        </w:rPr>
        <w:t xml:space="preserve"> la solicitud de información pública </w:t>
      </w:r>
      <w:r w:rsidR="000067CB" w:rsidRPr="00B11C03">
        <w:rPr>
          <w:rFonts w:ascii="Palatino Linotype" w:eastAsia="Palatino Linotype" w:hAnsi="Palatino Linotype" w:cs="Palatino Linotype"/>
          <w:b/>
        </w:rPr>
        <w:t>0002</w:t>
      </w:r>
      <w:r w:rsidR="00B620ED" w:rsidRPr="00B11C03">
        <w:rPr>
          <w:rFonts w:ascii="Palatino Linotype" w:eastAsia="Palatino Linotype" w:hAnsi="Palatino Linotype" w:cs="Palatino Linotype"/>
          <w:b/>
        </w:rPr>
        <w:t>9</w:t>
      </w:r>
      <w:r w:rsidRPr="00B11C03">
        <w:rPr>
          <w:rFonts w:ascii="Palatino Linotype" w:eastAsia="Palatino Linotype" w:hAnsi="Palatino Linotype" w:cs="Palatino Linotype"/>
          <w:b/>
        </w:rPr>
        <w:t>/</w:t>
      </w:r>
      <w:r w:rsidR="00B620ED" w:rsidRPr="00B11C03">
        <w:rPr>
          <w:rFonts w:ascii="Palatino Linotype" w:eastAsia="Palatino Linotype" w:hAnsi="Palatino Linotype" w:cs="Palatino Linotype"/>
          <w:b/>
        </w:rPr>
        <w:t>TEMAMATL</w:t>
      </w:r>
      <w:r w:rsidR="000067CB" w:rsidRPr="00B11C03">
        <w:rPr>
          <w:rFonts w:ascii="Palatino Linotype" w:eastAsia="Palatino Linotype" w:hAnsi="Palatino Linotype" w:cs="Palatino Linotype"/>
          <w:b/>
        </w:rPr>
        <w:t>/IP/2025</w:t>
      </w:r>
      <w:r w:rsidRPr="00B11C03">
        <w:rPr>
          <w:rFonts w:ascii="Palatino Linotype" w:eastAsia="Palatino Linotype" w:hAnsi="Palatino Linotype" w:cs="Palatino Linotype"/>
        </w:rPr>
        <w:t>, en la que solicitó:</w:t>
      </w:r>
    </w:p>
    <w:p w:rsidR="00E94D86" w:rsidRPr="00B11C03" w:rsidRDefault="00E94D86" w:rsidP="00C511E3">
      <w:pPr>
        <w:jc w:val="both"/>
        <w:rPr>
          <w:rFonts w:ascii="Palatino Linotype" w:eastAsia="Palatino Linotype" w:hAnsi="Palatino Linotype" w:cs="Palatino Linotype"/>
        </w:rPr>
      </w:pPr>
    </w:p>
    <w:p w:rsidR="006E5F99" w:rsidRPr="00B11C03" w:rsidRDefault="001E3125" w:rsidP="00C511E3">
      <w:pPr>
        <w:ind w:left="567"/>
        <w:jc w:val="both"/>
        <w:rPr>
          <w:rFonts w:ascii="Palatino Linotype" w:eastAsia="Palatino Linotype" w:hAnsi="Palatino Linotype" w:cs="Palatino Linotype"/>
          <w:i/>
          <w:color w:val="000000"/>
        </w:rPr>
      </w:pPr>
      <w:r w:rsidRPr="00B11C03">
        <w:rPr>
          <w:rFonts w:ascii="Palatino Linotype" w:eastAsia="Palatino Linotype" w:hAnsi="Palatino Linotype" w:cs="Palatino Linotype"/>
          <w:i/>
          <w:color w:val="000000"/>
        </w:rPr>
        <w:t>“</w:t>
      </w:r>
      <w:r w:rsidR="00B620ED" w:rsidRPr="00B11C03">
        <w:rPr>
          <w:rFonts w:ascii="Palatino Linotype" w:eastAsia="Palatino Linotype" w:hAnsi="Palatino Linotype" w:cs="Palatino Linotype"/>
          <w:i/>
          <w:color w:val="000000"/>
        </w:rPr>
        <w:t>En qué año y mediante que recurso se concertó la compra de los chalecos balísticos entregados en el mes de enero a los policías municipales de Temamatla</w:t>
      </w:r>
      <w:r w:rsidRPr="00B11C03">
        <w:rPr>
          <w:rFonts w:ascii="Palatino Linotype" w:eastAsia="Palatino Linotype" w:hAnsi="Palatino Linotype" w:cs="Palatino Linotype"/>
          <w:i/>
          <w:color w:val="000000"/>
        </w:rPr>
        <w:t xml:space="preserve">” (Sic) </w:t>
      </w:r>
    </w:p>
    <w:p w:rsidR="00E94D86" w:rsidRPr="00B11C03" w:rsidRDefault="00E94D86" w:rsidP="00C511E3">
      <w:pPr>
        <w:pBdr>
          <w:top w:val="nil"/>
          <w:left w:val="nil"/>
          <w:bottom w:val="nil"/>
          <w:right w:val="nil"/>
          <w:between w:val="nil"/>
        </w:pBdr>
        <w:jc w:val="both"/>
        <w:rPr>
          <w:rFonts w:ascii="Palatino Linotype" w:eastAsia="Palatino Linotype" w:hAnsi="Palatino Linotype" w:cs="Palatino Linotype"/>
          <w:color w:val="000000"/>
        </w:rPr>
      </w:pPr>
    </w:p>
    <w:p w:rsidR="00E94D86" w:rsidRPr="00B11C03" w:rsidRDefault="001E3125" w:rsidP="00C511E3">
      <w:pPr>
        <w:numPr>
          <w:ilvl w:val="0"/>
          <w:numId w:val="1"/>
        </w:numPr>
        <w:spacing w:line="360" w:lineRule="auto"/>
        <w:ind w:left="0" w:firstLine="0"/>
        <w:jc w:val="both"/>
        <w:rPr>
          <w:rFonts w:ascii="Palatino Linotype" w:eastAsia="Palatino Linotype" w:hAnsi="Palatino Linotype" w:cs="Palatino Linotype"/>
        </w:rPr>
      </w:pPr>
      <w:r w:rsidRPr="00B11C03">
        <w:rPr>
          <w:rFonts w:ascii="Palatino Linotype" w:eastAsia="Palatino Linotype" w:hAnsi="Palatino Linotype" w:cs="Palatino Linotype"/>
        </w:rPr>
        <w:t xml:space="preserve">Se hace constar que se señaló como modalidad de entrega de la información a través del </w:t>
      </w:r>
      <w:r w:rsidR="00A22674" w:rsidRPr="00B11C03">
        <w:rPr>
          <w:rFonts w:ascii="Palatino Linotype" w:eastAsia="Palatino Linotype" w:hAnsi="Palatino Linotype" w:cs="Palatino Linotype"/>
          <w:b/>
        </w:rPr>
        <w:t>SAIMEX.</w:t>
      </w:r>
    </w:p>
    <w:p w:rsidR="00E94D86" w:rsidRPr="00B11C03" w:rsidRDefault="00E94D86" w:rsidP="00C511E3">
      <w:pPr>
        <w:jc w:val="both"/>
        <w:rPr>
          <w:rFonts w:ascii="Palatino Linotype" w:eastAsia="Palatino Linotype" w:hAnsi="Palatino Linotype" w:cs="Palatino Linotype"/>
          <w:b/>
        </w:rPr>
      </w:pPr>
    </w:p>
    <w:p w:rsidR="00E94D86" w:rsidRPr="00B11C03" w:rsidRDefault="001E3125" w:rsidP="00C511E3">
      <w:pPr>
        <w:numPr>
          <w:ilvl w:val="0"/>
          <w:numId w:val="1"/>
        </w:numPr>
        <w:spacing w:line="360" w:lineRule="auto"/>
        <w:ind w:left="0" w:firstLine="0"/>
        <w:jc w:val="both"/>
        <w:rPr>
          <w:rFonts w:ascii="Palatino Linotype" w:eastAsia="Palatino Linotype" w:hAnsi="Palatino Linotype" w:cs="Palatino Linotype"/>
        </w:rPr>
      </w:pPr>
      <w:r w:rsidRPr="00B11C03">
        <w:rPr>
          <w:rFonts w:ascii="Palatino Linotype" w:eastAsia="Palatino Linotype" w:hAnsi="Palatino Linotype" w:cs="Palatino Linotype"/>
        </w:rPr>
        <w:t xml:space="preserve">El </w:t>
      </w:r>
      <w:r w:rsidR="00B620ED" w:rsidRPr="00B11C03">
        <w:rPr>
          <w:rFonts w:ascii="Palatino Linotype" w:eastAsia="Palatino Linotype" w:hAnsi="Palatino Linotype" w:cs="Palatino Linotype"/>
        </w:rPr>
        <w:t xml:space="preserve">veinticuatro </w:t>
      </w:r>
      <w:r w:rsidR="000067CB" w:rsidRPr="00B11C03">
        <w:rPr>
          <w:rFonts w:ascii="Palatino Linotype" w:eastAsia="Palatino Linotype" w:hAnsi="Palatino Linotype" w:cs="Palatino Linotype"/>
        </w:rPr>
        <w:t>de febrero</w:t>
      </w:r>
      <w:r w:rsidR="003A2DC2" w:rsidRPr="00B11C03">
        <w:rPr>
          <w:rFonts w:ascii="Palatino Linotype" w:eastAsia="Palatino Linotype" w:hAnsi="Palatino Linotype" w:cs="Palatino Linotype"/>
        </w:rPr>
        <w:t xml:space="preserve"> </w:t>
      </w:r>
      <w:r w:rsidR="000067CB" w:rsidRPr="00B11C03">
        <w:rPr>
          <w:rFonts w:ascii="Palatino Linotype" w:eastAsia="Palatino Linotype" w:hAnsi="Palatino Linotype" w:cs="Palatino Linotype"/>
        </w:rPr>
        <w:t>de dos mil veinticinco</w:t>
      </w:r>
      <w:r w:rsidRPr="00B11C03">
        <w:rPr>
          <w:rFonts w:ascii="Palatino Linotype" w:eastAsia="Palatino Linotype" w:hAnsi="Palatino Linotype" w:cs="Palatino Linotype"/>
        </w:rPr>
        <w:t xml:space="preserve">, el </w:t>
      </w:r>
      <w:r w:rsidRPr="00B11C03">
        <w:rPr>
          <w:rFonts w:ascii="Palatino Linotype" w:eastAsia="Palatino Linotype" w:hAnsi="Palatino Linotype" w:cs="Palatino Linotype"/>
          <w:b/>
        </w:rPr>
        <w:t>SUJETO OBLIGADO</w:t>
      </w:r>
      <w:r w:rsidRPr="00B11C03">
        <w:rPr>
          <w:rFonts w:ascii="Palatino Linotype" w:eastAsia="Palatino Linotype" w:hAnsi="Palatino Linotype" w:cs="Palatino Linotype"/>
          <w:b/>
          <w:i/>
        </w:rPr>
        <w:t xml:space="preserve"> </w:t>
      </w:r>
      <w:r w:rsidRPr="00B11C03">
        <w:rPr>
          <w:rFonts w:ascii="Palatino Linotype" w:eastAsia="Palatino Linotype" w:hAnsi="Palatino Linotype" w:cs="Palatino Linotype"/>
        </w:rPr>
        <w:t>dio respuesta a la solicitud de información, en los siguientes términos:</w:t>
      </w:r>
    </w:p>
    <w:p w:rsidR="000067CB" w:rsidRPr="00B11C03" w:rsidRDefault="000067CB" w:rsidP="00C511E3">
      <w:pPr>
        <w:spacing w:line="360" w:lineRule="auto"/>
        <w:jc w:val="both"/>
        <w:rPr>
          <w:rFonts w:ascii="Palatino Linotype" w:eastAsia="Palatino Linotype" w:hAnsi="Palatino Linotype" w:cs="Palatino Linotype"/>
        </w:rPr>
      </w:pPr>
    </w:p>
    <w:p w:rsidR="00E94D86" w:rsidRPr="00B11C03" w:rsidRDefault="000067CB" w:rsidP="00C511E3">
      <w:pPr>
        <w:ind w:left="567"/>
        <w:jc w:val="both"/>
        <w:rPr>
          <w:rFonts w:ascii="Palatino Linotype" w:eastAsia="Palatino Linotype" w:hAnsi="Palatino Linotype" w:cs="Palatino Linotype"/>
          <w:i/>
          <w:color w:val="000000"/>
        </w:rPr>
      </w:pPr>
      <w:r w:rsidRPr="00B11C03">
        <w:rPr>
          <w:rFonts w:ascii="Palatino Linotype" w:eastAsia="Palatino Linotype" w:hAnsi="Palatino Linotype" w:cs="Palatino Linotype"/>
          <w:i/>
          <w:color w:val="000000"/>
        </w:rPr>
        <w:lastRenderedPageBreak/>
        <w:t>“</w:t>
      </w:r>
      <w:r w:rsidR="00B620ED" w:rsidRPr="00B11C03">
        <w:rPr>
          <w:rFonts w:ascii="Palatino Linotype" w:eastAsia="Palatino Linotype" w:hAnsi="Palatino Linotype" w:cs="Palatino Linotype"/>
          <w:i/>
          <w:color w:val="000000"/>
        </w:rPr>
        <w:t>A QUIEN CORRESPONDA Sirva la presente para notificar la respuesta a su solicitud de información, en cumplimiento al artículo 53 fracción II, IV y V de la Ley de Transparencia y Acceso a la Información Pública del Estado de México y Municipios. Por lo anterior, se anexa la información que atiende a su solicitud de información Sin más por el momento a quedo atenta a sus órdenes. ATENTAMENTE LIC. LAURA MUCIÑO BRITO ENCARGADA DE DESPACHO DE LA UNIDAD DE TRANSPARENCIA Y ACCESO A LA INFORMACIÓN PÚBLICA DEL H. AYUNTAMIENTO DE TEMAMATLA, ESTADO DE MÉXICO.</w:t>
      </w:r>
      <w:r w:rsidR="001E3125" w:rsidRPr="00B11C03">
        <w:rPr>
          <w:rFonts w:ascii="Palatino Linotype" w:eastAsia="Palatino Linotype" w:hAnsi="Palatino Linotype" w:cs="Palatino Linotype"/>
          <w:i/>
          <w:color w:val="000000"/>
        </w:rPr>
        <w:t>” (Sic)</w:t>
      </w:r>
      <w:r w:rsidR="00BE4003" w:rsidRPr="00B11C03">
        <w:rPr>
          <w:rFonts w:ascii="Palatino Linotype" w:eastAsia="Palatino Linotype" w:hAnsi="Palatino Linotype" w:cs="Palatino Linotype"/>
          <w:i/>
          <w:color w:val="000000"/>
        </w:rPr>
        <w:t xml:space="preserve"> </w:t>
      </w:r>
    </w:p>
    <w:p w:rsidR="00FC50EC" w:rsidRPr="00B11C03" w:rsidRDefault="00FC50EC" w:rsidP="00C511E3">
      <w:pPr>
        <w:jc w:val="both"/>
        <w:rPr>
          <w:rFonts w:ascii="Palatino Linotype" w:eastAsia="Palatino Linotype" w:hAnsi="Palatino Linotype" w:cs="Palatino Linotype"/>
          <w:i/>
          <w:color w:val="000000"/>
        </w:rPr>
      </w:pPr>
    </w:p>
    <w:p w:rsidR="003A1F84" w:rsidRPr="00B11C03" w:rsidRDefault="001E3125" w:rsidP="00C511E3">
      <w:pPr>
        <w:jc w:val="both"/>
        <w:rPr>
          <w:rFonts w:ascii="Palatino Linotype" w:eastAsia="Palatino Linotype" w:hAnsi="Palatino Linotype" w:cs="Palatino Linotype"/>
        </w:rPr>
      </w:pPr>
      <w:r w:rsidRPr="00B11C03">
        <w:rPr>
          <w:rFonts w:ascii="Palatino Linotype" w:eastAsia="Palatino Linotype" w:hAnsi="Palatino Linotype" w:cs="Palatino Linotype"/>
        </w:rPr>
        <w:t>Archivo</w:t>
      </w:r>
      <w:r w:rsidR="00B620ED" w:rsidRPr="00B11C03">
        <w:rPr>
          <w:rFonts w:ascii="Palatino Linotype" w:eastAsia="Palatino Linotype" w:hAnsi="Palatino Linotype" w:cs="Palatino Linotype"/>
        </w:rPr>
        <w:t xml:space="preserve"> electrónico adjunto</w:t>
      </w:r>
      <w:r w:rsidRPr="00B11C03">
        <w:rPr>
          <w:rFonts w:ascii="Palatino Linotype" w:eastAsia="Palatino Linotype" w:hAnsi="Palatino Linotype" w:cs="Palatino Linotype"/>
        </w:rPr>
        <w:t>:</w:t>
      </w:r>
    </w:p>
    <w:p w:rsidR="003A2DC2" w:rsidRPr="00B11C03" w:rsidRDefault="003A2DC2" w:rsidP="00C511E3">
      <w:pPr>
        <w:jc w:val="both"/>
        <w:rPr>
          <w:rFonts w:ascii="Palatino Linotype" w:eastAsia="Palatino Linotype" w:hAnsi="Palatino Linotype" w:cs="Palatino Linotype"/>
          <w:b/>
        </w:rPr>
      </w:pPr>
    </w:p>
    <w:p w:rsidR="00B620ED" w:rsidRPr="00B11C03" w:rsidRDefault="009B4F79" w:rsidP="00C511E3">
      <w:pPr>
        <w:ind w:left="567"/>
        <w:jc w:val="both"/>
        <w:rPr>
          <w:rFonts w:ascii="Palatino Linotype" w:hAnsi="Palatino Linotype"/>
        </w:rPr>
      </w:pPr>
      <w:hyperlink r:id="rId8" w:tgtFrame="_blank" w:history="1">
        <w:r w:rsidR="00B620ED" w:rsidRPr="00B11C03">
          <w:rPr>
            <w:rStyle w:val="Hipervnculo"/>
            <w:rFonts w:ascii="Palatino Linotype" w:hAnsi="Palatino Linotype" w:cs="Arial"/>
            <w:b/>
            <w:bCs/>
            <w:color w:val="auto"/>
            <w:u w:val="none"/>
          </w:rPr>
          <w:t>00029</w:t>
        </w:r>
        <w:r w:rsidR="000067CB" w:rsidRPr="00B11C03">
          <w:rPr>
            <w:rStyle w:val="Hipervnculo"/>
            <w:rFonts w:ascii="Palatino Linotype" w:hAnsi="Palatino Linotype" w:cs="Arial"/>
            <w:b/>
            <w:bCs/>
            <w:color w:val="auto"/>
            <w:u w:val="none"/>
          </w:rPr>
          <w:t>.pdf</w:t>
        </w:r>
      </w:hyperlink>
      <w:r w:rsidR="000067CB" w:rsidRPr="00B11C03">
        <w:rPr>
          <w:rFonts w:ascii="Palatino Linotype" w:hAnsi="Palatino Linotype"/>
        </w:rPr>
        <w:t>:</w:t>
      </w:r>
      <w:r w:rsidR="00EC45F6" w:rsidRPr="00B11C03">
        <w:rPr>
          <w:rFonts w:ascii="Palatino Linotype" w:hAnsi="Palatino Linotype"/>
        </w:rPr>
        <w:t xml:space="preserve"> Oficio </w:t>
      </w:r>
      <w:r w:rsidR="00556935" w:rsidRPr="00B11C03">
        <w:rPr>
          <w:rFonts w:ascii="Palatino Linotype" w:hAnsi="Palatino Linotype"/>
        </w:rPr>
        <w:t>TEMA/AYUNT/UTAIP/109/2025, de fecha cuatro de febrero de dos mil veinticinco, signado por la Encargada de Despacho de la Unidad de Transparencia y Acceso a la Información Pública del H. Ayuntamiento de Temamatla, Estado de México</w:t>
      </w:r>
      <w:r w:rsidR="00EC45F6" w:rsidRPr="00B11C03">
        <w:rPr>
          <w:rFonts w:ascii="Palatino Linotype" w:hAnsi="Palatino Linotype"/>
        </w:rPr>
        <w:t xml:space="preserve">, </w:t>
      </w:r>
      <w:r w:rsidR="00B620ED" w:rsidRPr="00B11C03">
        <w:rPr>
          <w:rFonts w:ascii="Palatino Linotype" w:hAnsi="Palatino Linotype"/>
        </w:rPr>
        <w:t xml:space="preserve">mediante el cual </w:t>
      </w:r>
      <w:r w:rsidR="00556935" w:rsidRPr="00B11C03">
        <w:rPr>
          <w:rFonts w:ascii="Palatino Linotype" w:hAnsi="Palatino Linotype"/>
        </w:rPr>
        <w:t>solicita la información a la Encargada de Despacho de la Dirección de Servicios Públicos del H. Ayuntamiento de Temamatla, Estado de México.</w:t>
      </w:r>
    </w:p>
    <w:p w:rsidR="00556935" w:rsidRPr="00B11C03" w:rsidRDefault="00556935" w:rsidP="00C511E3">
      <w:pPr>
        <w:ind w:left="567"/>
        <w:jc w:val="both"/>
        <w:rPr>
          <w:rFonts w:ascii="Palatino Linotype" w:hAnsi="Palatino Linotype"/>
        </w:rPr>
      </w:pPr>
    </w:p>
    <w:p w:rsidR="00556935" w:rsidRPr="00B11C03" w:rsidRDefault="00556935" w:rsidP="00C511E3">
      <w:pPr>
        <w:ind w:left="567"/>
        <w:jc w:val="both"/>
        <w:rPr>
          <w:rFonts w:ascii="Palatino Linotype" w:hAnsi="Palatino Linotype"/>
        </w:rPr>
      </w:pPr>
      <w:r w:rsidRPr="00B11C03">
        <w:rPr>
          <w:rFonts w:ascii="Palatino Linotype" w:hAnsi="Palatino Linotype"/>
        </w:rPr>
        <w:t>Oficio TEM/PM/DSP/00101/2025, de fecha seis de febrero de dos mil veinticinco, suscrito por el Encargado de Despacho de Seguridad Pública Municipal Temamatla, a través del cual informa que el equipamiento de chalecos balísticos entregados en el mes de enero a los policías municipales de Temamatla fue concertado en el día treinta de enero de dos mil veinticinco, entregados por el Encargado del Secretariado Ejecutivo del Sistema Estatal de Seguridad.</w:t>
      </w:r>
    </w:p>
    <w:p w:rsidR="00556935" w:rsidRPr="00B11C03" w:rsidRDefault="00556935" w:rsidP="00C511E3">
      <w:pPr>
        <w:ind w:left="567"/>
        <w:jc w:val="both"/>
        <w:rPr>
          <w:rFonts w:ascii="Palatino Linotype" w:hAnsi="Palatino Linotype"/>
        </w:rPr>
      </w:pPr>
    </w:p>
    <w:p w:rsidR="00556935" w:rsidRPr="00B11C03" w:rsidRDefault="00556935" w:rsidP="00C511E3">
      <w:pPr>
        <w:ind w:left="567"/>
        <w:jc w:val="both"/>
        <w:rPr>
          <w:rFonts w:ascii="Palatino Linotype" w:hAnsi="Palatino Linotype"/>
        </w:rPr>
      </w:pPr>
      <w:r w:rsidRPr="00B11C03">
        <w:rPr>
          <w:rFonts w:ascii="Palatino Linotype" w:hAnsi="Palatino Linotype"/>
        </w:rPr>
        <w:t>Oficio TEM/SEC.TEC.</w:t>
      </w:r>
      <w:r w:rsidR="00EE5302" w:rsidRPr="00B11C03">
        <w:rPr>
          <w:rFonts w:ascii="Palatino Linotype" w:hAnsi="Palatino Linotype"/>
        </w:rPr>
        <w:t>/0014/2025, de fecha veintinueve de enero de dos mil veinticinco, por medio del cual se comunica al Encargado del Secretariado Ejecutivo del Sistema Estatal de Seguridad, el nombre del personal que acudiría a recibir los bienes en el Almacena General de la Secretaría de Seguridad, el día 30 de enero de 2025.</w:t>
      </w:r>
    </w:p>
    <w:p w:rsidR="00EE5302" w:rsidRPr="00B11C03" w:rsidRDefault="00EE5302" w:rsidP="00C511E3">
      <w:pPr>
        <w:ind w:left="567"/>
        <w:jc w:val="both"/>
        <w:rPr>
          <w:rFonts w:ascii="Palatino Linotype" w:hAnsi="Palatino Linotype"/>
        </w:rPr>
      </w:pPr>
    </w:p>
    <w:p w:rsidR="00EE5302" w:rsidRPr="00B11C03" w:rsidRDefault="00EE5302" w:rsidP="00C511E3">
      <w:pPr>
        <w:ind w:left="567"/>
        <w:jc w:val="both"/>
        <w:rPr>
          <w:rFonts w:ascii="Palatino Linotype" w:hAnsi="Palatino Linotype"/>
        </w:rPr>
      </w:pPr>
      <w:r w:rsidRPr="00B11C03">
        <w:rPr>
          <w:rFonts w:ascii="Palatino Linotype" w:hAnsi="Palatino Linotype"/>
        </w:rPr>
        <w:t xml:space="preserve">Formato de recibo, en el que se aprecia que el </w:t>
      </w:r>
      <w:r w:rsidR="00D03786" w:rsidRPr="00B11C03">
        <w:rPr>
          <w:rFonts w:ascii="Palatino Linotype" w:hAnsi="Palatino Linotype"/>
        </w:rPr>
        <w:t>Almacén</w:t>
      </w:r>
      <w:r w:rsidRPr="00B11C03">
        <w:rPr>
          <w:rFonts w:ascii="Palatino Linotype" w:hAnsi="Palatino Linotype"/>
        </w:rPr>
        <w:t xml:space="preserve"> General de la Secreta</w:t>
      </w:r>
      <w:r w:rsidR="00D03786" w:rsidRPr="00B11C03">
        <w:rPr>
          <w:rFonts w:ascii="Palatino Linotype" w:hAnsi="Palatino Linotype"/>
        </w:rPr>
        <w:t>rí</w:t>
      </w:r>
      <w:r w:rsidRPr="00B11C03">
        <w:rPr>
          <w:rFonts w:ascii="Palatino Linotype" w:hAnsi="Palatino Linotype"/>
        </w:rPr>
        <w:t xml:space="preserve">a </w:t>
      </w:r>
      <w:r w:rsidR="00D03786" w:rsidRPr="00B11C03">
        <w:rPr>
          <w:rFonts w:ascii="Palatino Linotype" w:hAnsi="Palatino Linotype"/>
        </w:rPr>
        <w:t>de Seguridad entregó 34 piezas de Chalecos Balísticos Nivel IV y 13 piezas de Candados de Mano Metálico.</w:t>
      </w:r>
    </w:p>
    <w:p w:rsidR="00EC45F6" w:rsidRPr="00B11C03" w:rsidRDefault="00EC45F6" w:rsidP="00C511E3">
      <w:pPr>
        <w:jc w:val="both"/>
        <w:rPr>
          <w:rFonts w:ascii="Palatino Linotype" w:hAnsi="Palatino Linotype"/>
        </w:rPr>
      </w:pPr>
    </w:p>
    <w:p w:rsidR="00C82ED1" w:rsidRPr="00B11C03" w:rsidRDefault="001E3125" w:rsidP="00C511E3">
      <w:pPr>
        <w:numPr>
          <w:ilvl w:val="0"/>
          <w:numId w:val="1"/>
        </w:numPr>
        <w:spacing w:line="360" w:lineRule="auto"/>
        <w:ind w:left="0" w:firstLine="0"/>
        <w:jc w:val="both"/>
        <w:rPr>
          <w:rFonts w:ascii="Palatino Linotype" w:eastAsia="Palatino Linotype" w:hAnsi="Palatino Linotype" w:cs="Palatino Linotype"/>
        </w:rPr>
      </w:pPr>
      <w:r w:rsidRPr="00B11C03">
        <w:rPr>
          <w:rFonts w:ascii="Palatino Linotype" w:eastAsia="Palatino Linotype" w:hAnsi="Palatino Linotype" w:cs="Palatino Linotype"/>
        </w:rPr>
        <w:lastRenderedPageBreak/>
        <w:t xml:space="preserve">El </w:t>
      </w:r>
      <w:r w:rsidR="009A316C" w:rsidRPr="00B11C03">
        <w:rPr>
          <w:rFonts w:ascii="Palatino Linotype" w:eastAsia="Palatino Linotype" w:hAnsi="Palatino Linotype" w:cs="Palatino Linotype"/>
        </w:rPr>
        <w:t xml:space="preserve">veintisiete </w:t>
      </w:r>
      <w:r w:rsidR="000067CB" w:rsidRPr="00B11C03">
        <w:rPr>
          <w:rFonts w:ascii="Palatino Linotype" w:eastAsia="Palatino Linotype" w:hAnsi="Palatino Linotype" w:cs="Palatino Linotype"/>
        </w:rPr>
        <w:t>de febrero de dos mil veinticinco</w:t>
      </w:r>
      <w:r w:rsidRPr="00B11C03">
        <w:rPr>
          <w:rFonts w:ascii="Palatino Linotype" w:eastAsia="Palatino Linotype" w:hAnsi="Palatino Linotype" w:cs="Palatino Linotype"/>
        </w:rPr>
        <w:t>,</w:t>
      </w:r>
      <w:r w:rsidRPr="00B11C03">
        <w:rPr>
          <w:rFonts w:ascii="Palatino Linotype" w:eastAsia="Palatino Linotype" w:hAnsi="Palatino Linotype" w:cs="Palatino Linotype"/>
          <w:b/>
        </w:rPr>
        <w:t xml:space="preserve"> </w:t>
      </w:r>
      <w:r w:rsidRPr="00B11C03">
        <w:rPr>
          <w:rFonts w:ascii="Palatino Linotype" w:eastAsia="Palatino Linotype" w:hAnsi="Palatino Linotype" w:cs="Palatino Linotype"/>
        </w:rPr>
        <w:t xml:space="preserve">el </w:t>
      </w:r>
      <w:r w:rsidRPr="00B11C03">
        <w:rPr>
          <w:rFonts w:ascii="Palatino Linotype" w:eastAsia="Palatino Linotype" w:hAnsi="Palatino Linotype" w:cs="Palatino Linotype"/>
          <w:b/>
        </w:rPr>
        <w:t>RECURRENTE</w:t>
      </w:r>
      <w:r w:rsidRPr="00B11C03">
        <w:rPr>
          <w:rFonts w:ascii="Palatino Linotype" w:eastAsia="Palatino Linotype" w:hAnsi="Palatino Linotype" w:cs="Palatino Linotype"/>
        </w:rPr>
        <w:t xml:space="preserve"> interpuso el recurso de revisión en contra de la respuesta, señalando como:</w:t>
      </w:r>
    </w:p>
    <w:p w:rsidR="00C82ED1" w:rsidRPr="00B11C03" w:rsidRDefault="00C82ED1" w:rsidP="00C511E3">
      <w:pPr>
        <w:jc w:val="both"/>
        <w:rPr>
          <w:rFonts w:ascii="Palatino Linotype" w:eastAsia="Palatino Linotype" w:hAnsi="Palatino Linotype" w:cs="Palatino Linotype"/>
        </w:rPr>
      </w:pPr>
    </w:p>
    <w:p w:rsidR="00E94D86" w:rsidRPr="00B11C03" w:rsidRDefault="001E3125" w:rsidP="00C511E3">
      <w:pPr>
        <w:ind w:left="567"/>
        <w:jc w:val="both"/>
        <w:rPr>
          <w:rFonts w:ascii="Palatino Linotype" w:hAnsi="Palatino Linotype"/>
          <w:i/>
        </w:rPr>
      </w:pPr>
      <w:r w:rsidRPr="00B11C03">
        <w:rPr>
          <w:rFonts w:ascii="Palatino Linotype" w:eastAsia="Palatino Linotype" w:hAnsi="Palatino Linotype" w:cs="Palatino Linotype"/>
          <w:b/>
        </w:rPr>
        <w:t>Acto impugnado</w:t>
      </w:r>
      <w:r w:rsidRPr="00B11C03">
        <w:rPr>
          <w:rFonts w:ascii="Palatino Linotype" w:eastAsia="Palatino Linotype" w:hAnsi="Palatino Linotype" w:cs="Palatino Linotype"/>
          <w:b/>
          <w:i/>
        </w:rPr>
        <w:t>:</w:t>
      </w:r>
      <w:r w:rsidRPr="00B11C03">
        <w:rPr>
          <w:rFonts w:ascii="Palatino Linotype" w:eastAsia="Palatino Linotype" w:hAnsi="Palatino Linotype" w:cs="Palatino Linotype"/>
          <w:i/>
          <w:color w:val="000000"/>
        </w:rPr>
        <w:t xml:space="preserve"> “</w:t>
      </w:r>
      <w:r w:rsidR="009A316C" w:rsidRPr="00B11C03">
        <w:rPr>
          <w:rFonts w:ascii="Palatino Linotype" w:eastAsia="Palatino Linotype" w:hAnsi="Palatino Linotype" w:cs="Palatino Linotype"/>
          <w:i/>
          <w:color w:val="000000"/>
        </w:rPr>
        <w:t>La información solicitada no corresponde a lo solicitado de igual manera no responden a todo lo que se solicitó</w:t>
      </w:r>
      <w:r w:rsidRPr="00B11C03">
        <w:rPr>
          <w:rFonts w:ascii="Palatino Linotype" w:eastAsia="Palatino Linotype" w:hAnsi="Palatino Linotype" w:cs="Palatino Linotype"/>
          <w:i/>
          <w:color w:val="000000"/>
        </w:rPr>
        <w:t>” (Sic)</w:t>
      </w:r>
    </w:p>
    <w:p w:rsidR="00E94D86" w:rsidRPr="00B11C03" w:rsidRDefault="00E94D86" w:rsidP="00C511E3">
      <w:pPr>
        <w:ind w:left="567"/>
        <w:jc w:val="both"/>
        <w:rPr>
          <w:rFonts w:ascii="Palatino Linotype" w:eastAsia="Palatino Linotype" w:hAnsi="Palatino Linotype" w:cs="Palatino Linotype"/>
        </w:rPr>
      </w:pPr>
    </w:p>
    <w:p w:rsidR="00E94D86" w:rsidRPr="00B11C03" w:rsidRDefault="001E3125" w:rsidP="00C511E3">
      <w:pPr>
        <w:ind w:left="567"/>
        <w:jc w:val="both"/>
        <w:rPr>
          <w:rFonts w:ascii="Palatino Linotype" w:eastAsia="Palatino Linotype" w:hAnsi="Palatino Linotype" w:cs="Palatino Linotype"/>
          <w:i/>
          <w:color w:val="000000"/>
        </w:rPr>
      </w:pPr>
      <w:r w:rsidRPr="00B11C03">
        <w:rPr>
          <w:rFonts w:ascii="Palatino Linotype" w:eastAsia="Palatino Linotype" w:hAnsi="Palatino Linotype" w:cs="Palatino Linotype"/>
          <w:b/>
        </w:rPr>
        <w:t xml:space="preserve">Razones o Motivos de inconformidad: </w:t>
      </w:r>
      <w:r w:rsidR="006E5F99" w:rsidRPr="00B11C03">
        <w:rPr>
          <w:rFonts w:ascii="Palatino Linotype" w:eastAsia="Palatino Linotype" w:hAnsi="Palatino Linotype" w:cs="Palatino Linotype"/>
          <w:i/>
          <w:color w:val="000000"/>
        </w:rPr>
        <w:t>“</w:t>
      </w:r>
      <w:r w:rsidR="009A316C" w:rsidRPr="00B11C03">
        <w:rPr>
          <w:rFonts w:ascii="Palatino Linotype" w:eastAsia="Palatino Linotype" w:hAnsi="Palatino Linotype" w:cs="Palatino Linotype"/>
          <w:i/>
          <w:color w:val="000000"/>
        </w:rPr>
        <w:t>La información solicitada es en qué año y mediante que recurso se concertó la compra de los chalecos balísticos entregados en el mes de enero a los policías municipales de Temamatla, por lo que al preguntar en qué año fue concertado quiero decir en año se hicieron las gestiones para solicitar o comprar los chalecos y lo que respondieron fue la fecha en la que fueron a recorgelos sin mencionar que no dijeron mediante que recurso se hizo la compra</w:t>
      </w:r>
      <w:r w:rsidRPr="00B11C03">
        <w:rPr>
          <w:rFonts w:ascii="Palatino Linotype" w:eastAsia="Palatino Linotype" w:hAnsi="Palatino Linotype" w:cs="Palatino Linotype"/>
          <w:i/>
          <w:color w:val="000000"/>
        </w:rPr>
        <w:t>” (Sic)</w:t>
      </w:r>
    </w:p>
    <w:p w:rsidR="00A22674" w:rsidRPr="00B11C03" w:rsidRDefault="00A22674" w:rsidP="00C511E3">
      <w:pPr>
        <w:jc w:val="both"/>
        <w:rPr>
          <w:rFonts w:ascii="Palatino Linotype" w:eastAsia="Palatino Linotype" w:hAnsi="Palatino Linotype" w:cs="Palatino Linotype"/>
          <w:b/>
        </w:rPr>
      </w:pPr>
    </w:p>
    <w:p w:rsidR="00E94D86" w:rsidRPr="00B11C03" w:rsidRDefault="001E3125" w:rsidP="00C511E3">
      <w:pPr>
        <w:numPr>
          <w:ilvl w:val="0"/>
          <w:numId w:val="1"/>
        </w:numPr>
        <w:spacing w:line="360" w:lineRule="auto"/>
        <w:ind w:left="0" w:firstLine="0"/>
        <w:jc w:val="both"/>
        <w:rPr>
          <w:rFonts w:ascii="Palatino Linotype" w:eastAsia="Palatino Linotype" w:hAnsi="Palatino Linotype" w:cs="Palatino Linotype"/>
        </w:rPr>
      </w:pPr>
      <w:r w:rsidRPr="00B11C03">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B11C03">
        <w:rPr>
          <w:rFonts w:ascii="Palatino Linotype" w:eastAsia="Palatino Linotype" w:hAnsi="Palatino Linotype" w:cs="Palatino Linotype"/>
          <w:b/>
        </w:rPr>
        <w:t xml:space="preserve">Ley de Transparencia y Acceso a la Información Pública del Estado de México y Municipios </w:t>
      </w:r>
      <w:r w:rsidRPr="00B11C03">
        <w:rPr>
          <w:rFonts w:ascii="Palatino Linotype" w:eastAsia="Palatino Linotype" w:hAnsi="Palatino Linotype" w:cs="Palatino Linotype"/>
        </w:rPr>
        <w:t xml:space="preserve">se turna a la </w:t>
      </w:r>
      <w:r w:rsidRPr="00B11C03">
        <w:rPr>
          <w:rFonts w:ascii="Palatino Linotype" w:eastAsia="Palatino Linotype" w:hAnsi="Palatino Linotype" w:cs="Palatino Linotype"/>
          <w:b/>
        </w:rPr>
        <w:t xml:space="preserve">Comisionada María del Rosario Mejía Ayala, </w:t>
      </w:r>
      <w:r w:rsidRPr="00B11C03">
        <w:rPr>
          <w:rFonts w:ascii="Palatino Linotype" w:eastAsia="Palatino Linotype" w:hAnsi="Palatino Linotype" w:cs="Palatino Linotype"/>
        </w:rPr>
        <w:t xml:space="preserve">para su análisis. </w:t>
      </w:r>
    </w:p>
    <w:p w:rsidR="00E94D86" w:rsidRPr="00B11C03" w:rsidRDefault="00E94D86" w:rsidP="00C511E3">
      <w:pPr>
        <w:jc w:val="both"/>
        <w:rPr>
          <w:rFonts w:ascii="Palatino Linotype" w:eastAsia="Palatino Linotype" w:hAnsi="Palatino Linotype" w:cs="Palatino Linotype"/>
        </w:rPr>
      </w:pPr>
    </w:p>
    <w:p w:rsidR="00E94D86" w:rsidRPr="00B11C03" w:rsidRDefault="001E3125" w:rsidP="00C511E3">
      <w:pPr>
        <w:numPr>
          <w:ilvl w:val="0"/>
          <w:numId w:val="1"/>
        </w:numPr>
        <w:spacing w:line="360" w:lineRule="auto"/>
        <w:ind w:left="0" w:firstLine="0"/>
        <w:jc w:val="both"/>
        <w:rPr>
          <w:rFonts w:ascii="Palatino Linotype" w:eastAsia="Palatino Linotype" w:hAnsi="Palatino Linotype" w:cs="Palatino Linotype"/>
          <w:color w:val="000000"/>
        </w:rPr>
      </w:pPr>
      <w:r w:rsidRPr="00B11C03">
        <w:rPr>
          <w:rFonts w:ascii="Palatino Linotype" w:eastAsia="Palatino Linotype" w:hAnsi="Palatino Linotype" w:cs="Palatino Linotype"/>
        </w:rPr>
        <w:t xml:space="preserve">La Comisionada Ponente con fundamento en lo dispuesto por el artículo 185 fracción II de la ley de la materia, a través del </w:t>
      </w:r>
      <w:r w:rsidRPr="00B11C03">
        <w:rPr>
          <w:rFonts w:ascii="Palatino Linotype" w:eastAsia="Palatino Linotype" w:hAnsi="Palatino Linotype" w:cs="Palatino Linotype"/>
          <w:b/>
        </w:rPr>
        <w:t xml:space="preserve">acuerdo de admisión del </w:t>
      </w:r>
      <w:r w:rsidR="009A316C" w:rsidRPr="00B11C03">
        <w:rPr>
          <w:rFonts w:ascii="Palatino Linotype" w:eastAsia="Palatino Linotype" w:hAnsi="Palatino Linotype" w:cs="Palatino Linotype"/>
          <w:b/>
        </w:rPr>
        <w:t>veintisiete de febrero</w:t>
      </w:r>
      <w:r w:rsidR="000067CB" w:rsidRPr="00B11C03">
        <w:rPr>
          <w:rFonts w:ascii="Palatino Linotype" w:eastAsia="Palatino Linotype" w:hAnsi="Palatino Linotype" w:cs="Palatino Linotype"/>
          <w:b/>
        </w:rPr>
        <w:t xml:space="preserve"> de dos mil veinticinco</w:t>
      </w:r>
      <w:r w:rsidRPr="00B11C03">
        <w:rPr>
          <w:rFonts w:ascii="Palatino Linotype" w:eastAsia="Palatino Linotype" w:hAnsi="Palatino Linotype" w:cs="Palatino Linotype"/>
        </w:rPr>
        <w:t xml:space="preserve">, puso a disposición de las partes el expediente electrónico vía </w:t>
      </w:r>
      <w:r w:rsidRPr="00B11C03">
        <w:rPr>
          <w:rFonts w:ascii="Palatino Linotype" w:eastAsia="Palatino Linotype" w:hAnsi="Palatino Linotype" w:cs="Palatino Linotype"/>
          <w:b/>
        </w:rPr>
        <w:t xml:space="preserve">SAIMEX </w:t>
      </w:r>
      <w:r w:rsidRPr="00B11C03">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B11C03">
        <w:rPr>
          <w:rFonts w:ascii="Palatino Linotype" w:eastAsia="Palatino Linotype" w:hAnsi="Palatino Linotype" w:cs="Palatino Linotype"/>
          <w:b/>
        </w:rPr>
        <w:t>SUJETO OBLIGADO</w:t>
      </w:r>
      <w:r w:rsidRPr="00B11C03">
        <w:rPr>
          <w:rFonts w:ascii="Palatino Linotype" w:eastAsia="Palatino Linotype" w:hAnsi="Palatino Linotype" w:cs="Palatino Linotype"/>
        </w:rPr>
        <w:t xml:space="preserve"> presentará el informe justificado procedente. </w:t>
      </w:r>
    </w:p>
    <w:p w:rsidR="00B82092" w:rsidRPr="00B11C03" w:rsidRDefault="00B82092" w:rsidP="00C511E3">
      <w:pPr>
        <w:rPr>
          <w:rFonts w:ascii="Palatino Linotype" w:eastAsia="Palatino Linotype" w:hAnsi="Palatino Linotype" w:cs="Palatino Linotype"/>
        </w:rPr>
      </w:pPr>
    </w:p>
    <w:p w:rsidR="006C7FB2" w:rsidRPr="00B11C03" w:rsidRDefault="003A2DC2" w:rsidP="00C511E3">
      <w:pPr>
        <w:numPr>
          <w:ilvl w:val="0"/>
          <w:numId w:val="1"/>
        </w:numPr>
        <w:spacing w:line="360" w:lineRule="auto"/>
        <w:ind w:left="0" w:firstLine="0"/>
        <w:jc w:val="both"/>
        <w:rPr>
          <w:rFonts w:ascii="Palatino Linotype" w:eastAsia="Palatino Linotype" w:hAnsi="Palatino Linotype" w:cs="Palatino Linotype"/>
          <w:b/>
        </w:rPr>
      </w:pPr>
      <w:r w:rsidRPr="00B11C03">
        <w:rPr>
          <w:rFonts w:ascii="Palatino Linotype" w:eastAsia="Palatino Linotype" w:hAnsi="Palatino Linotype" w:cs="Palatino Linotype"/>
        </w:rPr>
        <w:t>El</w:t>
      </w:r>
      <w:r w:rsidR="00B82092" w:rsidRPr="00B11C03">
        <w:rPr>
          <w:rFonts w:ascii="Palatino Linotype" w:eastAsia="Palatino Linotype" w:hAnsi="Palatino Linotype" w:cs="Palatino Linotype"/>
        </w:rPr>
        <w:t xml:space="preserve"> </w:t>
      </w:r>
      <w:r w:rsidR="009A316C" w:rsidRPr="00B11C03">
        <w:rPr>
          <w:rFonts w:ascii="Palatino Linotype" w:eastAsia="Palatino Linotype" w:hAnsi="Palatino Linotype" w:cs="Palatino Linotype"/>
          <w:b/>
        </w:rPr>
        <w:t xml:space="preserve">veinticinco </w:t>
      </w:r>
      <w:r w:rsidR="000067CB" w:rsidRPr="00B11C03">
        <w:rPr>
          <w:rFonts w:ascii="Palatino Linotype" w:eastAsia="Palatino Linotype" w:hAnsi="Palatino Linotype" w:cs="Palatino Linotype"/>
          <w:b/>
        </w:rPr>
        <w:t>de marzo de dos mil veinticinco</w:t>
      </w:r>
      <w:r w:rsidR="00B82092" w:rsidRPr="00B11C03">
        <w:rPr>
          <w:rFonts w:ascii="Palatino Linotype" w:eastAsia="Palatino Linotype" w:hAnsi="Palatino Linotype" w:cs="Palatino Linotype"/>
        </w:rPr>
        <w:t xml:space="preserve">, </w:t>
      </w:r>
      <w:r w:rsidR="004F5574" w:rsidRPr="00B11C03">
        <w:rPr>
          <w:rFonts w:ascii="Palatino Linotype" w:eastAsia="Palatino Linotype" w:hAnsi="Palatino Linotype" w:cs="Palatino Linotype"/>
        </w:rPr>
        <w:t>el</w:t>
      </w:r>
      <w:r w:rsidR="001E3125" w:rsidRPr="00B11C03">
        <w:rPr>
          <w:rFonts w:ascii="Palatino Linotype" w:eastAsia="Palatino Linotype" w:hAnsi="Palatino Linotype" w:cs="Palatino Linotype"/>
        </w:rPr>
        <w:t xml:space="preserve"> </w:t>
      </w:r>
      <w:r w:rsidR="001E3125" w:rsidRPr="00B11C03">
        <w:rPr>
          <w:rFonts w:ascii="Palatino Linotype" w:eastAsia="Palatino Linotype" w:hAnsi="Palatino Linotype" w:cs="Palatino Linotype"/>
          <w:b/>
        </w:rPr>
        <w:t>SUJETO OBLIGADO</w:t>
      </w:r>
      <w:r w:rsidR="001E3125" w:rsidRPr="00B11C03">
        <w:rPr>
          <w:rFonts w:ascii="Palatino Linotype" w:eastAsia="Palatino Linotype" w:hAnsi="Palatino Linotype" w:cs="Palatino Linotype"/>
        </w:rPr>
        <w:t xml:space="preserve"> </w:t>
      </w:r>
      <w:r w:rsidR="004F5574" w:rsidRPr="00B11C03">
        <w:rPr>
          <w:rFonts w:ascii="Palatino Linotype" w:eastAsia="Palatino Linotype" w:hAnsi="Palatino Linotype" w:cs="Palatino Linotype"/>
        </w:rPr>
        <w:t>rindió</w:t>
      </w:r>
      <w:r w:rsidR="006E5F99" w:rsidRPr="00B11C03">
        <w:rPr>
          <w:rFonts w:ascii="Palatino Linotype" w:eastAsia="Palatino Linotype" w:hAnsi="Palatino Linotype" w:cs="Palatino Linotype"/>
        </w:rPr>
        <w:t xml:space="preserve"> </w:t>
      </w:r>
      <w:r w:rsidR="001E3125" w:rsidRPr="00B11C03">
        <w:rPr>
          <w:rFonts w:ascii="Palatino Linotype" w:eastAsia="Palatino Linotype" w:hAnsi="Palatino Linotype" w:cs="Palatino Linotype"/>
        </w:rPr>
        <w:t>el informe justificado correspondiente</w:t>
      </w:r>
      <w:r w:rsidR="004F5574" w:rsidRPr="00B11C03">
        <w:rPr>
          <w:rFonts w:ascii="Palatino Linotype" w:eastAsia="Palatino Linotype" w:hAnsi="Palatino Linotype" w:cs="Palatino Linotype"/>
        </w:rPr>
        <w:t xml:space="preserve">, </w:t>
      </w:r>
      <w:r w:rsidR="00B82092" w:rsidRPr="00B11C03">
        <w:rPr>
          <w:rFonts w:ascii="Palatino Linotype" w:eastAsia="Palatino Linotype" w:hAnsi="Palatino Linotype" w:cs="Palatino Linotype"/>
        </w:rPr>
        <w:t>por medio de</w:t>
      </w:r>
      <w:r w:rsidR="000067CB" w:rsidRPr="00B11C03">
        <w:rPr>
          <w:rFonts w:ascii="Palatino Linotype" w:eastAsia="Palatino Linotype" w:hAnsi="Palatino Linotype" w:cs="Palatino Linotype"/>
        </w:rPr>
        <w:t xml:space="preserve">l </w:t>
      </w:r>
      <w:r w:rsidR="009A316C" w:rsidRPr="00B11C03">
        <w:rPr>
          <w:rFonts w:ascii="Palatino Linotype" w:eastAsia="Palatino Linotype" w:hAnsi="Palatino Linotype" w:cs="Palatino Linotype"/>
        </w:rPr>
        <w:t xml:space="preserve">documento </w:t>
      </w:r>
      <w:r w:rsidR="009A316C" w:rsidRPr="00B11C03">
        <w:rPr>
          <w:rFonts w:ascii="Palatino Linotype" w:eastAsia="Palatino Linotype" w:hAnsi="Palatino Linotype" w:cs="Palatino Linotype"/>
          <w:b/>
        </w:rPr>
        <w:t>02178.pdf</w:t>
      </w:r>
      <w:r w:rsidR="000067CB" w:rsidRPr="00B11C03">
        <w:rPr>
          <w:rFonts w:ascii="Palatino Linotype" w:eastAsia="Palatino Linotype" w:hAnsi="Palatino Linotype" w:cs="Palatino Linotype"/>
          <w:b/>
        </w:rPr>
        <w:t>,</w:t>
      </w:r>
      <w:r w:rsidR="000067CB" w:rsidRPr="00B11C03">
        <w:rPr>
          <w:rFonts w:ascii="Palatino Linotype" w:eastAsia="Palatino Linotype" w:hAnsi="Palatino Linotype" w:cs="Palatino Linotype"/>
        </w:rPr>
        <w:t xml:space="preserve"> </w:t>
      </w:r>
      <w:r w:rsidR="009A316C" w:rsidRPr="00B11C03">
        <w:rPr>
          <w:rFonts w:ascii="Palatino Linotype" w:eastAsia="Palatino Linotype" w:hAnsi="Palatino Linotype" w:cs="Palatino Linotype"/>
        </w:rPr>
        <w:t>del que se desprenden los siguientes documentos</w:t>
      </w:r>
      <w:r w:rsidR="000067CB" w:rsidRPr="00B11C03">
        <w:rPr>
          <w:rFonts w:ascii="Palatino Linotype" w:eastAsia="Palatino Linotype" w:hAnsi="Palatino Linotype" w:cs="Palatino Linotype"/>
        </w:rPr>
        <w:t>:</w:t>
      </w:r>
    </w:p>
    <w:p w:rsidR="006C7FB2" w:rsidRPr="00B11C03" w:rsidRDefault="006C7FB2" w:rsidP="00C511E3">
      <w:pPr>
        <w:rPr>
          <w:rFonts w:ascii="Palatino Linotype" w:eastAsia="Palatino Linotype" w:hAnsi="Palatino Linotype" w:cs="Palatino Linotype"/>
        </w:rPr>
      </w:pPr>
    </w:p>
    <w:p w:rsidR="009A316C" w:rsidRPr="00B11C03" w:rsidRDefault="009A316C" w:rsidP="00C511E3">
      <w:pPr>
        <w:ind w:left="567"/>
        <w:jc w:val="both"/>
        <w:rPr>
          <w:rFonts w:ascii="Palatino Linotype" w:hAnsi="Palatino Linotype"/>
        </w:rPr>
      </w:pPr>
      <w:r w:rsidRPr="00B11C03">
        <w:rPr>
          <w:rFonts w:ascii="Palatino Linotype" w:hAnsi="Palatino Linotype"/>
        </w:rPr>
        <w:t>Oficio TEMA/AYUNT/UTAIP/114R/2025, de fecha veinticinco de marzo de 2025, suscrito por el Titular de la Unidad de Transparencia y Acceso a la Información Pública del Ayuntamiento de Temamatla, México, a través del cual anexa el oficio TEM/SEC/TEC/0052/2025, emitido por la Secretaría Técnica de Seguridad Pública del Municipio de Temamatla.</w:t>
      </w:r>
    </w:p>
    <w:p w:rsidR="00FD7A52" w:rsidRPr="00B11C03" w:rsidRDefault="00FD7A52" w:rsidP="00C511E3">
      <w:pPr>
        <w:ind w:left="567"/>
        <w:jc w:val="both"/>
        <w:rPr>
          <w:rFonts w:ascii="Palatino Linotype" w:hAnsi="Palatino Linotype"/>
        </w:rPr>
      </w:pPr>
    </w:p>
    <w:p w:rsidR="00FD7A52" w:rsidRPr="00B11C03" w:rsidRDefault="00FD7A52" w:rsidP="00C511E3">
      <w:pPr>
        <w:ind w:left="567"/>
        <w:jc w:val="both"/>
        <w:rPr>
          <w:rFonts w:ascii="Palatino Linotype" w:hAnsi="Palatino Linotype"/>
        </w:rPr>
      </w:pPr>
      <w:r w:rsidRPr="00B11C03">
        <w:rPr>
          <w:rFonts w:ascii="Palatino Linotype" w:hAnsi="Palatino Linotype"/>
        </w:rPr>
        <w:t xml:space="preserve">Oficio TEM/SEC.TEC./0052/2025, suscrito por la Encargada de Despacho de la Secretaría Técnica de Seguridad Pública, mediante el cual informa lo siguiente: </w:t>
      </w:r>
    </w:p>
    <w:p w:rsidR="00FD7A52" w:rsidRPr="00B11C03" w:rsidRDefault="00FD7A52" w:rsidP="00C511E3">
      <w:pPr>
        <w:ind w:left="567"/>
        <w:jc w:val="both"/>
        <w:rPr>
          <w:rFonts w:ascii="Palatino Linotype" w:hAnsi="Palatino Linotype"/>
        </w:rPr>
      </w:pPr>
    </w:p>
    <w:p w:rsidR="00FD7A52" w:rsidRPr="00B11C03" w:rsidRDefault="00FD7A52" w:rsidP="00C511E3">
      <w:pPr>
        <w:autoSpaceDE w:val="0"/>
        <w:autoSpaceDN w:val="0"/>
        <w:adjustRightInd w:val="0"/>
        <w:ind w:left="567"/>
        <w:jc w:val="both"/>
        <w:rPr>
          <w:rFonts w:ascii="Palatino Linotype" w:hAnsi="Palatino Linotype"/>
          <w:i/>
        </w:rPr>
      </w:pPr>
      <w:r w:rsidRPr="00B11C03">
        <w:rPr>
          <w:rFonts w:ascii="Palatino Linotype" w:hAnsi="Palatino Linotype" w:cs="Arial"/>
          <w:i/>
          <w:color w:val="0C0405"/>
        </w:rPr>
        <w:t>“… los 13 candados de mano y los 34 chalecos balísticos fueron adquiridos con recurso FONDO PARA EL FORTALECIMIENTO DE LAS INSTITUCIONES DE SEGURIDAD PÚBLICA (FOFISP).2024, La información antes descrita es del área de SECRETARIA TÉCNICA DE SEGURIDAD PÚBLICA DE TEMAMATLA… “(Sic.)</w:t>
      </w:r>
    </w:p>
    <w:p w:rsidR="00FD7A52" w:rsidRPr="00B11C03" w:rsidRDefault="00FD7A52" w:rsidP="00C511E3">
      <w:pPr>
        <w:ind w:left="567"/>
        <w:jc w:val="both"/>
        <w:rPr>
          <w:rFonts w:ascii="Palatino Linotype" w:hAnsi="Palatino Linotype"/>
        </w:rPr>
      </w:pPr>
    </w:p>
    <w:p w:rsidR="00FD7A52" w:rsidRPr="00B11C03" w:rsidRDefault="00FD7A52" w:rsidP="00C511E3">
      <w:pPr>
        <w:pStyle w:val="Prrafodelista"/>
        <w:numPr>
          <w:ilvl w:val="0"/>
          <w:numId w:val="1"/>
        </w:numPr>
        <w:pBdr>
          <w:top w:val="nil"/>
          <w:left w:val="nil"/>
          <w:bottom w:val="nil"/>
          <w:right w:val="nil"/>
          <w:between w:val="nil"/>
        </w:pBdr>
        <w:ind w:left="0" w:firstLine="0"/>
        <w:contextualSpacing w:val="0"/>
        <w:jc w:val="both"/>
        <w:rPr>
          <w:rFonts w:ascii="Palatino Linotype" w:hAnsi="Palatino Linotype"/>
          <w:sz w:val="24"/>
        </w:rPr>
      </w:pPr>
      <w:r w:rsidRPr="00B11C03">
        <w:rPr>
          <w:rFonts w:ascii="Palatino Linotype" w:hAnsi="Palatino Linotype"/>
          <w:sz w:val="24"/>
        </w:rPr>
        <w:t xml:space="preserve">Por su parte, el </w:t>
      </w:r>
      <w:r w:rsidRPr="00B11C03">
        <w:rPr>
          <w:rFonts w:ascii="Palatino Linotype" w:hAnsi="Palatino Linotype"/>
          <w:b/>
          <w:sz w:val="24"/>
        </w:rPr>
        <w:t>RECURRENTE</w:t>
      </w:r>
      <w:r w:rsidRPr="00B11C03">
        <w:rPr>
          <w:rFonts w:ascii="Palatino Linotype" w:hAnsi="Palatino Linotype"/>
          <w:sz w:val="24"/>
        </w:rPr>
        <w:t xml:space="preserve"> dejó de realizar manifestaciones que a su derecho conviniera y asistiera. </w:t>
      </w:r>
    </w:p>
    <w:p w:rsidR="00FD7A52" w:rsidRPr="00B11C03" w:rsidRDefault="00FD7A52" w:rsidP="00C511E3">
      <w:pPr>
        <w:pStyle w:val="Prrafodelista"/>
        <w:pBdr>
          <w:top w:val="nil"/>
          <w:left w:val="nil"/>
          <w:bottom w:val="nil"/>
          <w:right w:val="nil"/>
          <w:between w:val="nil"/>
        </w:pBdr>
        <w:ind w:left="0"/>
        <w:contextualSpacing w:val="0"/>
        <w:jc w:val="both"/>
        <w:rPr>
          <w:rFonts w:ascii="Palatino Linotype" w:hAnsi="Palatino Linotype"/>
          <w:sz w:val="24"/>
        </w:rPr>
      </w:pPr>
    </w:p>
    <w:p w:rsidR="00FD7A52" w:rsidRPr="00B11C03" w:rsidRDefault="00FD7A52" w:rsidP="00C511E3">
      <w:pPr>
        <w:pStyle w:val="Prrafodelista"/>
        <w:numPr>
          <w:ilvl w:val="0"/>
          <w:numId w:val="1"/>
        </w:numPr>
        <w:spacing w:line="360" w:lineRule="auto"/>
        <w:ind w:left="0" w:firstLine="0"/>
        <w:contextualSpacing w:val="0"/>
        <w:jc w:val="both"/>
        <w:rPr>
          <w:rFonts w:ascii="Palatino Linotype" w:hAnsi="Palatino Linotype"/>
          <w:sz w:val="24"/>
        </w:rPr>
      </w:pPr>
      <w:r w:rsidRPr="00B11C03">
        <w:rPr>
          <w:rFonts w:ascii="Palatino Linotype" w:hAnsi="Palatino Linotype"/>
          <w:sz w:val="24"/>
        </w:rPr>
        <w:t xml:space="preserve">El </w:t>
      </w:r>
      <w:r w:rsidRPr="00B11C03">
        <w:rPr>
          <w:rFonts w:ascii="Palatino Linotype" w:hAnsi="Palatino Linotype"/>
          <w:b/>
          <w:sz w:val="24"/>
        </w:rPr>
        <w:t>treinta de abril de dos mil veinticinco</w:t>
      </w:r>
      <w:r w:rsidRPr="00B11C03">
        <w:rPr>
          <w:rFonts w:ascii="Palatino Linotype" w:hAnsi="Palatino Linotype"/>
          <w:sz w:val="24"/>
        </w:rPr>
        <w:t>, se notificó el acuerdo mediante el cual se amplió el plazo para emitir resolución por un término de 15 días adicionales.</w:t>
      </w:r>
    </w:p>
    <w:p w:rsidR="00FD7A52" w:rsidRPr="00B11C03" w:rsidRDefault="00FD7A52" w:rsidP="00C511E3">
      <w:pPr>
        <w:spacing w:line="360" w:lineRule="auto"/>
        <w:jc w:val="both"/>
        <w:rPr>
          <w:rFonts w:ascii="Palatino Linotype" w:eastAsia="Palatino Linotype" w:hAnsi="Palatino Linotype" w:cs="Palatino Linotype"/>
          <w:b/>
        </w:rPr>
      </w:pPr>
    </w:p>
    <w:p w:rsidR="00E94D86" w:rsidRPr="00B11C03" w:rsidRDefault="001E3125" w:rsidP="00C511E3">
      <w:pPr>
        <w:numPr>
          <w:ilvl w:val="0"/>
          <w:numId w:val="1"/>
        </w:numPr>
        <w:spacing w:line="360" w:lineRule="auto"/>
        <w:ind w:left="0" w:firstLine="0"/>
        <w:jc w:val="both"/>
        <w:rPr>
          <w:rFonts w:ascii="Palatino Linotype" w:eastAsia="Palatino Linotype" w:hAnsi="Palatino Linotype" w:cs="Palatino Linotype"/>
          <w:b/>
        </w:rPr>
      </w:pPr>
      <w:r w:rsidRPr="00B11C03">
        <w:rPr>
          <w:rFonts w:ascii="Palatino Linotype" w:eastAsia="Palatino Linotype" w:hAnsi="Palatino Linotype" w:cs="Palatino Linotype"/>
        </w:rPr>
        <w:t xml:space="preserve">La Comisionada Ponente decretó el cierre de instrucción mediante el acuerdo del </w:t>
      </w:r>
      <w:r w:rsidR="00FD7A52" w:rsidRPr="00B11C03">
        <w:rPr>
          <w:rFonts w:ascii="Palatino Linotype" w:eastAsia="Palatino Linotype" w:hAnsi="Palatino Linotype" w:cs="Palatino Linotype"/>
        </w:rPr>
        <w:t>ocho</w:t>
      </w:r>
      <w:r w:rsidR="00CB6ECF" w:rsidRPr="00B11C03">
        <w:rPr>
          <w:rFonts w:ascii="Palatino Linotype" w:eastAsia="Palatino Linotype" w:hAnsi="Palatino Linotype" w:cs="Palatino Linotype"/>
        </w:rPr>
        <w:t xml:space="preserve"> de </w:t>
      </w:r>
      <w:r w:rsidR="00FD7A52" w:rsidRPr="00B11C03">
        <w:rPr>
          <w:rFonts w:ascii="Palatino Linotype" w:eastAsia="Palatino Linotype" w:hAnsi="Palatino Linotype" w:cs="Palatino Linotype"/>
        </w:rPr>
        <w:t xml:space="preserve">mayo </w:t>
      </w:r>
      <w:r w:rsidR="00AF2A58" w:rsidRPr="00B11C03">
        <w:rPr>
          <w:rFonts w:ascii="Palatino Linotype" w:eastAsia="Palatino Linotype" w:hAnsi="Palatino Linotype" w:cs="Palatino Linotype"/>
        </w:rPr>
        <w:t>de dos mil veinticinco</w:t>
      </w:r>
      <w:r w:rsidRPr="00B11C03">
        <w:rPr>
          <w:rFonts w:ascii="Palatino Linotype" w:eastAsia="Palatino Linotype" w:hAnsi="Palatino Linotype" w:cs="Palatino Linotype"/>
        </w:rPr>
        <w:t>.-------------------------------------------------------------</w:t>
      </w:r>
      <w:r w:rsidR="00C82ED1" w:rsidRPr="00B11C03">
        <w:rPr>
          <w:rFonts w:ascii="Palatino Linotype" w:eastAsia="Palatino Linotype" w:hAnsi="Palatino Linotype" w:cs="Palatino Linotype"/>
        </w:rPr>
        <w:t>-------</w:t>
      </w:r>
      <w:r w:rsidR="00C511E3" w:rsidRPr="00B11C03">
        <w:rPr>
          <w:rFonts w:ascii="Palatino Linotype" w:eastAsia="Palatino Linotype" w:hAnsi="Palatino Linotype" w:cs="Palatino Linotype"/>
        </w:rPr>
        <w:t>-</w:t>
      </w:r>
    </w:p>
    <w:p w:rsidR="00E94D86" w:rsidRPr="00B11C03" w:rsidRDefault="00E94D86" w:rsidP="00C511E3">
      <w:pPr>
        <w:rPr>
          <w:rFonts w:ascii="Palatino Linotype" w:eastAsia="Palatino Linotype" w:hAnsi="Palatino Linotype" w:cs="Palatino Linotype"/>
          <w:b/>
        </w:rPr>
      </w:pPr>
    </w:p>
    <w:p w:rsidR="00E94D86" w:rsidRPr="00B11C03" w:rsidRDefault="001E3125" w:rsidP="00C511E3">
      <w:pPr>
        <w:keepNext/>
        <w:keepLines/>
        <w:spacing w:line="360" w:lineRule="auto"/>
        <w:jc w:val="center"/>
        <w:rPr>
          <w:rFonts w:ascii="Palatino Linotype" w:eastAsia="Palatino Linotype" w:hAnsi="Palatino Linotype" w:cs="Palatino Linotype"/>
          <w:b/>
        </w:rPr>
      </w:pPr>
      <w:r w:rsidRPr="00B11C03">
        <w:rPr>
          <w:rFonts w:ascii="Palatino Linotype" w:eastAsia="Palatino Linotype" w:hAnsi="Palatino Linotype" w:cs="Palatino Linotype"/>
          <w:b/>
        </w:rPr>
        <w:t xml:space="preserve">C O N S I D E R A N D O </w:t>
      </w:r>
    </w:p>
    <w:p w:rsidR="00E94D86" w:rsidRPr="00B11C03" w:rsidRDefault="00E94D86" w:rsidP="00C511E3">
      <w:pPr>
        <w:keepNext/>
        <w:keepLines/>
        <w:rPr>
          <w:rFonts w:ascii="Palatino Linotype" w:eastAsia="Palatino Linotype" w:hAnsi="Palatino Linotype" w:cs="Palatino Linotype"/>
        </w:rPr>
      </w:pPr>
    </w:p>
    <w:p w:rsidR="00E94D86" w:rsidRPr="00B11C03" w:rsidRDefault="001E3125" w:rsidP="00C511E3">
      <w:pPr>
        <w:keepNext/>
        <w:keepLines/>
        <w:spacing w:line="360" w:lineRule="auto"/>
        <w:rPr>
          <w:rFonts w:ascii="Palatino Linotype" w:eastAsia="Palatino Linotype" w:hAnsi="Palatino Linotype" w:cs="Palatino Linotype"/>
          <w:b/>
        </w:rPr>
      </w:pPr>
      <w:r w:rsidRPr="00B11C03">
        <w:rPr>
          <w:rFonts w:ascii="Palatino Linotype" w:eastAsia="Palatino Linotype" w:hAnsi="Palatino Linotype" w:cs="Palatino Linotype"/>
          <w:b/>
        </w:rPr>
        <w:t>PRIMERO. De la competencia.</w:t>
      </w:r>
    </w:p>
    <w:p w:rsidR="00E94D86" w:rsidRPr="00B11C03" w:rsidRDefault="00E94D86" w:rsidP="00C511E3">
      <w:pPr>
        <w:rPr>
          <w:rFonts w:ascii="Palatino Linotype" w:eastAsia="Palatino Linotype" w:hAnsi="Palatino Linotype" w:cs="Palatino Linotype"/>
          <w:b/>
        </w:rPr>
      </w:pPr>
    </w:p>
    <w:p w:rsidR="00E94D86" w:rsidRPr="00B11C03" w:rsidRDefault="00FD7A52" w:rsidP="00C511E3">
      <w:pPr>
        <w:numPr>
          <w:ilvl w:val="0"/>
          <w:numId w:val="1"/>
        </w:numPr>
        <w:spacing w:line="360" w:lineRule="auto"/>
        <w:ind w:left="0" w:firstLine="0"/>
        <w:jc w:val="both"/>
        <w:rPr>
          <w:rFonts w:ascii="Palatino Linotype" w:eastAsia="Palatino Linotype" w:hAnsi="Palatino Linotype" w:cs="Palatino Linotype"/>
          <w:b/>
        </w:rPr>
      </w:pPr>
      <w:bookmarkStart w:id="0" w:name="_heading=h.3znysh7" w:colFirst="0" w:colLast="0"/>
      <w:bookmarkEnd w:id="0"/>
      <w:r w:rsidRPr="00B11C03">
        <w:rPr>
          <w:rFonts w:ascii="Palatino Linotype" w:hAnsi="Palatino Linotype"/>
          <w:color w:val="000000"/>
          <w:shd w:val="clear" w:color="auto" w:fill="FFFFFF"/>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w:t>
      </w:r>
      <w:r w:rsidRPr="00B11C03">
        <w:rPr>
          <w:rFonts w:ascii="Palatino Linotype" w:hAnsi="Palatino Linotype"/>
          <w:color w:val="000000"/>
          <w:shd w:val="clear" w:color="auto" w:fill="FFFFFF"/>
        </w:rPr>
        <w:lastRenderedPageBreak/>
        <w:t>la </w:t>
      </w:r>
      <w:r w:rsidRPr="00B11C03">
        <w:rPr>
          <w:rFonts w:ascii="Palatino Linotype" w:hAnsi="Palatino Linotype"/>
          <w:b/>
          <w:bCs/>
          <w:color w:val="000000"/>
          <w:shd w:val="clear" w:color="auto" w:fill="FFFFFF"/>
        </w:rPr>
        <w:t>Constitución Política de los Estados Unidos Mexicanos</w:t>
      </w:r>
      <w:r w:rsidRPr="00B11C03">
        <w:rPr>
          <w:rFonts w:ascii="Palatino Linotype" w:hAnsi="Palatino Linotype"/>
          <w:color w:val="000000"/>
          <w:shd w:val="clear" w:color="auto" w:fill="FFFFFF"/>
        </w:rPr>
        <w:t>; 5, párrafos trigésimo segundo, trigésimo tercero y trigésimo cuarto fracciones IV y V de la </w:t>
      </w:r>
      <w:r w:rsidRPr="00B11C03">
        <w:rPr>
          <w:rFonts w:ascii="Palatino Linotype" w:hAnsi="Palatino Linotype"/>
          <w:b/>
          <w:bCs/>
          <w:color w:val="000000"/>
          <w:shd w:val="clear" w:color="auto" w:fill="FFFFFF"/>
        </w:rPr>
        <w:t>Constitución Política del Estado Libre y Soberano de México</w:t>
      </w:r>
      <w:r w:rsidRPr="00B11C03">
        <w:rPr>
          <w:rFonts w:ascii="Palatino Linotype" w:hAnsi="Palatino Linotype"/>
          <w:color w:val="000000"/>
          <w:shd w:val="clear" w:color="auto" w:fill="FFFFFF"/>
        </w:rPr>
        <w:t>; artículos 1, 2 fracción II, 13, 29, 36 fracciones I y II, 176, 178, 179, 181 párrafo tercero y 185 de la </w:t>
      </w:r>
      <w:r w:rsidRPr="00B11C03">
        <w:rPr>
          <w:rFonts w:ascii="Palatino Linotype" w:hAnsi="Palatino Linotype"/>
          <w:b/>
          <w:bCs/>
          <w:color w:val="000000"/>
          <w:shd w:val="clear" w:color="auto" w:fill="FFFFFF"/>
        </w:rPr>
        <w:t>Ley de Transparencia y Acceso a la Información Pública del Estado de México y Municipios</w:t>
      </w:r>
      <w:r w:rsidRPr="00B11C03">
        <w:rPr>
          <w:rFonts w:ascii="Palatino Linotype" w:hAnsi="Palatino Linotype"/>
          <w:color w:val="000000"/>
          <w:shd w:val="clear" w:color="auto" w:fill="FFFFFF"/>
        </w:rPr>
        <w:t>; y 7, 9 fracciones I y XXIII, y 11 del </w:t>
      </w:r>
      <w:r w:rsidRPr="00B11C03">
        <w:rPr>
          <w:rFonts w:ascii="Palatino Linotype" w:hAnsi="Palatino Linotype"/>
          <w:b/>
          <w:bCs/>
          <w:color w:val="000000"/>
          <w:shd w:val="clear" w:color="auto" w:fill="FFFFFF"/>
        </w:rPr>
        <w:t>Reglamento Interior del Instituto de Transparencia, Acceso a la Información Pública y Protección de Datos Personales del Estado de México y Municipios</w:t>
      </w:r>
      <w:r w:rsidRPr="00B11C03">
        <w:rPr>
          <w:rFonts w:ascii="Palatino Linotype" w:hAnsi="Palatino Linotype"/>
          <w:color w:val="000000"/>
          <w:shd w:val="clear" w:color="auto" w:fill="FFFFFF"/>
        </w:rPr>
        <w:t>.</w:t>
      </w:r>
      <w:r w:rsidR="001E3125" w:rsidRPr="00B11C03">
        <w:rPr>
          <w:rFonts w:ascii="Palatino Linotype" w:eastAsia="Palatino Linotype" w:hAnsi="Palatino Linotype" w:cs="Palatino Linotype"/>
          <w:b/>
        </w:rPr>
        <w:t>.</w:t>
      </w:r>
    </w:p>
    <w:p w:rsidR="00E94D86" w:rsidRPr="00B11C03" w:rsidRDefault="00E94D86" w:rsidP="00C511E3">
      <w:pPr>
        <w:jc w:val="both"/>
        <w:rPr>
          <w:rFonts w:ascii="Palatino Linotype" w:eastAsia="Palatino Linotype" w:hAnsi="Palatino Linotype" w:cs="Palatino Linotype"/>
          <w:b/>
        </w:rPr>
      </w:pPr>
    </w:p>
    <w:p w:rsidR="00E94D86" w:rsidRPr="00B11C03" w:rsidRDefault="001E3125" w:rsidP="00C511E3">
      <w:pPr>
        <w:numPr>
          <w:ilvl w:val="0"/>
          <w:numId w:val="1"/>
        </w:numPr>
        <w:spacing w:line="360" w:lineRule="auto"/>
        <w:ind w:left="0" w:firstLine="0"/>
        <w:jc w:val="both"/>
        <w:rPr>
          <w:rFonts w:ascii="Palatino Linotype" w:eastAsia="Palatino Linotype" w:hAnsi="Palatino Linotype" w:cs="Palatino Linotype"/>
          <w:b/>
        </w:rPr>
      </w:pPr>
      <w:bookmarkStart w:id="1" w:name="_heading=h.3dy6vkm" w:colFirst="0" w:colLast="0"/>
      <w:bookmarkEnd w:id="1"/>
      <w:r w:rsidRPr="00B11C03">
        <w:rPr>
          <w:rFonts w:ascii="Palatino Linotype" w:eastAsia="Palatino Linotype" w:hAnsi="Palatino Linotype" w:cs="Palatino Linotype"/>
        </w:rPr>
        <w:t xml:space="preserve">El medio de impugnación fue presentado a través del </w:t>
      </w:r>
      <w:r w:rsidRPr="00B11C03">
        <w:rPr>
          <w:rFonts w:ascii="Palatino Linotype" w:eastAsia="Palatino Linotype" w:hAnsi="Palatino Linotype" w:cs="Palatino Linotype"/>
          <w:b/>
        </w:rPr>
        <w:t>SAIMEX,</w:t>
      </w:r>
      <w:r w:rsidRPr="00B11C03">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B11C03">
        <w:rPr>
          <w:rFonts w:ascii="Palatino Linotype" w:eastAsia="Palatino Linotype" w:hAnsi="Palatino Linotype" w:cs="Palatino Linotype"/>
          <w:b/>
        </w:rPr>
        <w:t>SUJETO OBLIGADO</w:t>
      </w:r>
      <w:r w:rsidRPr="00B11C03">
        <w:rPr>
          <w:rFonts w:ascii="Palatino Linotype" w:eastAsia="Palatino Linotype" w:hAnsi="Palatino Linotype" w:cs="Palatino Linotype"/>
        </w:rPr>
        <w:t xml:space="preserve"> entregó respuesta el </w:t>
      </w:r>
      <w:r w:rsidR="00BD0386" w:rsidRPr="00B11C03">
        <w:rPr>
          <w:rFonts w:ascii="Palatino Linotype" w:eastAsia="Palatino Linotype" w:hAnsi="Palatino Linotype" w:cs="Palatino Linotype"/>
        </w:rPr>
        <w:t>veinte de febrero de dos mil veinticinco</w:t>
      </w:r>
      <w:r w:rsidRPr="00B11C03">
        <w:rPr>
          <w:rFonts w:ascii="Palatino Linotype" w:eastAsia="Palatino Linotype" w:hAnsi="Palatino Linotype" w:cs="Palatino Linotype"/>
        </w:rPr>
        <w:t xml:space="preserve">, de tal forma que el plazo para interponer el recurso de revisión transcurrió del </w:t>
      </w:r>
      <w:r w:rsidR="00BD0386" w:rsidRPr="00B11C03">
        <w:rPr>
          <w:rFonts w:ascii="Palatino Linotype" w:eastAsia="Palatino Linotype" w:hAnsi="Palatino Linotype" w:cs="Palatino Linotype"/>
        </w:rPr>
        <w:t>veintiuno de febrero</w:t>
      </w:r>
      <w:r w:rsidR="005C232D" w:rsidRPr="00B11C03">
        <w:rPr>
          <w:rFonts w:ascii="Palatino Linotype" w:eastAsia="Palatino Linotype" w:hAnsi="Palatino Linotype" w:cs="Palatino Linotype"/>
        </w:rPr>
        <w:t xml:space="preserve"> al </w:t>
      </w:r>
      <w:r w:rsidR="00BD0386" w:rsidRPr="00B11C03">
        <w:rPr>
          <w:rFonts w:ascii="Palatino Linotype" w:eastAsia="Palatino Linotype" w:hAnsi="Palatino Linotype" w:cs="Palatino Linotype"/>
        </w:rPr>
        <w:t>dieciocho de marzo</w:t>
      </w:r>
      <w:r w:rsidR="00A6501F" w:rsidRPr="00B11C03">
        <w:rPr>
          <w:rFonts w:ascii="Palatino Linotype" w:eastAsia="Palatino Linotype" w:hAnsi="Palatino Linotype" w:cs="Palatino Linotype"/>
        </w:rPr>
        <w:t xml:space="preserve"> de dos mil veinticinco</w:t>
      </w:r>
      <w:r w:rsidRPr="00B11C03">
        <w:rPr>
          <w:rFonts w:ascii="Palatino Linotype" w:eastAsia="Palatino Linotype" w:hAnsi="Palatino Linotype" w:cs="Palatino Linotype"/>
        </w:rPr>
        <w:t xml:space="preserve">; en consecuencia, presentó su inconformidad el </w:t>
      </w:r>
      <w:r w:rsidR="00BD0386" w:rsidRPr="00B11C03">
        <w:rPr>
          <w:rFonts w:ascii="Palatino Linotype" w:eastAsia="Palatino Linotype" w:hAnsi="Palatino Linotype" w:cs="Palatino Linotype"/>
        </w:rPr>
        <w:t>veinticinco de febrero de dos mil veinticinco</w:t>
      </w:r>
      <w:r w:rsidRPr="00B11C03">
        <w:rPr>
          <w:rFonts w:ascii="Palatino Linotype" w:eastAsia="Palatino Linotype" w:hAnsi="Palatino Linotype" w:cs="Palatino Linotype"/>
        </w:rPr>
        <w:t xml:space="preserve">, por lo que se encuentra dentro de los márgenes temporales previstos en el artículo 178 de la </w:t>
      </w:r>
      <w:r w:rsidRPr="00B11C03">
        <w:rPr>
          <w:rFonts w:ascii="Palatino Linotype" w:eastAsia="Palatino Linotype" w:hAnsi="Palatino Linotype" w:cs="Palatino Linotype"/>
          <w:b/>
        </w:rPr>
        <w:t xml:space="preserve">Ley de Transparencia y Acceso a la Información Pública del Estado de México y Municipios </w:t>
      </w:r>
      <w:r w:rsidRPr="00B11C03">
        <w:rPr>
          <w:rFonts w:ascii="Palatino Linotype" w:eastAsia="Palatino Linotype" w:hAnsi="Palatino Linotype" w:cs="Palatino Linotype"/>
        </w:rPr>
        <w:t>vigente.</w:t>
      </w:r>
    </w:p>
    <w:p w:rsidR="00AF2A58" w:rsidRPr="00B11C03" w:rsidRDefault="00AF2A58" w:rsidP="00C511E3">
      <w:pPr>
        <w:jc w:val="both"/>
        <w:rPr>
          <w:rFonts w:ascii="Palatino Linotype" w:eastAsia="Palatino Linotype" w:hAnsi="Palatino Linotype" w:cs="Palatino Linotype"/>
          <w:b/>
        </w:rPr>
      </w:pPr>
    </w:p>
    <w:p w:rsidR="00E94D86" w:rsidRPr="00B11C03" w:rsidRDefault="001E3125" w:rsidP="00C511E3">
      <w:pPr>
        <w:numPr>
          <w:ilvl w:val="0"/>
          <w:numId w:val="1"/>
        </w:numPr>
        <w:spacing w:line="360" w:lineRule="auto"/>
        <w:ind w:left="0" w:firstLine="0"/>
        <w:jc w:val="both"/>
        <w:rPr>
          <w:rFonts w:ascii="Palatino Linotype" w:eastAsia="Palatino Linotype" w:hAnsi="Palatino Linotype" w:cs="Palatino Linotype"/>
          <w:b/>
        </w:rPr>
      </w:pPr>
      <w:r w:rsidRPr="00B11C03">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94D86" w:rsidRPr="00B11C03" w:rsidRDefault="00E94D86" w:rsidP="00C511E3">
      <w:pPr>
        <w:jc w:val="both"/>
        <w:rPr>
          <w:rFonts w:ascii="Palatino Linotype" w:eastAsia="Palatino Linotype" w:hAnsi="Palatino Linotype" w:cs="Palatino Linotype"/>
          <w:b/>
        </w:rPr>
      </w:pPr>
    </w:p>
    <w:p w:rsidR="00C511E3" w:rsidRPr="00B11C03" w:rsidRDefault="00C511E3" w:rsidP="00C511E3">
      <w:pPr>
        <w:jc w:val="both"/>
        <w:rPr>
          <w:rFonts w:ascii="Palatino Linotype" w:eastAsia="Palatino Linotype" w:hAnsi="Palatino Linotype" w:cs="Palatino Linotype"/>
          <w:b/>
        </w:rPr>
      </w:pPr>
    </w:p>
    <w:p w:rsidR="00C511E3" w:rsidRPr="00B11C03" w:rsidRDefault="00C511E3" w:rsidP="00C511E3">
      <w:pPr>
        <w:jc w:val="both"/>
        <w:rPr>
          <w:rFonts w:ascii="Palatino Linotype" w:eastAsia="Palatino Linotype" w:hAnsi="Palatino Linotype" w:cs="Palatino Linotype"/>
          <w:b/>
        </w:rPr>
      </w:pPr>
    </w:p>
    <w:p w:rsidR="00C511E3" w:rsidRPr="00B11C03" w:rsidRDefault="00C511E3" w:rsidP="00C511E3">
      <w:pPr>
        <w:jc w:val="both"/>
        <w:rPr>
          <w:rFonts w:ascii="Palatino Linotype" w:eastAsia="Palatino Linotype" w:hAnsi="Palatino Linotype" w:cs="Palatino Linotype"/>
          <w:b/>
        </w:rPr>
      </w:pPr>
    </w:p>
    <w:p w:rsidR="00E94D86" w:rsidRPr="00B11C03" w:rsidRDefault="001E3125" w:rsidP="00C511E3">
      <w:pPr>
        <w:spacing w:line="360" w:lineRule="auto"/>
        <w:jc w:val="both"/>
        <w:rPr>
          <w:rFonts w:ascii="Palatino Linotype" w:eastAsia="Palatino Linotype" w:hAnsi="Palatino Linotype" w:cs="Palatino Linotype"/>
          <w:b/>
        </w:rPr>
      </w:pPr>
      <w:r w:rsidRPr="00B11C03">
        <w:rPr>
          <w:rFonts w:ascii="Palatino Linotype" w:eastAsia="Palatino Linotype" w:hAnsi="Palatino Linotype" w:cs="Palatino Linotype"/>
          <w:b/>
        </w:rPr>
        <w:lastRenderedPageBreak/>
        <w:t xml:space="preserve">TERCERO. </w:t>
      </w:r>
      <w:r w:rsidR="00F01E50" w:rsidRPr="00B11C03">
        <w:rPr>
          <w:rFonts w:ascii="Palatino Linotype" w:eastAsia="Palatino Linotype" w:hAnsi="Palatino Linotype" w:cs="Palatino Linotype"/>
          <w:b/>
          <w:color w:val="000000"/>
        </w:rPr>
        <w:t>De las causales del sobreseimiento.</w:t>
      </w:r>
    </w:p>
    <w:p w:rsidR="00E94D86" w:rsidRPr="00B11C03" w:rsidRDefault="00E94D86" w:rsidP="00C511E3">
      <w:pPr>
        <w:jc w:val="both"/>
        <w:rPr>
          <w:rFonts w:ascii="Palatino Linotype" w:eastAsia="Palatino Linotype" w:hAnsi="Palatino Linotype" w:cs="Palatino Linotype"/>
          <w:b/>
        </w:rPr>
      </w:pPr>
    </w:p>
    <w:p w:rsidR="009A278E" w:rsidRPr="00B11C03" w:rsidRDefault="00F01E50" w:rsidP="00C511E3">
      <w:pPr>
        <w:numPr>
          <w:ilvl w:val="0"/>
          <w:numId w:val="1"/>
        </w:numPr>
        <w:spacing w:line="360" w:lineRule="auto"/>
        <w:ind w:left="0" w:firstLine="0"/>
        <w:jc w:val="both"/>
        <w:rPr>
          <w:rFonts w:ascii="Palatino Linotype" w:eastAsia="Palatino Linotype" w:hAnsi="Palatino Linotype" w:cs="Palatino Linotype"/>
          <w:b/>
        </w:rPr>
      </w:pPr>
      <w:r w:rsidRPr="00B11C03">
        <w:rPr>
          <w:rFonts w:ascii="Palatino Linotype" w:eastAsia="Palatino Linotype" w:hAnsi="Palatino Linotype" w:cs="Palatino Linotype"/>
        </w:rPr>
        <w:t xml:space="preserve">El </w:t>
      </w:r>
      <w:r w:rsidR="009A278E" w:rsidRPr="00B11C03">
        <w:rPr>
          <w:rFonts w:ascii="Palatino Linotype" w:eastAsia="Palatino Linotype" w:hAnsi="Palatino Linotype" w:cs="Palatino Linotype"/>
          <w:color w:val="000000"/>
        </w:rPr>
        <w:t xml:space="preserve">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009A278E" w:rsidRPr="00B11C03">
        <w:rPr>
          <w:rFonts w:ascii="Palatino Linotype" w:eastAsia="Palatino Linotype" w:hAnsi="Palatino Linotype" w:cs="Palatino Linotype"/>
          <w:b/>
          <w:color w:val="000000"/>
          <w:u w:val="single"/>
        </w:rPr>
        <w:t>sobreseimiento</w:t>
      </w:r>
      <w:r w:rsidR="009A278E" w:rsidRPr="00B11C03">
        <w:rPr>
          <w:rFonts w:ascii="Palatino Linotype" w:eastAsia="Palatino Linotype" w:hAnsi="Palatino Linotype" w:cs="Palatino Linotype"/>
          <w:color w:val="000000"/>
        </w:rPr>
        <w:t xml:space="preserve">; y en su caso ordenar la entrega de la información con respecto a la respuesta emitida por el </w:t>
      </w:r>
      <w:r w:rsidR="009A278E" w:rsidRPr="00B11C03">
        <w:rPr>
          <w:rFonts w:ascii="Palatino Linotype" w:eastAsia="Palatino Linotype" w:hAnsi="Palatino Linotype" w:cs="Palatino Linotype"/>
          <w:b/>
          <w:color w:val="000000"/>
        </w:rPr>
        <w:t>SUJETO</w:t>
      </w:r>
      <w:r w:rsidR="009A278E" w:rsidRPr="00B11C03">
        <w:rPr>
          <w:rFonts w:ascii="Palatino Linotype" w:eastAsia="Palatino Linotype" w:hAnsi="Palatino Linotype" w:cs="Palatino Linotype"/>
          <w:color w:val="000000"/>
        </w:rPr>
        <w:t xml:space="preserve"> </w:t>
      </w:r>
      <w:r w:rsidR="009A278E" w:rsidRPr="00B11C03">
        <w:rPr>
          <w:rFonts w:ascii="Palatino Linotype" w:eastAsia="Palatino Linotype" w:hAnsi="Palatino Linotype" w:cs="Palatino Linotype"/>
          <w:b/>
          <w:color w:val="000000"/>
        </w:rPr>
        <w:t>OBLIGADO</w:t>
      </w:r>
      <w:r w:rsidR="009A278E" w:rsidRPr="00B11C03">
        <w:rPr>
          <w:rFonts w:ascii="Palatino Linotype" w:eastAsia="Palatino Linotype" w:hAnsi="Palatino Linotype" w:cs="Palatino Linotype"/>
          <w:color w:val="000000"/>
        </w:rPr>
        <w:t>.</w:t>
      </w:r>
    </w:p>
    <w:p w:rsidR="009A278E" w:rsidRPr="00B11C03" w:rsidRDefault="009A278E" w:rsidP="00C511E3">
      <w:pPr>
        <w:jc w:val="both"/>
        <w:rPr>
          <w:rFonts w:ascii="Palatino Linotype" w:eastAsia="Palatino Linotype" w:hAnsi="Palatino Linotype" w:cs="Palatino Linotype"/>
          <w:b/>
        </w:rPr>
      </w:pPr>
    </w:p>
    <w:p w:rsidR="009A278E" w:rsidRPr="00B11C03" w:rsidRDefault="009A278E" w:rsidP="00C511E3">
      <w:pPr>
        <w:numPr>
          <w:ilvl w:val="0"/>
          <w:numId w:val="1"/>
        </w:numPr>
        <w:spacing w:line="360" w:lineRule="auto"/>
        <w:ind w:left="0" w:firstLine="0"/>
        <w:jc w:val="both"/>
        <w:rPr>
          <w:rFonts w:ascii="Palatino Linotype" w:eastAsia="Palatino Linotype" w:hAnsi="Palatino Linotype" w:cs="Palatino Linotype"/>
          <w:b/>
        </w:rPr>
      </w:pPr>
      <w:r w:rsidRPr="00B11C03">
        <w:rPr>
          <w:rFonts w:ascii="Palatino Linotype" w:eastAsia="Palatino Linotype" w:hAnsi="Palatino Linotype" w:cs="Palatino Linotype"/>
          <w:color w:val="000000"/>
        </w:rPr>
        <w:t xml:space="preserve">De acuerdo al precepto legal contenido en la fracción III del artículo 192 de la </w:t>
      </w:r>
      <w:r w:rsidRPr="00B11C03">
        <w:rPr>
          <w:rFonts w:ascii="Palatino Linotype" w:eastAsia="Palatino Linotype" w:hAnsi="Palatino Linotype" w:cs="Palatino Linotype"/>
          <w:b/>
          <w:color w:val="000000"/>
        </w:rPr>
        <w:t>Ley de Transparencia y Acceso a la Información Pública del Estado de México y Municipios</w:t>
      </w:r>
      <w:r w:rsidRPr="00B11C03">
        <w:rPr>
          <w:rFonts w:ascii="Palatino Linotype" w:eastAsia="Palatino Linotype" w:hAnsi="Palatino Linotype" w:cs="Palatino Linotype"/>
          <w:color w:val="000000"/>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9A278E" w:rsidRPr="00B11C03" w:rsidRDefault="009A278E" w:rsidP="00C511E3">
      <w:pPr>
        <w:rPr>
          <w:rFonts w:ascii="Palatino Linotype" w:eastAsia="Palatino Linotype" w:hAnsi="Palatino Linotype" w:cs="Palatino Linotype"/>
          <w:color w:val="000000"/>
        </w:rPr>
      </w:pPr>
    </w:p>
    <w:p w:rsidR="009A278E" w:rsidRPr="00B11C03" w:rsidRDefault="009A278E" w:rsidP="00C511E3">
      <w:pPr>
        <w:numPr>
          <w:ilvl w:val="0"/>
          <w:numId w:val="1"/>
        </w:numPr>
        <w:spacing w:line="360" w:lineRule="auto"/>
        <w:ind w:left="0" w:firstLine="0"/>
        <w:jc w:val="both"/>
        <w:rPr>
          <w:rFonts w:ascii="Palatino Linotype" w:eastAsia="Palatino Linotype" w:hAnsi="Palatino Linotype" w:cs="Palatino Linotype"/>
          <w:b/>
        </w:rPr>
      </w:pPr>
      <w:r w:rsidRPr="00B11C03">
        <w:rPr>
          <w:rFonts w:ascii="Palatino Linotype" w:eastAsia="Palatino Linotype" w:hAnsi="Palatino Linotype" w:cs="Palatino Linotype"/>
          <w:color w:val="000000"/>
        </w:rPr>
        <w:t xml:space="preserve">Para los efectos de esta resolución, es oportuno precisar los alcances jurídicos de la fracción III de la disposición legal transcrita. Así, procede el sobreseimiento del recurso de revisión cuando el </w:t>
      </w:r>
      <w:r w:rsidRPr="00B11C03">
        <w:rPr>
          <w:rFonts w:ascii="Palatino Linotype" w:eastAsia="Palatino Linotype" w:hAnsi="Palatino Linotype" w:cs="Palatino Linotype"/>
          <w:b/>
          <w:color w:val="000000"/>
        </w:rPr>
        <w:t>SUJETO OBLIGADO</w:t>
      </w:r>
      <w:r w:rsidRPr="00B11C03">
        <w:rPr>
          <w:rFonts w:ascii="Palatino Linotype" w:eastAsia="Palatino Linotype" w:hAnsi="Palatino Linotype" w:cs="Palatino Linotype"/>
          <w:color w:val="000000"/>
        </w:rPr>
        <w:t>:</w:t>
      </w:r>
    </w:p>
    <w:p w:rsidR="009A278E" w:rsidRPr="00B11C03" w:rsidRDefault="009A278E" w:rsidP="00C511E3">
      <w:pPr>
        <w:jc w:val="both"/>
        <w:rPr>
          <w:rFonts w:ascii="Palatino Linotype" w:eastAsia="Palatino Linotype" w:hAnsi="Palatino Linotype" w:cs="Palatino Linotype"/>
          <w:color w:val="000000"/>
        </w:rPr>
      </w:pPr>
    </w:p>
    <w:p w:rsidR="009A278E" w:rsidRPr="00B11C03" w:rsidRDefault="009A278E" w:rsidP="00C511E3">
      <w:pPr>
        <w:numPr>
          <w:ilvl w:val="0"/>
          <w:numId w:val="31"/>
        </w:numPr>
        <w:ind w:left="567" w:firstLine="0"/>
        <w:jc w:val="both"/>
        <w:rPr>
          <w:rFonts w:ascii="Palatino Linotype" w:eastAsia="Palatino Linotype" w:hAnsi="Palatino Linotype" w:cs="Palatino Linotype"/>
        </w:rPr>
      </w:pPr>
      <w:r w:rsidRPr="00B11C03">
        <w:rPr>
          <w:rFonts w:ascii="Palatino Linotype" w:eastAsia="Palatino Linotype" w:hAnsi="Palatino Linotype" w:cs="Palatino Linotype"/>
          <w:b/>
        </w:rPr>
        <w:t>Modifique el acto impugnado:</w:t>
      </w:r>
      <w:r w:rsidRPr="00B11C03">
        <w:rPr>
          <w:rFonts w:ascii="Palatino Linotype" w:eastAsia="Palatino Linotype" w:hAnsi="Palatino Linotype" w:cs="Palatino Linotype"/>
        </w:rPr>
        <w:t xml:space="preserve"> Se actualiza cuando el </w:t>
      </w:r>
      <w:r w:rsidRPr="00B11C03">
        <w:rPr>
          <w:rFonts w:ascii="Palatino Linotype" w:eastAsia="Palatino Linotype" w:hAnsi="Palatino Linotype" w:cs="Palatino Linotype"/>
          <w:b/>
        </w:rPr>
        <w:t>SUJETO OBLIGADO</w:t>
      </w:r>
      <w:r w:rsidRPr="00B11C03">
        <w:rPr>
          <w:rFonts w:ascii="Palatino Linotype" w:eastAsia="Palatino Linotype" w:hAnsi="Palatino Linotype" w:cs="Palatino Linotype"/>
        </w:rPr>
        <w:t xml:space="preserve"> después de haber otorgado una respuesta y hasta antes de dictada la resolución del recurso de revisión, emite una diversa en la que subsane las deficiencias que hubiera tenido.</w:t>
      </w:r>
    </w:p>
    <w:p w:rsidR="009A278E" w:rsidRPr="00B11C03" w:rsidRDefault="009A278E" w:rsidP="00C511E3">
      <w:pPr>
        <w:ind w:left="567"/>
        <w:jc w:val="both"/>
        <w:rPr>
          <w:rFonts w:ascii="Palatino Linotype" w:eastAsia="Palatino Linotype" w:hAnsi="Palatino Linotype" w:cs="Palatino Linotype"/>
        </w:rPr>
      </w:pPr>
    </w:p>
    <w:p w:rsidR="009A278E" w:rsidRPr="00B11C03" w:rsidRDefault="009A278E" w:rsidP="00C511E3">
      <w:pPr>
        <w:numPr>
          <w:ilvl w:val="0"/>
          <w:numId w:val="31"/>
        </w:numPr>
        <w:ind w:left="567" w:firstLine="0"/>
        <w:jc w:val="both"/>
        <w:rPr>
          <w:rFonts w:ascii="Palatino Linotype" w:eastAsia="Palatino Linotype" w:hAnsi="Palatino Linotype" w:cs="Palatino Linotype"/>
        </w:rPr>
      </w:pPr>
      <w:r w:rsidRPr="00B11C03">
        <w:rPr>
          <w:rFonts w:ascii="Palatino Linotype" w:eastAsia="Palatino Linotype" w:hAnsi="Palatino Linotype" w:cs="Palatino Linotype"/>
          <w:b/>
        </w:rPr>
        <w:lastRenderedPageBreak/>
        <w:t>Revoque el acto impugnado:</w:t>
      </w:r>
      <w:r w:rsidRPr="00B11C03">
        <w:rPr>
          <w:rFonts w:ascii="Palatino Linotype" w:eastAsia="Palatino Linotype" w:hAnsi="Palatino Linotype" w:cs="Palatino Linotype"/>
        </w:rPr>
        <w:t xml:space="preserve"> En este supuesto, el </w:t>
      </w:r>
      <w:r w:rsidRPr="00B11C03">
        <w:rPr>
          <w:rFonts w:ascii="Palatino Linotype" w:eastAsia="Palatino Linotype" w:hAnsi="Palatino Linotype" w:cs="Palatino Linotype"/>
          <w:b/>
        </w:rPr>
        <w:t>SUJETO OBLIGADO</w:t>
      </w:r>
      <w:r w:rsidRPr="00B11C03">
        <w:rPr>
          <w:rFonts w:ascii="Palatino Linotype" w:eastAsia="Palatino Linotype" w:hAnsi="Palatino Linotype" w:cs="Palatino Linotype"/>
        </w:rPr>
        <w:t xml:space="preserve"> deja sin efectos la primera respuesta y en su lugar emite otra que satisfaga lo solicitado por el Particular en un primer momento.</w:t>
      </w:r>
    </w:p>
    <w:p w:rsidR="009A278E" w:rsidRPr="00B11C03" w:rsidRDefault="009A278E" w:rsidP="00C511E3">
      <w:pPr>
        <w:jc w:val="both"/>
        <w:rPr>
          <w:rFonts w:ascii="Palatino Linotype" w:eastAsia="Palatino Linotype" w:hAnsi="Palatino Linotype" w:cs="Palatino Linotype"/>
          <w:b/>
        </w:rPr>
      </w:pPr>
    </w:p>
    <w:p w:rsidR="009A278E" w:rsidRPr="00B11C03" w:rsidRDefault="009A278E" w:rsidP="00C511E3">
      <w:pPr>
        <w:numPr>
          <w:ilvl w:val="0"/>
          <w:numId w:val="1"/>
        </w:numPr>
        <w:spacing w:line="360" w:lineRule="auto"/>
        <w:ind w:left="0" w:firstLine="0"/>
        <w:jc w:val="both"/>
        <w:rPr>
          <w:rFonts w:ascii="Palatino Linotype" w:eastAsia="Palatino Linotype" w:hAnsi="Palatino Linotype" w:cs="Palatino Linotype"/>
          <w:b/>
        </w:rPr>
      </w:pPr>
      <w:r w:rsidRPr="00B11C03">
        <w:rPr>
          <w:rFonts w:ascii="Palatino Linotype" w:eastAsia="Palatino Linotype" w:hAnsi="Palatino Linotype" w:cs="Palatino Linotype"/>
          <w:color w:val="000000"/>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9A278E" w:rsidRPr="00B11C03" w:rsidRDefault="009A278E" w:rsidP="00C511E3">
      <w:pPr>
        <w:jc w:val="both"/>
        <w:rPr>
          <w:rFonts w:ascii="Palatino Linotype" w:eastAsia="Palatino Linotype" w:hAnsi="Palatino Linotype" w:cs="Palatino Linotype"/>
          <w:b/>
        </w:rPr>
      </w:pPr>
    </w:p>
    <w:p w:rsidR="000E2127" w:rsidRPr="00B11C03" w:rsidRDefault="009A278E" w:rsidP="00C511E3">
      <w:pPr>
        <w:numPr>
          <w:ilvl w:val="0"/>
          <w:numId w:val="1"/>
        </w:numPr>
        <w:spacing w:line="360" w:lineRule="auto"/>
        <w:ind w:left="0" w:firstLine="0"/>
        <w:jc w:val="both"/>
        <w:rPr>
          <w:rFonts w:ascii="Palatino Linotype" w:eastAsia="Palatino Linotype" w:hAnsi="Palatino Linotype" w:cs="Palatino Linotype"/>
          <w:b/>
        </w:rPr>
      </w:pPr>
      <w:r w:rsidRPr="00B11C03">
        <w:rPr>
          <w:rFonts w:ascii="Palatino Linotype" w:eastAsia="Palatino Linotype" w:hAnsi="Palatino Linotype" w:cs="Palatino Linotype"/>
        </w:rPr>
        <w:t xml:space="preserve">En el presente caso, el </w:t>
      </w:r>
      <w:r w:rsidRPr="00B11C03">
        <w:rPr>
          <w:rFonts w:ascii="Palatino Linotype" w:eastAsia="Palatino Linotype" w:hAnsi="Palatino Linotype" w:cs="Palatino Linotype"/>
          <w:b/>
        </w:rPr>
        <w:t xml:space="preserve">RECURRENTE </w:t>
      </w:r>
      <w:r w:rsidRPr="00B11C03">
        <w:rPr>
          <w:rFonts w:ascii="Palatino Linotype" w:eastAsia="Palatino Linotype" w:hAnsi="Palatino Linotype" w:cs="Palatino Linotype"/>
        </w:rPr>
        <w:t xml:space="preserve">solicitó </w:t>
      </w:r>
      <w:r w:rsidR="00131575" w:rsidRPr="00B11C03">
        <w:rPr>
          <w:rFonts w:ascii="Palatino Linotype" w:hAnsi="Palatino Linotype"/>
          <w:b/>
          <w:color w:val="000000"/>
        </w:rPr>
        <w:t>el año y mediante que recurso se concertó la compra de los chalecos balísticos entregados en el de enero a los policías municipales de Temamatla.</w:t>
      </w:r>
    </w:p>
    <w:p w:rsidR="000E2127" w:rsidRPr="00B11C03" w:rsidRDefault="000E2127" w:rsidP="00C511E3">
      <w:pPr>
        <w:rPr>
          <w:rFonts w:ascii="Palatino Linotype" w:eastAsia="Palatino Linotype" w:hAnsi="Palatino Linotype" w:cs="Palatino Linotype"/>
        </w:rPr>
      </w:pPr>
    </w:p>
    <w:p w:rsidR="000E2127" w:rsidRPr="00B11C03" w:rsidRDefault="00D74408" w:rsidP="00C511E3">
      <w:pPr>
        <w:numPr>
          <w:ilvl w:val="0"/>
          <w:numId w:val="1"/>
        </w:numPr>
        <w:spacing w:line="360" w:lineRule="auto"/>
        <w:ind w:left="0" w:firstLine="0"/>
        <w:jc w:val="both"/>
        <w:rPr>
          <w:rFonts w:ascii="Palatino Linotype" w:eastAsia="Palatino Linotype" w:hAnsi="Palatino Linotype" w:cs="Palatino Linotype"/>
        </w:rPr>
      </w:pPr>
      <w:r w:rsidRPr="00B11C03">
        <w:rPr>
          <w:rFonts w:ascii="Palatino Linotype" w:eastAsia="Palatino Linotype" w:hAnsi="Palatino Linotype" w:cs="Palatino Linotype"/>
        </w:rPr>
        <w:t xml:space="preserve">En respuesta, </w:t>
      </w:r>
      <w:r w:rsidRPr="00B11C03">
        <w:rPr>
          <w:rFonts w:ascii="Palatino Linotype" w:hAnsi="Palatino Linotype"/>
        </w:rPr>
        <w:t xml:space="preserve">el </w:t>
      </w:r>
      <w:r w:rsidR="00D831BA" w:rsidRPr="00B11C03">
        <w:rPr>
          <w:rFonts w:ascii="Palatino Linotype" w:hAnsi="Palatino Linotype"/>
          <w:b/>
        </w:rPr>
        <w:t>SUJETO OBLIGADO</w:t>
      </w:r>
      <w:r w:rsidR="00D831BA" w:rsidRPr="00B11C03">
        <w:rPr>
          <w:rFonts w:ascii="Palatino Linotype" w:hAnsi="Palatino Linotype"/>
        </w:rPr>
        <w:t xml:space="preserve"> </w:t>
      </w:r>
      <w:r w:rsidR="00D831BA" w:rsidRPr="00B11C03">
        <w:rPr>
          <w:rFonts w:ascii="Palatino Linotype" w:eastAsia="Palatino Linotype" w:hAnsi="Palatino Linotype" w:cs="Palatino Linotype"/>
        </w:rPr>
        <w:t xml:space="preserve">por medio de </w:t>
      </w:r>
      <w:r w:rsidR="00131575" w:rsidRPr="00B11C03">
        <w:rPr>
          <w:rFonts w:ascii="Palatino Linotype" w:hAnsi="Palatino Linotype"/>
        </w:rPr>
        <w:t>Seguridad Pública Municipal Temamatla</w:t>
      </w:r>
      <w:r w:rsidR="00D831BA" w:rsidRPr="00B11C03">
        <w:rPr>
          <w:rFonts w:ascii="Palatino Linotype" w:hAnsi="Palatino Linotype"/>
        </w:rPr>
        <w:t>,</w:t>
      </w:r>
      <w:r w:rsidR="00131575" w:rsidRPr="00B11C03">
        <w:rPr>
          <w:rFonts w:ascii="Palatino Linotype" w:hAnsi="Palatino Linotype"/>
        </w:rPr>
        <w:t xml:space="preserve"> México, informó que el equipamiento de chalecos balísticos entregados en el mes de enero a los policías municipales de Temamatla fue concertado en el día treinta de enero de dos mil veinticinco, entregados por el Encargado del Secretariado Ejecutivo del Sistema Estatal de Seguridad.</w:t>
      </w:r>
    </w:p>
    <w:p w:rsidR="00131575" w:rsidRPr="00B11C03" w:rsidRDefault="00131575" w:rsidP="00C511E3">
      <w:pPr>
        <w:pStyle w:val="Prrafodelista"/>
        <w:rPr>
          <w:rFonts w:ascii="Palatino Linotype" w:eastAsia="Palatino Linotype" w:hAnsi="Palatino Linotype" w:cs="Palatino Linotype"/>
          <w:sz w:val="24"/>
        </w:rPr>
      </w:pPr>
    </w:p>
    <w:p w:rsidR="00D74408" w:rsidRPr="00B11C03" w:rsidRDefault="00041C32" w:rsidP="00C511E3">
      <w:pPr>
        <w:numPr>
          <w:ilvl w:val="0"/>
          <w:numId w:val="1"/>
        </w:numPr>
        <w:spacing w:line="360" w:lineRule="auto"/>
        <w:ind w:left="0" w:firstLine="0"/>
        <w:jc w:val="both"/>
        <w:rPr>
          <w:rFonts w:ascii="Palatino Linotype" w:eastAsia="Palatino Linotype" w:hAnsi="Palatino Linotype" w:cs="Palatino Linotype"/>
          <w:b/>
        </w:rPr>
      </w:pPr>
      <w:r w:rsidRPr="00B11C03">
        <w:rPr>
          <w:rFonts w:ascii="Palatino Linotype" w:eastAsia="Palatino Linotype" w:hAnsi="Palatino Linotype" w:cs="Palatino Linotype"/>
        </w:rPr>
        <w:t xml:space="preserve">Al respecto, el </w:t>
      </w:r>
      <w:r w:rsidRPr="00B11C03">
        <w:rPr>
          <w:rFonts w:ascii="Palatino Linotype" w:eastAsia="Palatino Linotype" w:hAnsi="Palatino Linotype" w:cs="Palatino Linotype"/>
          <w:b/>
        </w:rPr>
        <w:t xml:space="preserve">RECURRENTE </w:t>
      </w:r>
      <w:r w:rsidRPr="00B11C03">
        <w:rPr>
          <w:rFonts w:ascii="Palatino Linotype" w:eastAsia="Palatino Linotype" w:hAnsi="Palatino Linotype" w:cs="Palatino Linotype"/>
        </w:rPr>
        <w:t xml:space="preserve">interpuso el recurso de revisión en contra de la respuesta, por medio del cual, manifestó que </w:t>
      </w:r>
      <w:r w:rsidRPr="00B11C03">
        <w:rPr>
          <w:rFonts w:ascii="Palatino Linotype" w:eastAsia="Palatino Linotype" w:hAnsi="Palatino Linotype" w:cs="Palatino Linotype"/>
          <w:b/>
        </w:rPr>
        <w:t xml:space="preserve">la </w:t>
      </w:r>
      <w:r w:rsidR="00BE003B" w:rsidRPr="00B11C03">
        <w:rPr>
          <w:rFonts w:ascii="Palatino Linotype" w:eastAsia="Palatino Linotype" w:hAnsi="Palatino Linotype" w:cs="Palatino Linotype"/>
          <w:b/>
        </w:rPr>
        <w:t>respuesta</w:t>
      </w:r>
      <w:r w:rsidRPr="00B11C03">
        <w:rPr>
          <w:rFonts w:ascii="Palatino Linotype" w:eastAsia="Palatino Linotype" w:hAnsi="Palatino Linotype" w:cs="Palatino Linotype"/>
          <w:b/>
        </w:rPr>
        <w:t xml:space="preserve"> </w:t>
      </w:r>
      <w:r w:rsidR="00A270A3" w:rsidRPr="00B11C03">
        <w:rPr>
          <w:rFonts w:ascii="Palatino Linotype" w:eastAsia="Palatino Linotype" w:hAnsi="Palatino Linotype" w:cs="Palatino Linotype"/>
          <w:b/>
        </w:rPr>
        <w:t>no corresponde a lo solicitado.</w:t>
      </w:r>
    </w:p>
    <w:p w:rsidR="00A30F8D" w:rsidRPr="00B11C03" w:rsidRDefault="00A30F8D" w:rsidP="00C511E3">
      <w:pPr>
        <w:rPr>
          <w:rFonts w:ascii="Palatino Linotype" w:eastAsia="Palatino Linotype" w:hAnsi="Palatino Linotype" w:cs="Palatino Linotype"/>
          <w:b/>
        </w:rPr>
      </w:pPr>
    </w:p>
    <w:p w:rsidR="00C8189A" w:rsidRPr="00B11C03" w:rsidRDefault="00A270A3" w:rsidP="00C511E3">
      <w:pPr>
        <w:numPr>
          <w:ilvl w:val="0"/>
          <w:numId w:val="1"/>
        </w:numPr>
        <w:spacing w:line="360" w:lineRule="auto"/>
        <w:ind w:left="0" w:firstLine="0"/>
        <w:jc w:val="both"/>
        <w:rPr>
          <w:rFonts w:ascii="Palatino Linotype" w:eastAsia="Palatino Linotype" w:hAnsi="Palatino Linotype" w:cs="Palatino Linotype"/>
        </w:rPr>
      </w:pPr>
      <w:r w:rsidRPr="00B11C03">
        <w:rPr>
          <w:rFonts w:ascii="Palatino Linotype" w:eastAsia="Palatino Linotype" w:hAnsi="Palatino Linotype" w:cs="Palatino Linotype"/>
        </w:rPr>
        <w:t>En consecuencia</w:t>
      </w:r>
      <w:r w:rsidR="00A30F8D" w:rsidRPr="00B11C03">
        <w:rPr>
          <w:rFonts w:ascii="Palatino Linotype" w:eastAsia="Palatino Linotype" w:hAnsi="Palatino Linotype" w:cs="Palatino Linotype"/>
        </w:rPr>
        <w:t>,</w:t>
      </w:r>
      <w:r w:rsidR="00041C32" w:rsidRPr="00B11C03">
        <w:rPr>
          <w:rFonts w:ascii="Palatino Linotype" w:eastAsia="Palatino Linotype" w:hAnsi="Palatino Linotype" w:cs="Palatino Linotype"/>
        </w:rPr>
        <w:t xml:space="preserve"> por medio de un acto jurídico posterior como lo es el informe justificado, el </w:t>
      </w:r>
      <w:r w:rsidR="00041C32" w:rsidRPr="00B11C03">
        <w:rPr>
          <w:rFonts w:ascii="Palatino Linotype" w:eastAsia="Palatino Linotype" w:hAnsi="Palatino Linotype" w:cs="Palatino Linotype"/>
          <w:b/>
        </w:rPr>
        <w:t>SUJETO OBLIGADO</w:t>
      </w:r>
      <w:r w:rsidR="00BF2E1D" w:rsidRPr="00B11C03">
        <w:rPr>
          <w:rFonts w:ascii="Palatino Linotype" w:eastAsia="Palatino Linotype" w:hAnsi="Palatino Linotype" w:cs="Palatino Linotype"/>
        </w:rPr>
        <w:t xml:space="preserve"> a través </w:t>
      </w:r>
      <w:r w:rsidR="00131575" w:rsidRPr="00B11C03">
        <w:rPr>
          <w:rFonts w:ascii="Palatino Linotype" w:eastAsia="Palatino Linotype" w:hAnsi="Palatino Linotype" w:cs="Palatino Linotype"/>
        </w:rPr>
        <w:t xml:space="preserve">del encargado de Despacho de la Secretaría </w:t>
      </w:r>
      <w:r w:rsidR="00083713" w:rsidRPr="00B11C03">
        <w:rPr>
          <w:rFonts w:ascii="Palatino Linotype" w:eastAsia="Palatino Linotype" w:hAnsi="Palatino Linotype" w:cs="Palatino Linotype"/>
        </w:rPr>
        <w:t>Técnica de Seguridad Pública</w:t>
      </w:r>
      <w:r w:rsidR="00BF2E1D" w:rsidRPr="00B11C03">
        <w:rPr>
          <w:rFonts w:ascii="Palatino Linotype" w:hAnsi="Palatino Linotype"/>
        </w:rPr>
        <w:t xml:space="preserve">, </w:t>
      </w:r>
      <w:r w:rsidR="00083713" w:rsidRPr="00B11C03">
        <w:rPr>
          <w:rFonts w:ascii="Palatino Linotype" w:eastAsia="Palatino Linotype" w:hAnsi="Palatino Linotype" w:cs="Palatino Linotype"/>
          <w:noProof/>
        </w:rPr>
        <w:t xml:space="preserve">informó que los treinta y cutro chalecos balísticos fueron </w:t>
      </w:r>
      <w:r w:rsidR="00083713" w:rsidRPr="00B11C03">
        <w:rPr>
          <w:rFonts w:ascii="Palatino Linotype" w:eastAsia="Palatino Linotype" w:hAnsi="Palatino Linotype" w:cs="Palatino Linotype"/>
          <w:noProof/>
        </w:rPr>
        <w:lastRenderedPageBreak/>
        <w:t>adquiridos con el recuros denominado “FONDO PARA EL FORTALECIMIENTO DE</w:t>
      </w:r>
      <w:r w:rsidR="00F130E0" w:rsidRPr="00B11C03">
        <w:rPr>
          <w:rFonts w:ascii="Palatino Linotype" w:eastAsia="Palatino Linotype" w:hAnsi="Palatino Linotype" w:cs="Palatino Linotype"/>
          <w:noProof/>
        </w:rPr>
        <w:t xml:space="preserve"> </w:t>
      </w:r>
      <w:r w:rsidR="00083713" w:rsidRPr="00B11C03">
        <w:rPr>
          <w:rFonts w:ascii="Palatino Linotype" w:eastAsia="Palatino Linotype" w:hAnsi="Palatino Linotype" w:cs="Palatino Linotype"/>
          <w:noProof/>
        </w:rPr>
        <w:t>LAS INSTITUCIONES DE SEGURIDAD PÚBLICA (FOFISP) 2024”</w:t>
      </w:r>
    </w:p>
    <w:p w:rsidR="00C8189A" w:rsidRPr="00B11C03" w:rsidRDefault="00C8189A" w:rsidP="00C511E3">
      <w:pPr>
        <w:pStyle w:val="Prrafodelista"/>
        <w:rPr>
          <w:rFonts w:ascii="Palatino Linotype" w:eastAsia="Palatino Linotype" w:hAnsi="Palatino Linotype" w:cs="Palatino Linotype"/>
          <w:color w:val="000000"/>
          <w:sz w:val="24"/>
        </w:rPr>
      </w:pPr>
    </w:p>
    <w:p w:rsidR="00C8189A" w:rsidRPr="00B11C03" w:rsidRDefault="00C8189A" w:rsidP="00C511E3">
      <w:pPr>
        <w:numPr>
          <w:ilvl w:val="0"/>
          <w:numId w:val="1"/>
        </w:numPr>
        <w:spacing w:line="360" w:lineRule="auto"/>
        <w:ind w:left="0" w:firstLine="0"/>
        <w:jc w:val="both"/>
        <w:rPr>
          <w:rFonts w:ascii="Palatino Linotype" w:eastAsia="Palatino Linotype" w:hAnsi="Palatino Linotype" w:cs="Palatino Linotype"/>
        </w:rPr>
      </w:pPr>
      <w:r w:rsidRPr="00B11C03">
        <w:rPr>
          <w:rFonts w:ascii="Palatino Linotype" w:eastAsia="Palatino Linotype" w:hAnsi="Palatino Linotype" w:cs="Palatino Linotype"/>
          <w:color w:val="000000"/>
        </w:rPr>
        <w:t>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C8189A" w:rsidRPr="00B11C03" w:rsidRDefault="00C8189A" w:rsidP="00C511E3">
      <w:pPr>
        <w:pStyle w:val="Prrafodelista"/>
        <w:rPr>
          <w:rFonts w:ascii="Palatino Linotype" w:eastAsia="Palatino Linotype" w:hAnsi="Palatino Linotype" w:cs="Palatino Linotype"/>
          <w:color w:val="000000"/>
          <w:sz w:val="24"/>
        </w:rPr>
      </w:pPr>
    </w:p>
    <w:p w:rsidR="00C8189A" w:rsidRPr="00B11C03" w:rsidRDefault="00C8189A" w:rsidP="00C511E3">
      <w:pPr>
        <w:numPr>
          <w:ilvl w:val="0"/>
          <w:numId w:val="1"/>
        </w:numPr>
        <w:spacing w:line="360" w:lineRule="auto"/>
        <w:ind w:left="0" w:firstLine="0"/>
        <w:jc w:val="both"/>
        <w:rPr>
          <w:rFonts w:ascii="Palatino Linotype" w:eastAsia="Palatino Linotype" w:hAnsi="Palatino Linotype" w:cs="Palatino Linotype"/>
        </w:rPr>
      </w:pPr>
      <w:r w:rsidRPr="00B11C03">
        <w:rPr>
          <w:rFonts w:ascii="Palatino Linotype" w:eastAsia="Palatino Linotype" w:hAnsi="Palatino Linotype" w:cs="Palatino Linotype"/>
          <w:color w:val="000000"/>
        </w:rPr>
        <w:t>En este sentido, para atender las solicitudes de información, los Sujetos Obligados contarán con un área denominada Unidad de Transparencia</w:t>
      </w:r>
      <w:r w:rsidRPr="00B11C03">
        <w:rPr>
          <w:rFonts w:ascii="Palatino Linotype" w:eastAsia="Palatino Linotype" w:hAnsi="Palatino Linotype" w:cs="Palatino Linotype"/>
          <w:color w:val="000000"/>
          <w:vertAlign w:val="superscript"/>
        </w:rPr>
        <w:footnoteReference w:id="1"/>
      </w:r>
      <w:r w:rsidRPr="00B11C03">
        <w:rPr>
          <w:rFonts w:ascii="Palatino Linotype" w:eastAsia="Palatino Linotype" w:hAnsi="Palatino Linotype" w:cs="Palatino Linotype"/>
          <w:color w:val="000000"/>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B11C03">
        <w:rPr>
          <w:rFonts w:ascii="Palatino Linotype" w:eastAsia="Palatino Linotype" w:hAnsi="Palatino Linotype" w:cs="Palatino Linotype"/>
          <w:b/>
          <w:color w:val="000000"/>
        </w:rPr>
        <w:t xml:space="preserve"> </w:t>
      </w:r>
      <w:r w:rsidRPr="00B11C03">
        <w:rPr>
          <w:rFonts w:ascii="Palatino Linotype" w:eastAsia="Palatino Linotype" w:hAnsi="Palatino Linotype" w:cs="Palatino Linotype"/>
          <w:color w:val="000000"/>
        </w:rPr>
        <w:t>en los términos de la Ley General y la Ley de Transparencia y Acceso a la Información Pública del Estado de México y Municipios</w:t>
      </w:r>
      <w:r w:rsidRPr="00B11C03">
        <w:rPr>
          <w:rFonts w:ascii="Palatino Linotype" w:eastAsia="Palatino Linotype" w:hAnsi="Palatino Linotype" w:cs="Palatino Linotype"/>
          <w:color w:val="000000"/>
          <w:vertAlign w:val="superscript"/>
        </w:rPr>
        <w:footnoteReference w:id="2"/>
      </w:r>
      <w:r w:rsidRPr="00B11C03">
        <w:rPr>
          <w:rFonts w:ascii="Palatino Linotype" w:eastAsia="Palatino Linotype" w:hAnsi="Palatino Linotype" w:cs="Palatino Linotype"/>
          <w:color w:val="000000"/>
        </w:rPr>
        <w:t>.</w:t>
      </w:r>
    </w:p>
    <w:p w:rsidR="00C8189A" w:rsidRPr="00B11C03" w:rsidRDefault="00C8189A" w:rsidP="00C511E3">
      <w:pPr>
        <w:rPr>
          <w:rFonts w:ascii="Palatino Linotype" w:eastAsia="Palatino Linotype" w:hAnsi="Palatino Linotype" w:cs="Palatino Linotype"/>
          <w:color w:val="000000"/>
        </w:rPr>
      </w:pPr>
    </w:p>
    <w:p w:rsidR="00C8189A" w:rsidRPr="00B11C03" w:rsidRDefault="00C8189A" w:rsidP="00C511E3">
      <w:pPr>
        <w:pStyle w:val="Prrafodelista"/>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sz w:val="24"/>
        </w:rPr>
      </w:pPr>
      <w:r w:rsidRPr="00B11C03">
        <w:rPr>
          <w:rFonts w:ascii="Palatino Linotype" w:eastAsia="Palatino Linotype" w:hAnsi="Palatino Linotype" w:cs="Palatino Linotype"/>
          <w:color w:val="000000"/>
          <w:sz w:val="24"/>
        </w:rPr>
        <w:t>De conformidad con lo dispuesto en la Ley de Transparencia y Acceso a la Información Pública del Estado de México y Municipios, las Unidades de Transparencia tendrán, entre sus atribuciones, las siguientes:</w:t>
      </w:r>
    </w:p>
    <w:p w:rsidR="00C8189A" w:rsidRPr="00B11C03" w:rsidRDefault="00C8189A" w:rsidP="00C511E3">
      <w:pPr>
        <w:numPr>
          <w:ilvl w:val="1"/>
          <w:numId w:val="35"/>
        </w:numPr>
        <w:pBdr>
          <w:top w:val="nil"/>
          <w:left w:val="nil"/>
          <w:bottom w:val="nil"/>
          <w:right w:val="nil"/>
          <w:between w:val="nil"/>
        </w:pBdr>
        <w:ind w:left="709" w:hanging="142"/>
        <w:jc w:val="both"/>
        <w:rPr>
          <w:rFonts w:ascii="Palatino Linotype" w:eastAsia="Palatino Linotype" w:hAnsi="Palatino Linotype" w:cs="Palatino Linotype"/>
          <w:color w:val="000000"/>
        </w:rPr>
      </w:pPr>
      <w:r w:rsidRPr="00B11C03">
        <w:rPr>
          <w:rFonts w:ascii="Palatino Linotype" w:eastAsia="Palatino Linotype" w:hAnsi="Palatino Linotype" w:cs="Palatino Linotype"/>
          <w:color w:val="000000"/>
        </w:rPr>
        <w:lastRenderedPageBreak/>
        <w:t>Recibir, tramitar y dar respuesta a las solicitudes de acceso a la información;</w:t>
      </w:r>
    </w:p>
    <w:p w:rsidR="00C8189A" w:rsidRPr="00B11C03" w:rsidRDefault="00C8189A" w:rsidP="00C511E3">
      <w:pPr>
        <w:numPr>
          <w:ilvl w:val="1"/>
          <w:numId w:val="35"/>
        </w:numPr>
        <w:pBdr>
          <w:top w:val="nil"/>
          <w:left w:val="nil"/>
          <w:bottom w:val="nil"/>
          <w:right w:val="nil"/>
          <w:between w:val="nil"/>
        </w:pBdr>
        <w:ind w:left="709" w:hanging="142"/>
        <w:jc w:val="both"/>
        <w:rPr>
          <w:rFonts w:ascii="Palatino Linotype" w:eastAsia="Palatino Linotype" w:hAnsi="Palatino Linotype" w:cs="Palatino Linotype"/>
          <w:color w:val="000000"/>
        </w:rPr>
      </w:pPr>
      <w:r w:rsidRPr="00B11C03">
        <w:rPr>
          <w:rFonts w:ascii="Palatino Linotype" w:eastAsia="Palatino Linotype" w:hAnsi="Palatino Linotype" w:cs="Palatino Linotype"/>
          <w:color w:val="000000"/>
        </w:rPr>
        <w:t xml:space="preserve">Realizar, con efectividad, los trámites internos necesarios para la atención de las solicitudes de acceso a la información; </w:t>
      </w:r>
    </w:p>
    <w:p w:rsidR="00C8189A" w:rsidRPr="00B11C03" w:rsidRDefault="00C8189A" w:rsidP="00C511E3">
      <w:pPr>
        <w:numPr>
          <w:ilvl w:val="1"/>
          <w:numId w:val="35"/>
        </w:numPr>
        <w:pBdr>
          <w:top w:val="nil"/>
          <w:left w:val="nil"/>
          <w:bottom w:val="nil"/>
          <w:right w:val="nil"/>
          <w:between w:val="nil"/>
        </w:pBdr>
        <w:ind w:left="709" w:hanging="142"/>
        <w:jc w:val="both"/>
        <w:rPr>
          <w:rFonts w:ascii="Palatino Linotype" w:eastAsia="Palatino Linotype" w:hAnsi="Palatino Linotype" w:cs="Palatino Linotype"/>
          <w:color w:val="000000"/>
        </w:rPr>
      </w:pPr>
      <w:r w:rsidRPr="00B11C03">
        <w:rPr>
          <w:rFonts w:ascii="Palatino Linotype" w:eastAsia="Palatino Linotype" w:hAnsi="Palatino Linotype" w:cs="Palatino Linotype"/>
          <w:color w:val="000000"/>
        </w:rPr>
        <w:t xml:space="preserve">Entregar, en su caso, a los particulares la información solicitada; y </w:t>
      </w:r>
    </w:p>
    <w:p w:rsidR="00C8189A" w:rsidRPr="00B11C03" w:rsidRDefault="00C8189A" w:rsidP="00C511E3">
      <w:pPr>
        <w:numPr>
          <w:ilvl w:val="1"/>
          <w:numId w:val="35"/>
        </w:numPr>
        <w:pBdr>
          <w:top w:val="nil"/>
          <w:left w:val="nil"/>
          <w:bottom w:val="nil"/>
          <w:right w:val="nil"/>
          <w:between w:val="nil"/>
        </w:pBdr>
        <w:spacing w:after="240"/>
        <w:ind w:left="709" w:hanging="142"/>
        <w:jc w:val="both"/>
        <w:rPr>
          <w:rFonts w:ascii="Palatino Linotype" w:eastAsia="Palatino Linotype" w:hAnsi="Palatino Linotype" w:cs="Palatino Linotype"/>
          <w:color w:val="000000"/>
        </w:rPr>
      </w:pPr>
      <w:r w:rsidRPr="00B11C03">
        <w:rPr>
          <w:rFonts w:ascii="Palatino Linotype" w:eastAsia="Palatino Linotype" w:hAnsi="Palatino Linotype" w:cs="Palatino Linotype"/>
          <w:color w:val="000000"/>
        </w:rPr>
        <w:t>Efectuar las notificaciones a los solicitantes.</w:t>
      </w:r>
    </w:p>
    <w:p w:rsidR="00C8189A" w:rsidRPr="00B11C03" w:rsidRDefault="00C8189A" w:rsidP="00C511E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B11C03">
        <w:rPr>
          <w:rFonts w:ascii="Palatino Linotype" w:eastAsia="Palatino Linotype" w:hAnsi="Palatino Linotype" w:cs="Palatino Linotype"/>
          <w:color w:val="000000"/>
        </w:rPr>
        <w:t xml:space="preserve">Otros sujetos del proceso de atención a las solicitudes de información son los servidores públicos habilitados, quienes serán designados por el titular del </w:t>
      </w:r>
      <w:r w:rsidRPr="00B11C03">
        <w:rPr>
          <w:rFonts w:ascii="Palatino Linotype" w:eastAsia="Palatino Linotype" w:hAnsi="Palatino Linotype" w:cs="Palatino Linotype"/>
          <w:b/>
          <w:color w:val="000000"/>
        </w:rPr>
        <w:t xml:space="preserve">SUJETO OBLIGADO </w:t>
      </w:r>
      <w:r w:rsidRPr="00B11C03">
        <w:rPr>
          <w:rFonts w:ascii="Palatino Linotype" w:eastAsia="Palatino Linotype" w:hAnsi="Palatino Linotype" w:cs="Palatino Linotype"/>
          <w:color w:val="000000"/>
        </w:rPr>
        <w:t>a propuesta del responsable de la Unidad de Transparencia</w:t>
      </w:r>
      <w:r w:rsidRPr="00B11C03">
        <w:rPr>
          <w:rFonts w:ascii="Palatino Linotype" w:eastAsia="Palatino Linotype" w:hAnsi="Palatino Linotype" w:cs="Palatino Linotype"/>
          <w:color w:val="000000"/>
          <w:vertAlign w:val="superscript"/>
        </w:rPr>
        <w:footnoteReference w:id="3"/>
      </w:r>
      <w:r w:rsidRPr="00B11C03">
        <w:rPr>
          <w:rFonts w:ascii="Palatino Linotype" w:eastAsia="Palatino Linotype" w:hAnsi="Palatino Linotype" w:cs="Palatino Linotype"/>
          <w:color w:val="000000"/>
        </w:rPr>
        <w:t xml:space="preserve"> y tendrán, entre sus atribuciones, las siguientes</w:t>
      </w:r>
      <w:r w:rsidRPr="00B11C03">
        <w:rPr>
          <w:rFonts w:ascii="Palatino Linotype" w:eastAsia="Palatino Linotype" w:hAnsi="Palatino Linotype" w:cs="Palatino Linotype"/>
          <w:color w:val="000000"/>
          <w:vertAlign w:val="superscript"/>
        </w:rPr>
        <w:footnoteReference w:id="4"/>
      </w:r>
      <w:r w:rsidRPr="00B11C03">
        <w:rPr>
          <w:rFonts w:ascii="Palatino Linotype" w:eastAsia="Palatino Linotype" w:hAnsi="Palatino Linotype" w:cs="Palatino Linotype"/>
          <w:color w:val="000000"/>
        </w:rPr>
        <w:t>:</w:t>
      </w:r>
    </w:p>
    <w:p w:rsidR="00C8189A" w:rsidRPr="00B11C03" w:rsidRDefault="00C8189A" w:rsidP="00C511E3">
      <w:pPr>
        <w:numPr>
          <w:ilvl w:val="1"/>
          <w:numId w:val="36"/>
        </w:numPr>
        <w:pBdr>
          <w:top w:val="nil"/>
          <w:left w:val="nil"/>
          <w:bottom w:val="nil"/>
          <w:right w:val="nil"/>
          <w:between w:val="nil"/>
        </w:pBdr>
        <w:spacing w:before="240"/>
        <w:ind w:left="709" w:hanging="142"/>
        <w:jc w:val="both"/>
        <w:rPr>
          <w:rFonts w:ascii="Palatino Linotype" w:eastAsia="Palatino Linotype" w:hAnsi="Palatino Linotype" w:cs="Palatino Linotype"/>
          <w:color w:val="000000"/>
        </w:rPr>
      </w:pPr>
      <w:r w:rsidRPr="00B11C03">
        <w:rPr>
          <w:rFonts w:ascii="Palatino Linotype" w:eastAsia="Palatino Linotype" w:hAnsi="Palatino Linotype" w:cs="Palatino Linotype"/>
          <w:color w:val="000000"/>
        </w:rPr>
        <w:t>Localizar la información que le solicite la Unidad de Transparencia; y</w:t>
      </w:r>
    </w:p>
    <w:p w:rsidR="00C8189A" w:rsidRPr="00B11C03" w:rsidRDefault="00C8189A" w:rsidP="00C511E3">
      <w:pPr>
        <w:numPr>
          <w:ilvl w:val="1"/>
          <w:numId w:val="36"/>
        </w:numPr>
        <w:pBdr>
          <w:top w:val="nil"/>
          <w:left w:val="nil"/>
          <w:bottom w:val="nil"/>
          <w:right w:val="nil"/>
          <w:between w:val="nil"/>
        </w:pBdr>
        <w:spacing w:after="240"/>
        <w:ind w:left="709" w:hanging="142"/>
        <w:jc w:val="both"/>
        <w:rPr>
          <w:rFonts w:ascii="Palatino Linotype" w:eastAsia="Palatino Linotype" w:hAnsi="Palatino Linotype" w:cs="Palatino Linotype"/>
          <w:color w:val="000000"/>
        </w:rPr>
      </w:pPr>
      <w:r w:rsidRPr="00B11C03">
        <w:rPr>
          <w:rFonts w:ascii="Palatino Linotype" w:eastAsia="Palatino Linotype" w:hAnsi="Palatino Linotype" w:cs="Palatino Linotype"/>
          <w:color w:val="000000"/>
        </w:rPr>
        <w:t>Proporcionar la información que obre en los archivos y que le sea solicitada por la Unidad de Transparencia.</w:t>
      </w:r>
    </w:p>
    <w:p w:rsidR="00C8189A" w:rsidRPr="00B11C03" w:rsidRDefault="00C8189A" w:rsidP="00C511E3">
      <w:pPr>
        <w:tabs>
          <w:tab w:val="left" w:pos="426"/>
          <w:tab w:val="left" w:pos="567"/>
        </w:tabs>
        <w:jc w:val="both"/>
        <w:rPr>
          <w:rFonts w:ascii="Palatino Linotype" w:eastAsia="Palatino Linotype" w:hAnsi="Palatino Linotype" w:cs="Palatino Linotype"/>
          <w:color w:val="000000"/>
        </w:rPr>
      </w:pPr>
    </w:p>
    <w:p w:rsidR="00C8189A" w:rsidRPr="00B11C03" w:rsidRDefault="00C8189A" w:rsidP="00C511E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B11C03">
        <w:rPr>
          <w:rFonts w:ascii="Palatino Linotype" w:eastAsia="Palatino Linotype" w:hAnsi="Palatino Linotype" w:cs="Palatino Linotype"/>
          <w:color w:val="000000"/>
        </w:rPr>
        <w:t xml:space="preserve">De tal manera que cada una de las áreas administrativas del </w:t>
      </w:r>
      <w:r w:rsidRPr="00B11C03">
        <w:rPr>
          <w:rFonts w:ascii="Palatino Linotype" w:eastAsia="Palatino Linotype" w:hAnsi="Palatino Linotype" w:cs="Palatino Linotype"/>
          <w:b/>
          <w:color w:val="000000"/>
        </w:rPr>
        <w:t>SUJETO OBLIGADO</w:t>
      </w:r>
      <w:r w:rsidRPr="00B11C03">
        <w:rPr>
          <w:rFonts w:ascii="Palatino Linotype" w:eastAsia="Palatino Linotype" w:hAnsi="Palatino Linotype" w:cs="Palatino Linotype"/>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C8189A" w:rsidRPr="00B11C03" w:rsidRDefault="00C8189A" w:rsidP="00C511E3">
      <w:pPr>
        <w:rPr>
          <w:rFonts w:ascii="Palatino Linotype" w:eastAsia="Palatino Linotype" w:hAnsi="Palatino Linotype" w:cs="Palatino Linotype"/>
          <w:color w:val="000000"/>
        </w:rPr>
      </w:pPr>
    </w:p>
    <w:p w:rsidR="00C8189A" w:rsidRPr="00B11C03" w:rsidRDefault="00C8189A" w:rsidP="00C511E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B11C03">
        <w:rPr>
          <w:rFonts w:ascii="Palatino Linotype" w:eastAsia="Palatino Linotype" w:hAnsi="Palatino Linotype" w:cs="Palatino Linotype"/>
          <w:color w:val="000000"/>
        </w:rPr>
        <w:t>Aunado a lo anterior, la Ley de Transparencia y Acceso a la Información Pública del Estado de México y Municipios, en su artículo 53, establece las funciones correspondientes a esta Unidad; mismas que se inserta a continuación:</w:t>
      </w:r>
    </w:p>
    <w:p w:rsidR="00C8189A" w:rsidRPr="00B11C03" w:rsidRDefault="00C8189A" w:rsidP="00C511E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C8189A" w:rsidRPr="00B11C03" w:rsidRDefault="00C8189A" w:rsidP="00C511E3">
      <w:pPr>
        <w:pBdr>
          <w:top w:val="nil"/>
          <w:left w:val="nil"/>
          <w:bottom w:val="nil"/>
          <w:right w:val="nil"/>
          <w:between w:val="nil"/>
        </w:pBdr>
        <w:tabs>
          <w:tab w:val="left" w:pos="426"/>
        </w:tabs>
        <w:ind w:left="567"/>
        <w:jc w:val="both"/>
        <w:rPr>
          <w:rFonts w:ascii="Palatino Linotype" w:eastAsia="Palatino Linotype" w:hAnsi="Palatino Linotype" w:cs="Palatino Linotype"/>
          <w:i/>
          <w:color w:val="000000"/>
        </w:rPr>
      </w:pPr>
      <w:r w:rsidRPr="00B11C03">
        <w:rPr>
          <w:rFonts w:ascii="Palatino Linotype" w:eastAsia="Palatino Linotype" w:hAnsi="Palatino Linotype" w:cs="Palatino Linotype"/>
          <w:b/>
          <w:i/>
          <w:color w:val="000000"/>
        </w:rPr>
        <w:t>“Artículo 53</w:t>
      </w:r>
      <w:r w:rsidRPr="00B11C03">
        <w:rPr>
          <w:rFonts w:ascii="Palatino Linotype" w:eastAsia="Palatino Linotype" w:hAnsi="Palatino Linotype" w:cs="Palatino Linotype"/>
          <w:i/>
          <w:color w:val="000000"/>
        </w:rPr>
        <w:t xml:space="preserve">. Las Unidades de Transparencia tendrán las siguientes funciones: </w:t>
      </w:r>
    </w:p>
    <w:p w:rsidR="00C8189A" w:rsidRPr="00B11C03" w:rsidRDefault="00C8189A" w:rsidP="00C511E3">
      <w:pPr>
        <w:pBdr>
          <w:top w:val="nil"/>
          <w:left w:val="nil"/>
          <w:bottom w:val="nil"/>
          <w:right w:val="nil"/>
          <w:between w:val="nil"/>
        </w:pBdr>
        <w:tabs>
          <w:tab w:val="left" w:pos="426"/>
        </w:tabs>
        <w:ind w:left="567"/>
        <w:jc w:val="both"/>
        <w:rPr>
          <w:rFonts w:ascii="Palatino Linotype" w:eastAsia="Palatino Linotype" w:hAnsi="Palatino Linotype" w:cs="Palatino Linotype"/>
          <w:i/>
          <w:color w:val="000000"/>
        </w:rPr>
      </w:pPr>
    </w:p>
    <w:p w:rsidR="00C8189A" w:rsidRPr="00B11C03" w:rsidRDefault="00C8189A" w:rsidP="00C511E3">
      <w:pPr>
        <w:pBdr>
          <w:top w:val="nil"/>
          <w:left w:val="nil"/>
          <w:bottom w:val="nil"/>
          <w:right w:val="nil"/>
          <w:between w:val="nil"/>
        </w:pBdr>
        <w:tabs>
          <w:tab w:val="left" w:pos="426"/>
        </w:tabs>
        <w:ind w:left="567"/>
        <w:jc w:val="both"/>
        <w:rPr>
          <w:rFonts w:ascii="Palatino Linotype" w:eastAsia="Palatino Linotype" w:hAnsi="Palatino Linotype" w:cs="Palatino Linotype"/>
          <w:i/>
          <w:color w:val="000000"/>
        </w:rPr>
      </w:pPr>
      <w:r w:rsidRPr="00B11C03">
        <w:rPr>
          <w:rFonts w:ascii="Palatino Linotype" w:eastAsia="Palatino Linotype" w:hAnsi="Palatino Linotype" w:cs="Palatino Linotype"/>
          <w:i/>
          <w:color w:val="000000"/>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C8189A" w:rsidRPr="00B11C03" w:rsidRDefault="00C8189A" w:rsidP="00C511E3">
      <w:pPr>
        <w:pBdr>
          <w:top w:val="nil"/>
          <w:left w:val="nil"/>
          <w:bottom w:val="nil"/>
          <w:right w:val="nil"/>
          <w:between w:val="nil"/>
        </w:pBdr>
        <w:tabs>
          <w:tab w:val="left" w:pos="426"/>
        </w:tabs>
        <w:ind w:left="567"/>
        <w:jc w:val="both"/>
        <w:rPr>
          <w:rFonts w:ascii="Palatino Linotype" w:eastAsia="Palatino Linotype" w:hAnsi="Palatino Linotype" w:cs="Palatino Linotype"/>
          <w:b/>
          <w:i/>
          <w:color w:val="000000"/>
        </w:rPr>
      </w:pPr>
      <w:r w:rsidRPr="00B11C03">
        <w:rPr>
          <w:rFonts w:ascii="Palatino Linotype" w:eastAsia="Palatino Linotype" w:hAnsi="Palatino Linotype" w:cs="Palatino Linotype"/>
          <w:b/>
          <w:i/>
          <w:color w:val="000000"/>
        </w:rPr>
        <w:t xml:space="preserve">II. Recibir, tramitar y dar respuesta a las solicitudes de acceso a la información; </w:t>
      </w:r>
    </w:p>
    <w:p w:rsidR="00C8189A" w:rsidRPr="00B11C03" w:rsidRDefault="00C8189A" w:rsidP="00C511E3">
      <w:pPr>
        <w:pBdr>
          <w:top w:val="nil"/>
          <w:left w:val="nil"/>
          <w:bottom w:val="nil"/>
          <w:right w:val="nil"/>
          <w:between w:val="nil"/>
        </w:pBdr>
        <w:tabs>
          <w:tab w:val="left" w:pos="426"/>
        </w:tabs>
        <w:ind w:left="567"/>
        <w:jc w:val="both"/>
        <w:rPr>
          <w:rFonts w:ascii="Palatino Linotype" w:eastAsia="Palatino Linotype" w:hAnsi="Palatino Linotype" w:cs="Palatino Linotype"/>
          <w:i/>
          <w:color w:val="000000"/>
        </w:rPr>
      </w:pPr>
      <w:r w:rsidRPr="00B11C03">
        <w:rPr>
          <w:rFonts w:ascii="Palatino Linotype" w:eastAsia="Palatino Linotype" w:hAnsi="Palatino Linotype" w:cs="Palatino Linotype"/>
          <w:i/>
          <w:color w:val="000000"/>
        </w:rPr>
        <w:t xml:space="preserve">III. Auxiliar a los particulares en la elaboración de solicitudes de acceso a la información y, en su caso, orientarlos sobre los sujetos obligados competentes conforme a la normatividad aplicable; </w:t>
      </w:r>
    </w:p>
    <w:p w:rsidR="00C8189A" w:rsidRPr="00B11C03" w:rsidRDefault="00C8189A" w:rsidP="00C511E3">
      <w:pPr>
        <w:pBdr>
          <w:top w:val="nil"/>
          <w:left w:val="nil"/>
          <w:bottom w:val="nil"/>
          <w:right w:val="nil"/>
          <w:between w:val="nil"/>
        </w:pBdr>
        <w:tabs>
          <w:tab w:val="left" w:pos="426"/>
        </w:tabs>
        <w:ind w:left="567"/>
        <w:jc w:val="both"/>
        <w:rPr>
          <w:rFonts w:ascii="Palatino Linotype" w:eastAsia="Palatino Linotype" w:hAnsi="Palatino Linotype" w:cs="Palatino Linotype"/>
          <w:b/>
          <w:i/>
          <w:color w:val="000000"/>
        </w:rPr>
      </w:pPr>
      <w:r w:rsidRPr="00B11C03">
        <w:rPr>
          <w:rFonts w:ascii="Palatino Linotype" w:eastAsia="Palatino Linotype" w:hAnsi="Palatino Linotype" w:cs="Palatino Linotype"/>
          <w:b/>
          <w:i/>
          <w:color w:val="000000"/>
        </w:rPr>
        <w:t xml:space="preserve">IV. Realizar, con efectividad, los trámites internos necesarios para la atención de las solicitudes de acceso a la información; </w:t>
      </w:r>
    </w:p>
    <w:p w:rsidR="00C8189A" w:rsidRPr="00B11C03" w:rsidRDefault="00C8189A" w:rsidP="00C511E3">
      <w:pPr>
        <w:pBdr>
          <w:top w:val="nil"/>
          <w:left w:val="nil"/>
          <w:bottom w:val="nil"/>
          <w:right w:val="nil"/>
          <w:between w:val="nil"/>
        </w:pBdr>
        <w:tabs>
          <w:tab w:val="left" w:pos="426"/>
        </w:tabs>
        <w:ind w:left="567"/>
        <w:jc w:val="both"/>
        <w:rPr>
          <w:rFonts w:ascii="Palatino Linotype" w:eastAsia="Palatino Linotype" w:hAnsi="Palatino Linotype" w:cs="Palatino Linotype"/>
          <w:i/>
          <w:color w:val="000000"/>
        </w:rPr>
      </w:pPr>
      <w:r w:rsidRPr="00B11C03">
        <w:rPr>
          <w:rFonts w:ascii="Palatino Linotype" w:eastAsia="Palatino Linotype" w:hAnsi="Palatino Linotype" w:cs="Palatino Linotype"/>
          <w:i/>
          <w:color w:val="000000"/>
        </w:rPr>
        <w:t xml:space="preserve">V. Entregar, en su caso, a los particulares la información solicitada; </w:t>
      </w:r>
    </w:p>
    <w:p w:rsidR="00C8189A" w:rsidRPr="00B11C03" w:rsidRDefault="00C8189A" w:rsidP="00C511E3">
      <w:pPr>
        <w:pBdr>
          <w:top w:val="nil"/>
          <w:left w:val="nil"/>
          <w:bottom w:val="nil"/>
          <w:right w:val="nil"/>
          <w:between w:val="nil"/>
        </w:pBdr>
        <w:tabs>
          <w:tab w:val="left" w:pos="426"/>
        </w:tabs>
        <w:ind w:left="567"/>
        <w:jc w:val="both"/>
        <w:rPr>
          <w:rFonts w:ascii="Palatino Linotype" w:eastAsia="Palatino Linotype" w:hAnsi="Palatino Linotype" w:cs="Palatino Linotype"/>
          <w:i/>
          <w:color w:val="000000"/>
        </w:rPr>
      </w:pPr>
      <w:r w:rsidRPr="00B11C03">
        <w:rPr>
          <w:rFonts w:ascii="Palatino Linotype" w:eastAsia="Palatino Linotype" w:hAnsi="Palatino Linotype" w:cs="Palatino Linotype"/>
          <w:i/>
          <w:color w:val="000000"/>
        </w:rPr>
        <w:t xml:space="preserve">VI. Efectuar las notificaciones a los solicitantes; </w:t>
      </w:r>
    </w:p>
    <w:p w:rsidR="00C8189A" w:rsidRPr="00B11C03" w:rsidRDefault="00C8189A" w:rsidP="00C511E3">
      <w:pPr>
        <w:pBdr>
          <w:top w:val="nil"/>
          <w:left w:val="nil"/>
          <w:bottom w:val="nil"/>
          <w:right w:val="nil"/>
          <w:between w:val="nil"/>
        </w:pBdr>
        <w:tabs>
          <w:tab w:val="left" w:pos="426"/>
        </w:tabs>
        <w:ind w:left="567"/>
        <w:jc w:val="both"/>
        <w:rPr>
          <w:rFonts w:ascii="Palatino Linotype" w:eastAsia="Palatino Linotype" w:hAnsi="Palatino Linotype" w:cs="Palatino Linotype"/>
          <w:i/>
          <w:color w:val="000000"/>
        </w:rPr>
      </w:pPr>
      <w:r w:rsidRPr="00B11C03">
        <w:rPr>
          <w:rFonts w:ascii="Palatino Linotype" w:eastAsia="Palatino Linotype" w:hAnsi="Palatino Linotype" w:cs="Palatino Linotype"/>
          <w:i/>
          <w:color w:val="000000"/>
        </w:rPr>
        <w:t xml:space="preserve">VII. Proponer al Comité de Transparencia, los procedimientos internos que aseguren la mayor eficiencia en la gestión de las solicitudes de acceso a la información, conforme a la normatividad aplicable; </w:t>
      </w:r>
    </w:p>
    <w:p w:rsidR="00C8189A" w:rsidRPr="00B11C03" w:rsidRDefault="00C8189A" w:rsidP="00C511E3">
      <w:pPr>
        <w:pBdr>
          <w:top w:val="nil"/>
          <w:left w:val="nil"/>
          <w:bottom w:val="nil"/>
          <w:right w:val="nil"/>
          <w:between w:val="nil"/>
        </w:pBdr>
        <w:tabs>
          <w:tab w:val="left" w:pos="426"/>
        </w:tabs>
        <w:ind w:left="567"/>
        <w:jc w:val="both"/>
        <w:rPr>
          <w:rFonts w:ascii="Palatino Linotype" w:eastAsia="Palatino Linotype" w:hAnsi="Palatino Linotype" w:cs="Palatino Linotype"/>
          <w:i/>
          <w:color w:val="000000"/>
        </w:rPr>
      </w:pPr>
      <w:r w:rsidRPr="00B11C03">
        <w:rPr>
          <w:rFonts w:ascii="Palatino Linotype" w:eastAsia="Palatino Linotype" w:hAnsi="Palatino Linotype" w:cs="Palatino Linotype"/>
          <w:i/>
          <w:color w:val="000000"/>
        </w:rPr>
        <w:t xml:space="preserve">VIII. Proponer a quien preside el Comité de Transparencia, personal habilitado que sea necesario para recibir y dar trámite a las solicitudes de acceso a la información; </w:t>
      </w:r>
    </w:p>
    <w:p w:rsidR="00C8189A" w:rsidRPr="00B11C03" w:rsidRDefault="00C8189A" w:rsidP="00C511E3">
      <w:pPr>
        <w:pBdr>
          <w:top w:val="nil"/>
          <w:left w:val="nil"/>
          <w:bottom w:val="nil"/>
          <w:right w:val="nil"/>
          <w:between w:val="nil"/>
        </w:pBdr>
        <w:tabs>
          <w:tab w:val="left" w:pos="426"/>
        </w:tabs>
        <w:ind w:left="567"/>
        <w:jc w:val="both"/>
        <w:rPr>
          <w:rFonts w:ascii="Palatino Linotype" w:eastAsia="Palatino Linotype" w:hAnsi="Palatino Linotype" w:cs="Palatino Linotype"/>
          <w:b/>
          <w:i/>
          <w:color w:val="000000"/>
        </w:rPr>
      </w:pPr>
      <w:r w:rsidRPr="00B11C03">
        <w:rPr>
          <w:rFonts w:ascii="Palatino Linotype" w:eastAsia="Palatino Linotype" w:hAnsi="Palatino Linotype" w:cs="Palatino Linotype"/>
          <w:b/>
          <w:i/>
          <w:color w:val="000000"/>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C8189A" w:rsidRPr="00B11C03" w:rsidRDefault="00C8189A" w:rsidP="00C511E3">
      <w:pPr>
        <w:pBdr>
          <w:top w:val="nil"/>
          <w:left w:val="nil"/>
          <w:bottom w:val="nil"/>
          <w:right w:val="nil"/>
          <w:between w:val="nil"/>
        </w:pBdr>
        <w:tabs>
          <w:tab w:val="left" w:pos="426"/>
        </w:tabs>
        <w:ind w:left="567"/>
        <w:jc w:val="both"/>
        <w:rPr>
          <w:rFonts w:ascii="Palatino Linotype" w:eastAsia="Palatino Linotype" w:hAnsi="Palatino Linotype" w:cs="Palatino Linotype"/>
          <w:i/>
          <w:color w:val="000000"/>
        </w:rPr>
      </w:pPr>
      <w:r w:rsidRPr="00B11C03">
        <w:rPr>
          <w:rFonts w:ascii="Palatino Linotype" w:eastAsia="Palatino Linotype" w:hAnsi="Palatino Linotype" w:cs="Palatino Linotype"/>
          <w:i/>
          <w:color w:val="000000"/>
        </w:rPr>
        <w:t xml:space="preserve">X. Presentar ante el Comité, el proyecto de clasificación de información; </w:t>
      </w:r>
    </w:p>
    <w:p w:rsidR="00C8189A" w:rsidRPr="00B11C03" w:rsidRDefault="00C8189A" w:rsidP="00C511E3">
      <w:pPr>
        <w:pBdr>
          <w:top w:val="nil"/>
          <w:left w:val="nil"/>
          <w:bottom w:val="nil"/>
          <w:right w:val="nil"/>
          <w:between w:val="nil"/>
        </w:pBdr>
        <w:tabs>
          <w:tab w:val="left" w:pos="426"/>
        </w:tabs>
        <w:ind w:left="567"/>
        <w:jc w:val="both"/>
        <w:rPr>
          <w:rFonts w:ascii="Palatino Linotype" w:eastAsia="Palatino Linotype" w:hAnsi="Palatino Linotype" w:cs="Palatino Linotype"/>
          <w:i/>
          <w:color w:val="000000"/>
        </w:rPr>
      </w:pPr>
      <w:r w:rsidRPr="00B11C03">
        <w:rPr>
          <w:rFonts w:ascii="Palatino Linotype" w:eastAsia="Palatino Linotype" w:hAnsi="Palatino Linotype" w:cs="Palatino Linotype"/>
          <w:i/>
          <w:color w:val="000000"/>
        </w:rPr>
        <w:t xml:space="preserve">XI. Promover e implementar políticas de transparencia proactiva procurando su accesibilidad; </w:t>
      </w:r>
    </w:p>
    <w:p w:rsidR="00C8189A" w:rsidRPr="00B11C03" w:rsidRDefault="00C8189A" w:rsidP="00C511E3">
      <w:pPr>
        <w:pBdr>
          <w:top w:val="nil"/>
          <w:left w:val="nil"/>
          <w:bottom w:val="nil"/>
          <w:right w:val="nil"/>
          <w:between w:val="nil"/>
        </w:pBdr>
        <w:tabs>
          <w:tab w:val="left" w:pos="426"/>
        </w:tabs>
        <w:ind w:left="567"/>
        <w:jc w:val="both"/>
        <w:rPr>
          <w:rFonts w:ascii="Palatino Linotype" w:eastAsia="Palatino Linotype" w:hAnsi="Palatino Linotype" w:cs="Palatino Linotype"/>
          <w:i/>
          <w:color w:val="000000"/>
        </w:rPr>
      </w:pPr>
      <w:r w:rsidRPr="00B11C03">
        <w:rPr>
          <w:rFonts w:ascii="Palatino Linotype" w:eastAsia="Palatino Linotype" w:hAnsi="Palatino Linotype" w:cs="Palatino Linotype"/>
          <w:i/>
          <w:color w:val="000000"/>
        </w:rPr>
        <w:t xml:space="preserve">XII. Fomentar la transparencia y accesibilidad al interior del sujeto obligado; </w:t>
      </w:r>
    </w:p>
    <w:p w:rsidR="00C8189A" w:rsidRPr="00B11C03" w:rsidRDefault="00C8189A" w:rsidP="00C511E3">
      <w:pPr>
        <w:pBdr>
          <w:top w:val="nil"/>
          <w:left w:val="nil"/>
          <w:bottom w:val="nil"/>
          <w:right w:val="nil"/>
          <w:between w:val="nil"/>
        </w:pBdr>
        <w:tabs>
          <w:tab w:val="left" w:pos="426"/>
        </w:tabs>
        <w:ind w:left="567"/>
        <w:jc w:val="both"/>
        <w:rPr>
          <w:rFonts w:ascii="Palatino Linotype" w:eastAsia="Palatino Linotype" w:hAnsi="Palatino Linotype" w:cs="Palatino Linotype"/>
          <w:i/>
          <w:color w:val="000000"/>
        </w:rPr>
      </w:pPr>
      <w:r w:rsidRPr="00B11C03">
        <w:rPr>
          <w:rFonts w:ascii="Palatino Linotype" w:eastAsia="Palatino Linotype" w:hAnsi="Palatino Linotype" w:cs="Palatino Linotype"/>
          <w:i/>
          <w:color w:val="000000"/>
        </w:rPr>
        <w:t>XIII. Hacer del conocimiento de la instancia competente la probable responsabilidad por el incumplimiento de las obligaciones previstas en la presente Ley; y</w:t>
      </w:r>
    </w:p>
    <w:p w:rsidR="00C8189A" w:rsidRPr="00B11C03" w:rsidRDefault="00C8189A" w:rsidP="00C511E3">
      <w:pPr>
        <w:pBdr>
          <w:top w:val="nil"/>
          <w:left w:val="nil"/>
          <w:bottom w:val="nil"/>
          <w:right w:val="nil"/>
          <w:between w:val="nil"/>
        </w:pBdr>
        <w:tabs>
          <w:tab w:val="left" w:pos="426"/>
        </w:tabs>
        <w:ind w:left="567"/>
        <w:jc w:val="both"/>
        <w:rPr>
          <w:rFonts w:ascii="Palatino Linotype" w:eastAsia="Palatino Linotype" w:hAnsi="Palatino Linotype" w:cs="Palatino Linotype"/>
          <w:i/>
          <w:color w:val="000000"/>
        </w:rPr>
      </w:pPr>
      <w:r w:rsidRPr="00B11C03">
        <w:rPr>
          <w:rFonts w:ascii="Palatino Linotype" w:eastAsia="Palatino Linotype" w:hAnsi="Palatino Linotype" w:cs="Palatino Linotype"/>
          <w:i/>
          <w:color w:val="000000"/>
        </w:rPr>
        <w:t>XIV. Las demás que resulten necesarias para facilitar el acceso a la información y aquellas que se desprenden de la presente Ley y demás disposiciones jurídicas aplicables. (…)</w:t>
      </w:r>
    </w:p>
    <w:p w:rsidR="00C8189A" w:rsidRPr="00B11C03" w:rsidRDefault="00C8189A" w:rsidP="00C511E3">
      <w:pPr>
        <w:pBdr>
          <w:top w:val="nil"/>
          <w:left w:val="nil"/>
          <w:bottom w:val="nil"/>
          <w:right w:val="nil"/>
          <w:between w:val="nil"/>
        </w:pBdr>
        <w:tabs>
          <w:tab w:val="left" w:pos="426"/>
        </w:tabs>
        <w:spacing w:after="240"/>
        <w:ind w:left="567"/>
        <w:jc w:val="both"/>
        <w:rPr>
          <w:rFonts w:ascii="Palatino Linotype" w:eastAsia="Palatino Linotype" w:hAnsi="Palatino Linotype" w:cs="Palatino Linotype"/>
          <w:i/>
          <w:color w:val="000000"/>
        </w:rPr>
      </w:pPr>
      <w:r w:rsidRPr="00B11C03">
        <w:rPr>
          <w:rFonts w:ascii="Palatino Linotype" w:eastAsia="Palatino Linotype" w:hAnsi="Palatino Linotype" w:cs="Palatino Linotype"/>
          <w:i/>
          <w:color w:val="000000"/>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C8189A" w:rsidRPr="00B11C03" w:rsidRDefault="00C8189A" w:rsidP="00C511E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B11C03">
        <w:rPr>
          <w:rFonts w:ascii="Palatino Linotype" w:eastAsia="Palatino Linotype" w:hAnsi="Palatino Linotype" w:cs="Palatino Linotype"/>
          <w:color w:val="000000"/>
        </w:rPr>
        <w:lastRenderedPageBreak/>
        <w:t>De lo expuesto y con relación a lo solicitado, se tiene que, la Unidad de Transparencia es la encargada de recibir, tramitar y dar respuesta a las solicitudes de acceso a la información.</w:t>
      </w:r>
    </w:p>
    <w:p w:rsidR="00403346" w:rsidRPr="00B11C03" w:rsidRDefault="00403346" w:rsidP="00C511E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rsidR="00083713" w:rsidRPr="00B11C03" w:rsidRDefault="00083713" w:rsidP="00C511E3">
      <w:pPr>
        <w:numPr>
          <w:ilvl w:val="0"/>
          <w:numId w:val="1"/>
        </w:numPr>
        <w:spacing w:line="360" w:lineRule="auto"/>
        <w:ind w:left="0" w:firstLine="0"/>
        <w:jc w:val="both"/>
        <w:rPr>
          <w:rFonts w:ascii="Palatino Linotype" w:eastAsia="Palatino Linotype" w:hAnsi="Palatino Linotype" w:cs="Palatino Linotype"/>
        </w:rPr>
      </w:pPr>
      <w:r w:rsidRPr="00B11C03">
        <w:rPr>
          <w:rFonts w:ascii="Palatino Linotype" w:eastAsia="Palatino Linotype" w:hAnsi="Palatino Linotype" w:cs="Palatino Linotype"/>
        </w:rPr>
        <w:t xml:space="preserve">Ahora bien , resulta conveniente </w:t>
      </w:r>
      <w:r w:rsidR="00F130E0" w:rsidRPr="00B11C03">
        <w:rPr>
          <w:rFonts w:ascii="Palatino Linotype" w:eastAsia="Palatino Linotype" w:hAnsi="Palatino Linotype" w:cs="Palatino Linotype"/>
        </w:rPr>
        <w:t>referir que el Bando Municipal de Temamatla, en su artículo 44, nos establece lo siguiente:</w:t>
      </w:r>
    </w:p>
    <w:p w:rsidR="00F130E0" w:rsidRPr="00B11C03" w:rsidRDefault="00F130E0" w:rsidP="00C511E3">
      <w:pPr>
        <w:pStyle w:val="Prrafodelista"/>
        <w:ind w:left="567"/>
        <w:jc w:val="both"/>
        <w:rPr>
          <w:rFonts w:ascii="Palatino Linotype" w:hAnsi="Palatino Linotype"/>
          <w:i/>
          <w:sz w:val="24"/>
        </w:rPr>
      </w:pPr>
      <w:r w:rsidRPr="00B11C03">
        <w:rPr>
          <w:rFonts w:ascii="Palatino Linotype" w:hAnsi="Palatino Linotype"/>
          <w:b/>
          <w:i/>
          <w:sz w:val="24"/>
        </w:rPr>
        <w:t>Artículo 44.-</w:t>
      </w:r>
      <w:r w:rsidRPr="00B11C03">
        <w:rPr>
          <w:rFonts w:ascii="Palatino Linotype" w:hAnsi="Palatino Linotype"/>
          <w:i/>
          <w:sz w:val="24"/>
        </w:rPr>
        <w:t xml:space="preserve"> Para el despacho, estudio y planeación de los diversos asuntos de la Administración Pública Municipal centralizada del Ayuntamiento de Temamatla, Estado de México contará con las siguientes Dependencias Administrativas Centralizadas: </w:t>
      </w:r>
    </w:p>
    <w:p w:rsidR="00F130E0" w:rsidRPr="00B11C03" w:rsidRDefault="00F130E0" w:rsidP="00C511E3">
      <w:pPr>
        <w:pStyle w:val="Prrafodelista"/>
        <w:ind w:left="567"/>
        <w:jc w:val="both"/>
        <w:rPr>
          <w:rFonts w:ascii="Palatino Linotype" w:hAnsi="Palatino Linotype"/>
          <w:i/>
          <w:sz w:val="24"/>
        </w:rPr>
      </w:pPr>
      <w:r w:rsidRPr="00B11C03">
        <w:rPr>
          <w:rFonts w:ascii="Palatino Linotype" w:hAnsi="Palatino Linotype"/>
          <w:i/>
          <w:sz w:val="24"/>
        </w:rPr>
        <w:t>(…)</w:t>
      </w:r>
    </w:p>
    <w:p w:rsidR="00E03B14" w:rsidRPr="00B11C03" w:rsidRDefault="00E03B14" w:rsidP="00C511E3">
      <w:pPr>
        <w:pStyle w:val="Prrafodelista"/>
        <w:ind w:left="567"/>
        <w:jc w:val="both"/>
        <w:rPr>
          <w:rFonts w:ascii="Palatino Linotype" w:hAnsi="Palatino Linotype"/>
          <w:i/>
          <w:sz w:val="24"/>
        </w:rPr>
      </w:pPr>
      <w:r w:rsidRPr="00B11C03">
        <w:rPr>
          <w:rFonts w:ascii="Palatino Linotype" w:hAnsi="Palatino Linotype"/>
          <w:i/>
          <w:sz w:val="24"/>
        </w:rPr>
        <w:t xml:space="preserve">VII. </w:t>
      </w:r>
      <w:r w:rsidRPr="00B11C03">
        <w:rPr>
          <w:rFonts w:ascii="Palatino Linotype" w:hAnsi="Palatino Linotype"/>
          <w:b/>
          <w:i/>
          <w:sz w:val="24"/>
        </w:rPr>
        <w:t>Dirección de Seguridad Pública Municipal;</w:t>
      </w:r>
    </w:p>
    <w:p w:rsidR="00E03B14" w:rsidRPr="00B11C03" w:rsidRDefault="00E03B14" w:rsidP="00C511E3">
      <w:pPr>
        <w:pStyle w:val="Prrafodelista"/>
        <w:ind w:left="567"/>
        <w:jc w:val="both"/>
        <w:rPr>
          <w:rFonts w:ascii="Palatino Linotype" w:hAnsi="Palatino Linotype"/>
          <w:i/>
          <w:sz w:val="24"/>
        </w:rPr>
      </w:pPr>
      <w:r w:rsidRPr="00B11C03">
        <w:rPr>
          <w:rFonts w:ascii="Palatino Linotype" w:hAnsi="Palatino Linotype"/>
          <w:i/>
          <w:sz w:val="24"/>
        </w:rPr>
        <w:t>(…)</w:t>
      </w:r>
    </w:p>
    <w:p w:rsidR="00F130E0" w:rsidRPr="00B11C03" w:rsidRDefault="00F130E0" w:rsidP="00C511E3">
      <w:pPr>
        <w:pStyle w:val="Prrafodelista"/>
        <w:ind w:left="567"/>
        <w:jc w:val="both"/>
        <w:rPr>
          <w:rFonts w:ascii="Palatino Linotype" w:hAnsi="Palatino Linotype"/>
          <w:i/>
          <w:sz w:val="24"/>
        </w:rPr>
      </w:pPr>
      <w:r w:rsidRPr="00B11C03">
        <w:rPr>
          <w:rFonts w:ascii="Palatino Linotype" w:hAnsi="Palatino Linotype"/>
          <w:i/>
          <w:sz w:val="24"/>
        </w:rPr>
        <w:t xml:space="preserve">XV. Dirección de Protección Civil; </w:t>
      </w:r>
    </w:p>
    <w:p w:rsidR="00F130E0" w:rsidRPr="00B11C03" w:rsidRDefault="00F130E0" w:rsidP="00C511E3">
      <w:pPr>
        <w:pStyle w:val="Prrafodelista"/>
        <w:ind w:left="567"/>
        <w:jc w:val="both"/>
        <w:rPr>
          <w:rFonts w:ascii="Palatino Linotype" w:hAnsi="Palatino Linotype"/>
          <w:b/>
          <w:i/>
          <w:sz w:val="24"/>
          <w:u w:val="single"/>
        </w:rPr>
      </w:pPr>
      <w:r w:rsidRPr="00B11C03">
        <w:rPr>
          <w:rFonts w:ascii="Palatino Linotype" w:hAnsi="Palatino Linotype"/>
          <w:b/>
          <w:i/>
          <w:sz w:val="24"/>
          <w:u w:val="single"/>
        </w:rPr>
        <w:t xml:space="preserve">XVI. Unidad Municipal de Transparencia y Acceso a la Información; </w:t>
      </w:r>
    </w:p>
    <w:p w:rsidR="00F130E0" w:rsidRPr="00B11C03" w:rsidRDefault="00F130E0" w:rsidP="00C511E3">
      <w:pPr>
        <w:pStyle w:val="Prrafodelista"/>
        <w:ind w:left="567"/>
        <w:jc w:val="both"/>
        <w:rPr>
          <w:rFonts w:ascii="Palatino Linotype" w:hAnsi="Palatino Linotype"/>
          <w:b/>
          <w:i/>
          <w:sz w:val="24"/>
          <w:u w:val="single"/>
        </w:rPr>
      </w:pPr>
      <w:r w:rsidRPr="00B11C03">
        <w:rPr>
          <w:rFonts w:ascii="Palatino Linotype" w:hAnsi="Palatino Linotype"/>
          <w:b/>
          <w:i/>
          <w:sz w:val="24"/>
          <w:u w:val="single"/>
        </w:rPr>
        <w:t xml:space="preserve">XVII. Secretario Técnico del Consejo Municipal de Seguridad Pública; </w:t>
      </w:r>
    </w:p>
    <w:p w:rsidR="00F130E0" w:rsidRPr="00B11C03" w:rsidRDefault="00F130E0" w:rsidP="00C511E3">
      <w:pPr>
        <w:pStyle w:val="Prrafodelista"/>
        <w:ind w:left="567"/>
        <w:jc w:val="both"/>
        <w:rPr>
          <w:rFonts w:ascii="Palatino Linotype" w:hAnsi="Palatino Linotype"/>
          <w:i/>
          <w:sz w:val="24"/>
        </w:rPr>
      </w:pPr>
      <w:r w:rsidRPr="00B11C03">
        <w:rPr>
          <w:rFonts w:ascii="Palatino Linotype" w:hAnsi="Palatino Linotype"/>
          <w:i/>
          <w:sz w:val="24"/>
        </w:rPr>
        <w:t xml:space="preserve">XVIII. Instituto Municipal de la Juventud; </w:t>
      </w:r>
    </w:p>
    <w:p w:rsidR="00F130E0" w:rsidRPr="00B11C03" w:rsidRDefault="00F130E0" w:rsidP="00C511E3">
      <w:pPr>
        <w:pStyle w:val="Prrafodelista"/>
        <w:ind w:left="567"/>
        <w:jc w:val="both"/>
        <w:rPr>
          <w:rFonts w:ascii="Palatino Linotype" w:hAnsi="Palatino Linotype"/>
          <w:i/>
          <w:sz w:val="24"/>
        </w:rPr>
      </w:pPr>
      <w:r w:rsidRPr="00B11C03">
        <w:rPr>
          <w:rFonts w:ascii="Palatino Linotype" w:hAnsi="Palatino Linotype"/>
          <w:i/>
          <w:sz w:val="24"/>
        </w:rPr>
        <w:t xml:space="preserve">XIX. Oficialía del Registro Civil; </w:t>
      </w:r>
    </w:p>
    <w:p w:rsidR="00F130E0" w:rsidRPr="00B11C03" w:rsidRDefault="00F130E0" w:rsidP="00C511E3">
      <w:pPr>
        <w:ind w:firstLine="567"/>
        <w:jc w:val="both"/>
        <w:rPr>
          <w:rFonts w:ascii="Palatino Linotype" w:eastAsia="Palatino Linotype" w:hAnsi="Palatino Linotype" w:cs="Palatino Linotype"/>
          <w:i/>
        </w:rPr>
      </w:pPr>
      <w:r w:rsidRPr="00B11C03">
        <w:rPr>
          <w:rFonts w:ascii="Palatino Linotype" w:eastAsia="Palatino Linotype" w:hAnsi="Palatino Linotype" w:cs="Palatino Linotype"/>
          <w:i/>
        </w:rPr>
        <w:t>(…)</w:t>
      </w:r>
    </w:p>
    <w:p w:rsidR="00C90A2F" w:rsidRPr="00B11C03" w:rsidRDefault="00C90A2F" w:rsidP="00C511E3">
      <w:pPr>
        <w:rPr>
          <w:rFonts w:ascii="Palatino Linotype" w:eastAsia="Palatino Linotype" w:hAnsi="Palatino Linotype" w:cs="Palatino Linotype"/>
        </w:rPr>
      </w:pPr>
    </w:p>
    <w:p w:rsidR="002141B0" w:rsidRPr="00B11C03" w:rsidRDefault="002141B0" w:rsidP="00C511E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r w:rsidRPr="00B11C03">
        <w:rPr>
          <w:rFonts w:ascii="Palatino Linotype" w:eastAsia="Palatino Linotype" w:hAnsi="Palatino Linotype" w:cs="Palatino Linotype"/>
          <w:color w:val="000000"/>
        </w:rPr>
        <w:t xml:space="preserve">En este sentido, se advierte que, el </w:t>
      </w:r>
      <w:r w:rsidRPr="00B11C03">
        <w:rPr>
          <w:rFonts w:ascii="Palatino Linotype" w:eastAsia="Palatino Linotype" w:hAnsi="Palatino Linotype" w:cs="Palatino Linotype"/>
          <w:b/>
          <w:color w:val="000000"/>
        </w:rPr>
        <w:t>SUJETO OBLIGADO</w:t>
      </w:r>
      <w:r w:rsidRPr="00B11C03">
        <w:rPr>
          <w:rFonts w:ascii="Palatino Linotype" w:eastAsia="Palatino Linotype" w:hAnsi="Palatino Linotype" w:cs="Palatino Linotype"/>
          <w:color w:val="000000"/>
        </w:rPr>
        <w:t xml:space="preserve"> cumplió con el procedimiento de búsqueda exhaustiva y razonable, pues gestionó la solicitud de información en la unidad administrativa en donde </w:t>
      </w:r>
      <w:r w:rsidRPr="00B11C03">
        <w:rPr>
          <w:rFonts w:ascii="Palatino Linotype" w:eastAsia="Palatino Linotype" w:hAnsi="Palatino Linotype" w:cs="Palatino Linotype"/>
          <w:color w:val="000000"/>
          <w:u w:val="single"/>
        </w:rPr>
        <w:t>pudiera</w:t>
      </w:r>
      <w:r w:rsidRPr="00B11C03">
        <w:rPr>
          <w:rFonts w:ascii="Palatino Linotype" w:eastAsia="Palatino Linotype" w:hAnsi="Palatino Linotype" w:cs="Palatino Linotype"/>
          <w:color w:val="000000"/>
        </w:rPr>
        <w:t xml:space="preserve"> obrar lo peticionado, siendo esta </w:t>
      </w:r>
      <w:r w:rsidRPr="00B11C03">
        <w:rPr>
          <w:rFonts w:ascii="Palatino Linotype" w:eastAsia="Palatino Linotype" w:hAnsi="Palatino Linotype" w:cs="Palatino Linotype"/>
          <w:b/>
          <w:color w:val="000000"/>
        </w:rPr>
        <w:t>la Secretaría Técnica del Consejo Municipal de Seguridad Pública.</w:t>
      </w:r>
    </w:p>
    <w:p w:rsidR="002141B0" w:rsidRPr="00B11C03" w:rsidRDefault="002141B0" w:rsidP="00C511E3">
      <w:pPr>
        <w:rPr>
          <w:rFonts w:ascii="Palatino Linotype" w:eastAsia="Palatino Linotype" w:hAnsi="Palatino Linotype" w:cs="Palatino Linotype"/>
        </w:rPr>
      </w:pPr>
    </w:p>
    <w:p w:rsidR="002141B0" w:rsidRPr="00B11C03" w:rsidRDefault="002141B0" w:rsidP="00C511E3">
      <w:pPr>
        <w:rPr>
          <w:rFonts w:ascii="Palatino Linotype" w:eastAsia="Palatino Linotype" w:hAnsi="Palatino Linotype" w:cs="Palatino Linotype"/>
        </w:rPr>
      </w:pPr>
    </w:p>
    <w:p w:rsidR="00C90A2F" w:rsidRPr="00B11C03" w:rsidRDefault="002141B0" w:rsidP="00C511E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r w:rsidRPr="00B11C03">
        <w:rPr>
          <w:rFonts w:ascii="Palatino Linotype" w:eastAsia="Palatino Linotype" w:hAnsi="Palatino Linotype" w:cs="Palatino Linotype"/>
        </w:rPr>
        <w:t xml:space="preserve">En ese orden de ideas, </w:t>
      </w:r>
      <w:r w:rsidR="00C90A2F" w:rsidRPr="00B11C03">
        <w:rPr>
          <w:rFonts w:ascii="Palatino Linotype" w:eastAsia="Palatino Linotype" w:hAnsi="Palatino Linotype" w:cs="Palatino Linotype"/>
        </w:rPr>
        <w:t xml:space="preserve">este Órgano Protector, procedió a realizar la indagación sobre el Fondo para el Fortalecimiento de las Instituciones de Seguridad Pública (FOFISP) 2024, localizando el documento denominado “Avances y Evaluación Integral del Programa de Fortalecimiento de las Corporaciones Policiales y Municipales”, instrumento que señala </w:t>
      </w:r>
      <w:r w:rsidR="00C90A2F" w:rsidRPr="00B11C03">
        <w:rPr>
          <w:rFonts w:ascii="Palatino Linotype" w:eastAsia="Palatino Linotype" w:hAnsi="Palatino Linotype" w:cs="Palatino Linotype"/>
        </w:rPr>
        <w:lastRenderedPageBreak/>
        <w:t>las acciones con diversas fuentes de financiamiento que permitieron fortalecer el Estado de Fuerza y las Capacidades Institucionales de la Policía Estatal, realizados por la Secretaria de Seguridad</w:t>
      </w:r>
      <w:r w:rsidR="00E5153F" w:rsidRPr="00B11C03">
        <w:rPr>
          <w:rFonts w:ascii="Palatino Linotype" w:eastAsia="Palatino Linotype" w:hAnsi="Palatino Linotype" w:cs="Palatino Linotype"/>
        </w:rPr>
        <w:t>, en el cual se establece los siguiente:</w:t>
      </w:r>
    </w:p>
    <w:p w:rsidR="00E5153F" w:rsidRPr="00B11C03" w:rsidRDefault="00E5153F" w:rsidP="00C511E3">
      <w:pPr>
        <w:pBdr>
          <w:top w:val="nil"/>
          <w:left w:val="nil"/>
          <w:bottom w:val="nil"/>
          <w:right w:val="nil"/>
          <w:between w:val="nil"/>
        </w:pBdr>
        <w:tabs>
          <w:tab w:val="left" w:pos="426"/>
          <w:tab w:val="left" w:pos="567"/>
        </w:tabs>
        <w:spacing w:line="360" w:lineRule="auto"/>
        <w:jc w:val="center"/>
        <w:rPr>
          <w:rFonts w:ascii="Palatino Linotype" w:eastAsia="Palatino Linotype" w:hAnsi="Palatino Linotype" w:cs="Palatino Linotype"/>
          <w:b/>
        </w:rPr>
      </w:pPr>
      <w:r w:rsidRPr="00B11C03">
        <w:rPr>
          <w:rFonts w:ascii="Palatino Linotype" w:eastAsia="Palatino Linotype" w:hAnsi="Palatino Linotype" w:cs="Palatino Linotype"/>
          <w:b/>
          <w:noProof/>
        </w:rPr>
        <mc:AlternateContent>
          <mc:Choice Requires="wps">
            <w:drawing>
              <wp:anchor distT="0" distB="0" distL="114300" distR="114300" simplePos="0" relativeHeight="251659264" behindDoc="0" locked="0" layoutInCell="1" allowOverlap="1">
                <wp:simplePos x="0" y="0"/>
                <wp:positionH relativeFrom="column">
                  <wp:posOffset>858520</wp:posOffset>
                </wp:positionH>
                <wp:positionV relativeFrom="paragraph">
                  <wp:posOffset>2014855</wp:posOffset>
                </wp:positionV>
                <wp:extent cx="4219575" cy="323850"/>
                <wp:effectExtent l="19050" t="19050" r="28575" b="19050"/>
                <wp:wrapNone/>
                <wp:docPr id="3" name="Rectángulo 3"/>
                <wp:cNvGraphicFramePr/>
                <a:graphic xmlns:a="http://schemas.openxmlformats.org/drawingml/2006/main">
                  <a:graphicData uri="http://schemas.microsoft.com/office/word/2010/wordprocessingShape">
                    <wps:wsp>
                      <wps:cNvSpPr/>
                      <wps:spPr>
                        <a:xfrm>
                          <a:off x="0" y="0"/>
                          <a:ext cx="4219575" cy="3238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33292" id="Rectángulo 3" o:spid="_x0000_s1026" style="position:absolute;margin-left:67.6pt;margin-top:158.65pt;width:332.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" filled="f" strokecolor="red" strokeweight="2.25pt"/>
            </w:pict>
          </mc:Fallback>
        </mc:AlternateContent>
      </w:r>
      <w:r w:rsidRPr="00B11C03">
        <w:rPr>
          <w:rFonts w:ascii="Palatino Linotype" w:eastAsia="Palatino Linotype" w:hAnsi="Palatino Linotype" w:cs="Palatino Linotype"/>
          <w:b/>
          <w:noProof/>
        </w:rPr>
        <w:drawing>
          <wp:inline distT="0" distB="0" distL="0" distR="0" wp14:anchorId="12690169" wp14:editId="10ED5C13">
            <wp:extent cx="4219575" cy="234587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055" r="2683" b="12635"/>
                    <a:stretch/>
                  </pic:blipFill>
                  <pic:spPr bwMode="auto">
                    <a:xfrm>
                      <a:off x="0" y="0"/>
                      <a:ext cx="4230275" cy="2351822"/>
                    </a:xfrm>
                    <a:prstGeom prst="rect">
                      <a:avLst/>
                    </a:prstGeom>
                    <a:ln>
                      <a:noFill/>
                    </a:ln>
                    <a:extLst>
                      <a:ext uri="{53640926-AAD7-44D8-BBD7-CCE9431645EC}">
                        <a14:shadowObscured xmlns:a14="http://schemas.microsoft.com/office/drawing/2010/main"/>
                      </a:ext>
                    </a:extLst>
                  </pic:spPr>
                </pic:pic>
              </a:graphicData>
            </a:graphic>
          </wp:inline>
        </w:drawing>
      </w:r>
      <w:r w:rsidRPr="00B11C03">
        <w:rPr>
          <w:rFonts w:ascii="Palatino Linotype" w:eastAsia="Palatino Linotype" w:hAnsi="Palatino Linotype" w:cs="Palatino Linotype"/>
          <w:b/>
          <w:noProof/>
        </w:rPr>
        <w:drawing>
          <wp:inline distT="0" distB="0" distL="0" distR="0" wp14:anchorId="5322ABA0" wp14:editId="70796EB3">
            <wp:extent cx="4171950" cy="284353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168" t="1905" r="4927" b="1444"/>
                    <a:stretch/>
                  </pic:blipFill>
                  <pic:spPr bwMode="auto">
                    <a:xfrm>
                      <a:off x="0" y="0"/>
                      <a:ext cx="4178373" cy="2847908"/>
                    </a:xfrm>
                    <a:prstGeom prst="rect">
                      <a:avLst/>
                    </a:prstGeom>
                    <a:ln>
                      <a:noFill/>
                    </a:ln>
                    <a:extLst>
                      <a:ext uri="{53640926-AAD7-44D8-BBD7-CCE9431645EC}">
                        <a14:shadowObscured xmlns:a14="http://schemas.microsoft.com/office/drawing/2010/main"/>
                      </a:ext>
                    </a:extLst>
                  </pic:spPr>
                </pic:pic>
              </a:graphicData>
            </a:graphic>
          </wp:inline>
        </w:drawing>
      </w:r>
      <w:bookmarkStart w:id="2" w:name="_GoBack"/>
      <w:bookmarkEnd w:id="2"/>
    </w:p>
    <w:p w:rsidR="00C8189A" w:rsidRPr="00B11C03" w:rsidRDefault="001A4969" w:rsidP="00C511E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r w:rsidRPr="00B11C03">
        <w:rPr>
          <w:rFonts w:ascii="Palatino Linotype" w:eastAsia="Palatino Linotype" w:hAnsi="Palatino Linotype" w:cs="Palatino Linotype"/>
          <w:color w:val="000000"/>
        </w:rPr>
        <w:t xml:space="preserve">Ahora bien, conviene señalar que el </w:t>
      </w:r>
      <w:r w:rsidRPr="00B11C03">
        <w:rPr>
          <w:rFonts w:ascii="Palatino Linotype" w:eastAsia="Palatino Linotype" w:hAnsi="Palatino Linotype" w:cs="Palatino Linotype"/>
          <w:b/>
          <w:color w:val="000000"/>
        </w:rPr>
        <w:t>SUJETO OBLIGADO</w:t>
      </w:r>
      <w:r w:rsidRPr="00B11C03">
        <w:rPr>
          <w:rFonts w:ascii="Palatino Linotype" w:eastAsia="Palatino Linotype" w:hAnsi="Palatino Linotype" w:cs="Palatino Linotype"/>
          <w:color w:val="000000"/>
        </w:rPr>
        <w:t xml:space="preserve">, al informar que los chalecos balísticos fueron adquiridos con recursos del </w:t>
      </w:r>
      <w:r w:rsidRPr="00B11C03">
        <w:rPr>
          <w:rFonts w:ascii="Palatino Linotype" w:eastAsia="Palatino Linotype" w:hAnsi="Palatino Linotype" w:cs="Palatino Linotype"/>
          <w:b/>
          <w:color w:val="000000"/>
        </w:rPr>
        <w:t xml:space="preserve">Fondo para el Fortalecimiento de las Instituciones de Seguridad Pública (FOFISP) 2024, </w:t>
      </w:r>
      <w:r w:rsidRPr="00B11C03">
        <w:rPr>
          <w:rFonts w:ascii="Palatino Linotype" w:eastAsia="Palatino Linotype" w:hAnsi="Palatino Linotype" w:cs="Palatino Linotype"/>
          <w:color w:val="000000"/>
        </w:rPr>
        <w:t xml:space="preserve">colma los requerimientos </w:t>
      </w:r>
      <w:r w:rsidRPr="00B11C03">
        <w:rPr>
          <w:rFonts w:ascii="Palatino Linotype" w:eastAsia="Palatino Linotype" w:hAnsi="Palatino Linotype" w:cs="Palatino Linotype"/>
          <w:color w:val="000000"/>
        </w:rPr>
        <w:lastRenderedPageBreak/>
        <w:t>solicitados por el particular, toda vez que el particular fue claro y preciso al solicitar el año y mediante que recurso se concertó la compra de chalecos balísticos entregados en el mes de enero de dos mil veinticinco</w:t>
      </w:r>
      <w:r w:rsidR="00C8189A" w:rsidRPr="00B11C03">
        <w:rPr>
          <w:rFonts w:ascii="Palatino Linotype" w:eastAsia="Palatino Linotype" w:hAnsi="Palatino Linotype" w:cs="Palatino Linotype"/>
          <w:b/>
          <w:color w:val="000000"/>
        </w:rPr>
        <w:t>.</w:t>
      </w:r>
    </w:p>
    <w:p w:rsidR="00702E47" w:rsidRPr="00B11C03" w:rsidRDefault="00702E47" w:rsidP="00C511E3">
      <w:pPr>
        <w:pStyle w:val="Prrafodelista"/>
        <w:rPr>
          <w:rFonts w:ascii="Palatino Linotype" w:eastAsia="Palatino Linotype" w:hAnsi="Palatino Linotype" w:cs="Palatino Linotype"/>
          <w:b/>
          <w:sz w:val="24"/>
        </w:rPr>
      </w:pPr>
    </w:p>
    <w:p w:rsidR="00702E47" w:rsidRPr="00B11C03" w:rsidRDefault="00403346" w:rsidP="00C511E3">
      <w:pPr>
        <w:numPr>
          <w:ilvl w:val="0"/>
          <w:numId w:val="1"/>
        </w:numPr>
        <w:spacing w:line="360" w:lineRule="auto"/>
        <w:ind w:left="0" w:firstLine="0"/>
        <w:jc w:val="both"/>
        <w:rPr>
          <w:rFonts w:ascii="Palatino Linotype" w:eastAsia="Calibri" w:hAnsi="Palatino Linotype" w:cs="Tahoma"/>
          <w:bCs/>
        </w:rPr>
      </w:pPr>
      <w:r w:rsidRPr="00B11C03">
        <w:rPr>
          <w:rFonts w:ascii="Palatino Linotype" w:eastAsia="Calibri" w:hAnsi="Palatino Linotype" w:cs="Arial"/>
          <w:color w:val="000000" w:themeColor="text1"/>
          <w:lang w:val="es-ES"/>
        </w:rPr>
        <w:t>Por lo que</w:t>
      </w:r>
      <w:r w:rsidR="00702E47" w:rsidRPr="00B11C03">
        <w:rPr>
          <w:rFonts w:ascii="Palatino Linotype" w:eastAsia="Calibri" w:hAnsi="Palatino Linotype" w:cs="Arial"/>
          <w:color w:val="000000" w:themeColor="text1"/>
          <w:lang w:val="es-ES"/>
        </w:rPr>
        <w:t xml:space="preserve">, </w:t>
      </w:r>
      <w:r w:rsidR="00702E47" w:rsidRPr="00B11C03">
        <w:rPr>
          <w:rFonts w:ascii="Palatino Linotype" w:hAnsi="Palatino Linotype"/>
        </w:rPr>
        <w:t>es importante señalar que el artículo 4, párrafo segundo de la Ley de Transparencia y Acceso a la Información Pública del Estado de México y Municipios, dispone:</w:t>
      </w:r>
    </w:p>
    <w:p w:rsidR="00702E47" w:rsidRPr="00B11C03" w:rsidRDefault="00702E47" w:rsidP="00C511E3">
      <w:pPr>
        <w:spacing w:line="360" w:lineRule="auto"/>
        <w:jc w:val="both"/>
        <w:rPr>
          <w:rFonts w:ascii="Palatino Linotype" w:eastAsia="Calibri" w:hAnsi="Palatino Linotype" w:cs="Arial"/>
          <w:color w:val="000000" w:themeColor="text1"/>
          <w:lang w:val="es-ES"/>
        </w:rPr>
      </w:pPr>
    </w:p>
    <w:p w:rsidR="00702E47" w:rsidRPr="00B11C03" w:rsidRDefault="00702E47" w:rsidP="00C511E3">
      <w:pPr>
        <w:pStyle w:val="Prrafodelista"/>
        <w:tabs>
          <w:tab w:val="left" w:pos="426"/>
          <w:tab w:val="left" w:pos="567"/>
        </w:tabs>
        <w:ind w:left="567"/>
        <w:jc w:val="both"/>
        <w:rPr>
          <w:rFonts w:ascii="Palatino Linotype" w:hAnsi="Palatino Linotype"/>
          <w:i/>
          <w:sz w:val="24"/>
        </w:rPr>
      </w:pPr>
      <w:r w:rsidRPr="00B11C03">
        <w:rPr>
          <w:rFonts w:ascii="Palatino Linotype" w:hAnsi="Palatino Linotype"/>
          <w:i/>
          <w:sz w:val="24"/>
        </w:rPr>
        <w:t>“</w:t>
      </w:r>
      <w:r w:rsidRPr="00B11C03">
        <w:rPr>
          <w:rFonts w:ascii="Palatino Linotype" w:hAnsi="Palatino Linotype"/>
          <w:b/>
          <w:i/>
          <w:sz w:val="24"/>
        </w:rPr>
        <w:t>Artículo 4. …</w:t>
      </w:r>
    </w:p>
    <w:p w:rsidR="00702E47" w:rsidRPr="00B11C03" w:rsidRDefault="00702E47" w:rsidP="00C511E3">
      <w:pPr>
        <w:pStyle w:val="Prrafodelista"/>
        <w:tabs>
          <w:tab w:val="left" w:pos="426"/>
          <w:tab w:val="left" w:pos="567"/>
        </w:tabs>
        <w:ind w:left="567"/>
        <w:jc w:val="both"/>
        <w:rPr>
          <w:rFonts w:ascii="Palatino Linotype" w:hAnsi="Palatino Linotype"/>
          <w:i/>
          <w:sz w:val="24"/>
        </w:rPr>
      </w:pPr>
      <w:r w:rsidRPr="00B11C03">
        <w:rPr>
          <w:rFonts w:ascii="Palatino Linotype" w:hAnsi="Palatino Linotype"/>
          <w:i/>
          <w:sz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02E47" w:rsidRPr="00B11C03" w:rsidRDefault="00702E47" w:rsidP="00C511E3">
      <w:pPr>
        <w:spacing w:line="360" w:lineRule="auto"/>
        <w:jc w:val="both"/>
        <w:rPr>
          <w:rFonts w:ascii="Palatino Linotype" w:eastAsia="Calibri" w:hAnsi="Palatino Linotype" w:cs="Tahoma"/>
          <w:bCs/>
        </w:rPr>
      </w:pPr>
    </w:p>
    <w:p w:rsidR="00702E47" w:rsidRPr="00B11C03" w:rsidRDefault="00702E47" w:rsidP="00C511E3">
      <w:pPr>
        <w:numPr>
          <w:ilvl w:val="0"/>
          <w:numId w:val="1"/>
        </w:numPr>
        <w:spacing w:line="360" w:lineRule="auto"/>
        <w:ind w:left="0" w:firstLine="0"/>
        <w:jc w:val="both"/>
        <w:rPr>
          <w:rFonts w:ascii="Palatino Linotype" w:eastAsia="Calibri" w:hAnsi="Palatino Linotype" w:cs="Tahoma"/>
          <w:bCs/>
        </w:rPr>
      </w:pPr>
      <w:r w:rsidRPr="00B11C03">
        <w:rPr>
          <w:rFonts w:ascii="Palatino Linotype" w:eastAsia="Calibri" w:hAnsi="Palatino Linotype" w:cs="Arial"/>
          <w:color w:val="000000" w:themeColor="text1"/>
          <w:lang w:val="es-ES"/>
        </w:rPr>
        <w:t xml:space="preserve">De lo anterior, se desprende </w:t>
      </w:r>
      <w:r w:rsidRPr="00B11C03">
        <w:rPr>
          <w:rFonts w:ascii="Palatino Linotype" w:hAnsi="Palatino Linotype"/>
        </w:rPr>
        <w:t>que la información generada, obtenida, adquirida, transmitida, administrada o en posesión de los Sujetos Obligados, será accesible de manera permanente a cualquier persona, privilegiando el principio de máxima publicidad de la información.</w:t>
      </w:r>
    </w:p>
    <w:p w:rsidR="00702E47" w:rsidRPr="00B11C03" w:rsidRDefault="00702E47" w:rsidP="00C511E3">
      <w:pPr>
        <w:spacing w:line="360" w:lineRule="auto"/>
        <w:jc w:val="both"/>
        <w:rPr>
          <w:rFonts w:ascii="Palatino Linotype" w:eastAsia="Calibri" w:hAnsi="Palatino Linotype" w:cs="Tahoma"/>
          <w:bCs/>
        </w:rPr>
      </w:pPr>
    </w:p>
    <w:p w:rsidR="00702E47" w:rsidRPr="00B11C03" w:rsidRDefault="00702E47" w:rsidP="00C511E3">
      <w:pPr>
        <w:numPr>
          <w:ilvl w:val="0"/>
          <w:numId w:val="1"/>
        </w:numPr>
        <w:spacing w:line="360" w:lineRule="auto"/>
        <w:ind w:left="0" w:firstLine="0"/>
        <w:jc w:val="both"/>
        <w:rPr>
          <w:rFonts w:ascii="Palatino Linotype" w:eastAsia="Calibri" w:hAnsi="Palatino Linotype" w:cs="Tahoma"/>
          <w:bCs/>
        </w:rPr>
      </w:pPr>
      <w:r w:rsidRPr="00B11C03">
        <w:rPr>
          <w:rFonts w:ascii="Palatino Linotype" w:hAnsi="Palatino Linotype"/>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w:t>
      </w:r>
      <w:r w:rsidRPr="00B11C03">
        <w:rPr>
          <w:rFonts w:ascii="Palatino Linotype" w:hAnsi="Palatino Linotype"/>
        </w:rPr>
        <w:lastRenderedPageBreak/>
        <w:t xml:space="preserve">resumirla, efectuar cálculos o practicar investigaciones; tal y como se señala a continuación: </w:t>
      </w:r>
    </w:p>
    <w:p w:rsidR="00702E47" w:rsidRPr="00B11C03" w:rsidRDefault="00702E47" w:rsidP="00C511E3">
      <w:pPr>
        <w:spacing w:line="360" w:lineRule="auto"/>
        <w:jc w:val="both"/>
        <w:rPr>
          <w:rFonts w:ascii="Palatino Linotype" w:eastAsia="Calibri" w:hAnsi="Palatino Linotype" w:cs="Arial"/>
          <w:color w:val="000000" w:themeColor="text1"/>
          <w:lang w:val="es-ES"/>
        </w:rPr>
      </w:pPr>
    </w:p>
    <w:p w:rsidR="00702E47" w:rsidRPr="00B11C03" w:rsidRDefault="00702E47" w:rsidP="00C511E3">
      <w:pPr>
        <w:pStyle w:val="Prrafodelista"/>
        <w:tabs>
          <w:tab w:val="left" w:pos="1134"/>
        </w:tabs>
        <w:ind w:left="567"/>
        <w:jc w:val="both"/>
        <w:rPr>
          <w:rFonts w:ascii="Palatino Linotype" w:hAnsi="Palatino Linotype"/>
          <w:i/>
          <w:sz w:val="24"/>
        </w:rPr>
      </w:pPr>
      <w:r w:rsidRPr="00B11C03">
        <w:rPr>
          <w:rFonts w:ascii="Palatino Linotype" w:hAnsi="Palatino Linotype"/>
          <w:i/>
          <w:sz w:val="24"/>
        </w:rPr>
        <w:t>“</w:t>
      </w:r>
      <w:r w:rsidRPr="00B11C03">
        <w:rPr>
          <w:rFonts w:ascii="Palatino Linotype" w:hAnsi="Palatino Linotype"/>
          <w:b/>
          <w:i/>
          <w:sz w:val="24"/>
        </w:rPr>
        <w:t>Artículo 12.</w:t>
      </w:r>
      <w:r w:rsidRPr="00B11C03">
        <w:rPr>
          <w:rFonts w:ascii="Palatino Linotype" w:hAnsi="Palatino Linotype"/>
          <w:i/>
          <w:sz w:val="24"/>
        </w:rPr>
        <w:t xml:space="preserve"> Quienes generen, recopilen, administren, manejen, procesen, archiven o conserven información pública serán responsables de la misma en los términos de las disposiciones jurídicas aplicables. </w:t>
      </w:r>
    </w:p>
    <w:p w:rsidR="00702E47" w:rsidRPr="00B11C03" w:rsidRDefault="00702E47" w:rsidP="00C511E3">
      <w:pPr>
        <w:pStyle w:val="Prrafodelista"/>
        <w:tabs>
          <w:tab w:val="left" w:pos="1134"/>
        </w:tabs>
        <w:ind w:left="567"/>
        <w:jc w:val="both"/>
        <w:rPr>
          <w:rFonts w:ascii="Palatino Linotype" w:hAnsi="Palatino Linotype"/>
          <w:i/>
          <w:sz w:val="24"/>
        </w:rPr>
      </w:pPr>
    </w:p>
    <w:p w:rsidR="00702E47" w:rsidRPr="00B11C03" w:rsidRDefault="00702E47" w:rsidP="00C511E3">
      <w:pPr>
        <w:tabs>
          <w:tab w:val="left" w:pos="1134"/>
        </w:tabs>
        <w:ind w:left="567"/>
        <w:jc w:val="both"/>
        <w:rPr>
          <w:rFonts w:ascii="Palatino Linotype" w:hAnsi="Palatino Linotype"/>
          <w:i/>
        </w:rPr>
      </w:pPr>
      <w:r w:rsidRPr="00B11C03">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02E47" w:rsidRPr="00B11C03" w:rsidRDefault="00702E47" w:rsidP="00C511E3">
      <w:pPr>
        <w:spacing w:line="360" w:lineRule="auto"/>
        <w:jc w:val="both"/>
        <w:rPr>
          <w:rFonts w:ascii="Palatino Linotype" w:eastAsia="Calibri" w:hAnsi="Palatino Linotype" w:cs="Tahoma"/>
          <w:bCs/>
        </w:rPr>
      </w:pPr>
    </w:p>
    <w:p w:rsidR="00702E47" w:rsidRPr="00B11C03" w:rsidRDefault="00702E47" w:rsidP="00C511E3">
      <w:pPr>
        <w:numPr>
          <w:ilvl w:val="0"/>
          <w:numId w:val="1"/>
        </w:numPr>
        <w:spacing w:line="360" w:lineRule="auto"/>
        <w:ind w:left="0" w:firstLine="0"/>
        <w:jc w:val="both"/>
        <w:rPr>
          <w:rFonts w:ascii="Palatino Linotype" w:eastAsia="Calibri" w:hAnsi="Palatino Linotype" w:cs="Tahoma"/>
          <w:bCs/>
        </w:rPr>
      </w:pPr>
      <w:r w:rsidRPr="00B11C03">
        <w:rPr>
          <w:rFonts w:ascii="Palatino Linotype" w:eastAsia="Calibri" w:hAnsi="Palatino Linotype" w:cs="Arial"/>
          <w:color w:val="000000" w:themeColor="text1"/>
          <w:lang w:val="es-ES"/>
        </w:rPr>
        <w:t xml:space="preserve">En síntesis, </w:t>
      </w:r>
      <w:r w:rsidRPr="00B11C03">
        <w:rPr>
          <w:rFonts w:ascii="Palatino Linotype" w:hAnsi="Palatino Linotype"/>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702E47" w:rsidRPr="00B11C03" w:rsidRDefault="00702E47" w:rsidP="00C511E3">
      <w:pPr>
        <w:spacing w:line="360" w:lineRule="auto"/>
        <w:jc w:val="both"/>
        <w:rPr>
          <w:rFonts w:ascii="Palatino Linotype" w:eastAsia="Calibri" w:hAnsi="Palatino Linotype" w:cs="Tahoma"/>
          <w:bCs/>
        </w:rPr>
      </w:pPr>
    </w:p>
    <w:p w:rsidR="00702E47" w:rsidRPr="00B11C03" w:rsidRDefault="00702E47" w:rsidP="00C511E3">
      <w:pPr>
        <w:numPr>
          <w:ilvl w:val="0"/>
          <w:numId w:val="1"/>
        </w:numPr>
        <w:spacing w:line="360" w:lineRule="auto"/>
        <w:ind w:left="0" w:firstLine="0"/>
        <w:jc w:val="both"/>
        <w:rPr>
          <w:rFonts w:ascii="Palatino Linotype" w:eastAsia="Calibri" w:hAnsi="Palatino Linotype" w:cs="Tahoma"/>
          <w:bCs/>
        </w:rPr>
      </w:pPr>
      <w:r w:rsidRPr="00B11C03">
        <w:rPr>
          <w:rFonts w:ascii="Palatino Linotype" w:hAnsi="Palatino Linotype"/>
        </w:rPr>
        <w:t xml:space="preserve">Como apoyo a lo anterior, es aplicable el Criterio 03-17, emitido por el Instituto Nacional de Transparencia, Acceso a la Información y Protección de Datos Personales, que dice: </w:t>
      </w:r>
    </w:p>
    <w:p w:rsidR="00702E47" w:rsidRPr="00B11C03" w:rsidRDefault="00702E47" w:rsidP="00C511E3">
      <w:pPr>
        <w:spacing w:line="360" w:lineRule="auto"/>
        <w:jc w:val="both"/>
        <w:rPr>
          <w:rFonts w:ascii="Palatino Linotype" w:eastAsia="Calibri" w:hAnsi="Palatino Linotype" w:cs="Arial"/>
          <w:color w:val="000000" w:themeColor="text1"/>
          <w:lang w:val="es-ES"/>
        </w:rPr>
      </w:pPr>
    </w:p>
    <w:p w:rsidR="00702E47" w:rsidRPr="00B11C03" w:rsidRDefault="00702E47" w:rsidP="00C511E3">
      <w:pPr>
        <w:pStyle w:val="Prrafodelista"/>
        <w:tabs>
          <w:tab w:val="left" w:pos="709"/>
          <w:tab w:val="left" w:pos="1985"/>
        </w:tabs>
        <w:ind w:left="567"/>
        <w:jc w:val="both"/>
        <w:rPr>
          <w:rFonts w:ascii="Palatino Linotype" w:hAnsi="Palatino Linotype"/>
          <w:i/>
          <w:sz w:val="24"/>
        </w:rPr>
      </w:pPr>
      <w:r w:rsidRPr="00B11C03">
        <w:rPr>
          <w:rFonts w:ascii="Palatino Linotype" w:hAnsi="Palatino Linotype"/>
          <w:b/>
          <w:i/>
          <w:sz w:val="24"/>
        </w:rPr>
        <w:t>“No existe obligación de elaborar documentos ad hoc para atender las solicitudes de acceso a la información.</w:t>
      </w:r>
      <w:r w:rsidRPr="00B11C03">
        <w:rPr>
          <w:rFonts w:ascii="Palatino Linotype" w:hAnsi="Palatino Linotype"/>
          <w:i/>
          <w:sz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w:t>
      </w:r>
      <w:r w:rsidRPr="00B11C03">
        <w:rPr>
          <w:rFonts w:ascii="Palatino Linotype" w:hAnsi="Palatino Linotype"/>
          <w:i/>
          <w:sz w:val="24"/>
        </w:rPr>
        <w:lastRenderedPageBreak/>
        <w:t xml:space="preserve">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702E47" w:rsidRPr="00B11C03" w:rsidRDefault="00702E47" w:rsidP="00C511E3">
      <w:pPr>
        <w:pStyle w:val="Prrafodelista"/>
        <w:tabs>
          <w:tab w:val="left" w:pos="709"/>
          <w:tab w:val="left" w:pos="1985"/>
        </w:tabs>
        <w:ind w:left="567"/>
        <w:jc w:val="both"/>
        <w:rPr>
          <w:rFonts w:ascii="Palatino Linotype" w:hAnsi="Palatino Linotype"/>
          <w:i/>
          <w:sz w:val="24"/>
        </w:rPr>
      </w:pPr>
    </w:p>
    <w:p w:rsidR="00702E47" w:rsidRPr="00B11C03" w:rsidRDefault="00702E47" w:rsidP="00C511E3">
      <w:pPr>
        <w:pStyle w:val="Prrafodelista"/>
        <w:tabs>
          <w:tab w:val="left" w:pos="709"/>
          <w:tab w:val="left" w:pos="1985"/>
        </w:tabs>
        <w:ind w:left="567"/>
        <w:jc w:val="both"/>
        <w:rPr>
          <w:rFonts w:ascii="Palatino Linotype" w:hAnsi="Palatino Linotype"/>
          <w:i/>
          <w:sz w:val="24"/>
        </w:rPr>
      </w:pPr>
      <w:r w:rsidRPr="00B11C03">
        <w:rPr>
          <w:rFonts w:ascii="Palatino Linotype" w:hAnsi="Palatino Linotype"/>
          <w:i/>
          <w:sz w:val="24"/>
        </w:rPr>
        <w:t xml:space="preserve">Resoluciones: </w:t>
      </w:r>
    </w:p>
    <w:p w:rsidR="00702E47" w:rsidRPr="00B11C03" w:rsidRDefault="00702E47" w:rsidP="00C511E3">
      <w:pPr>
        <w:pStyle w:val="Prrafodelista"/>
        <w:tabs>
          <w:tab w:val="left" w:pos="709"/>
          <w:tab w:val="left" w:pos="1985"/>
        </w:tabs>
        <w:ind w:left="567"/>
        <w:jc w:val="both"/>
        <w:rPr>
          <w:rFonts w:ascii="Palatino Linotype" w:hAnsi="Palatino Linotype"/>
          <w:i/>
          <w:sz w:val="24"/>
        </w:rPr>
      </w:pPr>
      <w:r w:rsidRPr="00B11C03">
        <w:rPr>
          <w:rFonts w:ascii="Palatino Linotype" w:hAnsi="Palatino Linotype"/>
          <w:i/>
          <w:sz w:val="24"/>
        </w:rPr>
        <w:sym w:font="Symbol" w:char="F0B7"/>
      </w:r>
      <w:r w:rsidRPr="00B11C03">
        <w:rPr>
          <w:rFonts w:ascii="Palatino Linotype" w:hAnsi="Palatino Linotype"/>
          <w:i/>
          <w:sz w:val="24"/>
        </w:rPr>
        <w:t xml:space="preserve"> RRA 0050/16. Instituto Nacional para la Evaluación de la Educación. 13 julio de 2016. Por unanimidad. Comisionado Ponente: Francisco Javier Acuña Llamas. </w:t>
      </w:r>
    </w:p>
    <w:p w:rsidR="00702E47" w:rsidRPr="00B11C03" w:rsidRDefault="00702E47" w:rsidP="00C511E3">
      <w:pPr>
        <w:pStyle w:val="Prrafodelista"/>
        <w:tabs>
          <w:tab w:val="left" w:pos="709"/>
          <w:tab w:val="left" w:pos="1985"/>
        </w:tabs>
        <w:ind w:left="567"/>
        <w:jc w:val="both"/>
        <w:rPr>
          <w:rFonts w:ascii="Palatino Linotype" w:hAnsi="Palatino Linotype"/>
          <w:i/>
          <w:sz w:val="24"/>
        </w:rPr>
      </w:pPr>
      <w:r w:rsidRPr="00B11C03">
        <w:rPr>
          <w:rFonts w:ascii="Palatino Linotype" w:hAnsi="Palatino Linotype"/>
          <w:i/>
          <w:sz w:val="24"/>
        </w:rPr>
        <w:sym w:font="Symbol" w:char="F0B7"/>
      </w:r>
      <w:r w:rsidRPr="00B11C03">
        <w:rPr>
          <w:rFonts w:ascii="Palatino Linotype" w:hAnsi="Palatino Linotype"/>
          <w:i/>
          <w:sz w:val="24"/>
        </w:rPr>
        <w:t xml:space="preserve"> RRA 0310/16. Instituto Nacional de Transparencia, Acceso a la Información y Protección de Datos Personales. 10 de agosto de 2016. Por unanimidad. Comisionada Ponente. Areli Cano Guadiana. </w:t>
      </w:r>
    </w:p>
    <w:p w:rsidR="00702E47" w:rsidRPr="00B11C03" w:rsidRDefault="00702E47" w:rsidP="00C511E3">
      <w:pPr>
        <w:tabs>
          <w:tab w:val="left" w:pos="709"/>
          <w:tab w:val="left" w:pos="1985"/>
        </w:tabs>
        <w:ind w:left="567"/>
        <w:jc w:val="both"/>
        <w:rPr>
          <w:rFonts w:ascii="Palatino Linotype" w:eastAsia="Calibri" w:hAnsi="Palatino Linotype" w:cs="Arial"/>
          <w:color w:val="000000" w:themeColor="text1"/>
          <w:lang w:val="es-ES"/>
        </w:rPr>
      </w:pPr>
      <w:r w:rsidRPr="00B11C03">
        <w:rPr>
          <w:rFonts w:ascii="Palatino Linotype" w:hAnsi="Palatino Linotype"/>
          <w:i/>
        </w:rPr>
        <w:sym w:font="Symbol" w:char="F0B7"/>
      </w:r>
      <w:r w:rsidRPr="00B11C03">
        <w:rPr>
          <w:rFonts w:ascii="Palatino Linotype" w:hAnsi="Palatino Linotype"/>
          <w:i/>
        </w:rPr>
        <w:t xml:space="preserve"> RRA 1889/16. Secretaría de Hacienda y Crédito Público. 05 de octubre de 2016. Por unanimidad. Comisionada Ponente. Ximena Puente de la Mora.”</w:t>
      </w:r>
    </w:p>
    <w:p w:rsidR="00702E47" w:rsidRPr="00B11C03" w:rsidRDefault="00702E47" w:rsidP="00C511E3">
      <w:pPr>
        <w:spacing w:line="360" w:lineRule="auto"/>
        <w:jc w:val="both"/>
        <w:rPr>
          <w:rFonts w:ascii="Palatino Linotype" w:eastAsia="Calibri" w:hAnsi="Palatino Linotype" w:cs="Tahoma"/>
          <w:bCs/>
        </w:rPr>
      </w:pPr>
    </w:p>
    <w:p w:rsidR="00702E47" w:rsidRPr="00B11C03" w:rsidRDefault="00702E47" w:rsidP="00C511E3">
      <w:pPr>
        <w:numPr>
          <w:ilvl w:val="0"/>
          <w:numId w:val="1"/>
        </w:numPr>
        <w:spacing w:line="360" w:lineRule="auto"/>
        <w:ind w:left="0" w:firstLine="0"/>
        <w:jc w:val="both"/>
        <w:rPr>
          <w:rFonts w:ascii="Palatino Linotype" w:eastAsia="Calibri" w:hAnsi="Palatino Linotype" w:cs="Tahoma"/>
          <w:bCs/>
        </w:rPr>
      </w:pPr>
      <w:r w:rsidRPr="00B11C03">
        <w:rPr>
          <w:rFonts w:ascii="Palatino Linotype" w:eastAsia="Calibri" w:hAnsi="Palatino Linotype" w:cs="Arial"/>
          <w:color w:val="000000" w:themeColor="text1"/>
          <w:lang w:val="es-ES"/>
        </w:rPr>
        <w:t xml:space="preserve">Asimismo, </w:t>
      </w:r>
      <w:r w:rsidRPr="00B11C03">
        <w:rPr>
          <w:rFonts w:ascii="Palatino Linotype" w:hAnsi="Palatino Linotype"/>
        </w:rPr>
        <w:t>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083713" w:rsidRPr="00B11C03" w:rsidRDefault="00083713" w:rsidP="00C511E3">
      <w:pPr>
        <w:pStyle w:val="Prrafodelista"/>
        <w:rPr>
          <w:rFonts w:ascii="Palatino Linotype" w:eastAsia="Palatino Linotype" w:hAnsi="Palatino Linotype" w:cs="Palatino Linotype"/>
          <w:sz w:val="24"/>
        </w:rPr>
      </w:pPr>
    </w:p>
    <w:p w:rsidR="00696FA3" w:rsidRPr="00B11C03" w:rsidRDefault="00B932E5" w:rsidP="00C511E3">
      <w:pPr>
        <w:numPr>
          <w:ilvl w:val="0"/>
          <w:numId w:val="1"/>
        </w:numPr>
        <w:spacing w:line="360" w:lineRule="auto"/>
        <w:ind w:left="0" w:firstLine="0"/>
        <w:jc w:val="both"/>
        <w:rPr>
          <w:rFonts w:ascii="Palatino Linotype" w:eastAsia="Palatino Linotype" w:hAnsi="Palatino Linotype" w:cs="Palatino Linotype"/>
        </w:rPr>
      </w:pPr>
      <w:r w:rsidRPr="00B11C03">
        <w:rPr>
          <w:rFonts w:ascii="Palatino Linotype" w:hAnsi="Palatino Linotype" w:cs="Arial"/>
          <w:color w:val="000000" w:themeColor="text1"/>
          <w:lang w:val="es-ES_tradnl"/>
        </w:rPr>
        <w:t>Expuesto</w:t>
      </w:r>
      <w:r w:rsidR="00696FA3" w:rsidRPr="00B11C03">
        <w:rPr>
          <w:rFonts w:ascii="Palatino Linotype" w:eastAsia="Calibri" w:hAnsi="Palatino Linotype" w:cs="Arial"/>
          <w:color w:val="000000" w:themeColor="text1"/>
        </w:rPr>
        <w:t xml:space="preserve"> lo anterior, se tiene que </w:t>
      </w:r>
      <w:r w:rsidR="00696FA3" w:rsidRPr="00B11C03">
        <w:rPr>
          <w:rFonts w:ascii="Palatino Linotype" w:eastAsia="Calibri" w:hAnsi="Palatino Linotype" w:cs="Arial"/>
          <w:bCs/>
          <w:color w:val="000000" w:themeColor="text1"/>
        </w:rPr>
        <w:t>el</w:t>
      </w:r>
      <w:r w:rsidR="00696FA3" w:rsidRPr="00B11C03">
        <w:rPr>
          <w:rFonts w:ascii="Palatino Linotype" w:eastAsia="Calibri" w:hAnsi="Palatino Linotype" w:cs="Arial"/>
          <w:b/>
          <w:color w:val="000000" w:themeColor="text1"/>
        </w:rPr>
        <w:t xml:space="preserve"> </w:t>
      </w:r>
      <w:r w:rsidR="00696FA3" w:rsidRPr="00B11C03">
        <w:rPr>
          <w:rFonts w:ascii="Palatino Linotype" w:eastAsia="Calibri" w:hAnsi="Palatino Linotype" w:cs="Arial"/>
          <w:b/>
          <w:bCs/>
          <w:color w:val="000000" w:themeColor="text1"/>
        </w:rPr>
        <w:t>SUJETO OBLIGADO</w:t>
      </w:r>
      <w:r w:rsidR="00696FA3" w:rsidRPr="00B11C03">
        <w:rPr>
          <w:rFonts w:ascii="Palatino Linotype" w:eastAsia="Calibri" w:hAnsi="Palatino Linotype" w:cs="Arial"/>
          <w:bCs/>
          <w:color w:val="000000" w:themeColor="text1"/>
        </w:rPr>
        <w:t xml:space="preserve"> </w:t>
      </w:r>
      <w:r w:rsidRPr="00B11C03">
        <w:rPr>
          <w:rFonts w:ascii="Palatino Linotype" w:eastAsia="Calibri" w:hAnsi="Palatino Linotype" w:cs="Arial"/>
          <w:bCs/>
          <w:color w:val="000000" w:themeColor="text1"/>
        </w:rPr>
        <w:t>modificó la</w:t>
      </w:r>
      <w:r w:rsidR="00696FA3" w:rsidRPr="00B11C03">
        <w:rPr>
          <w:rFonts w:ascii="Palatino Linotype" w:eastAsia="Calibri" w:hAnsi="Palatino Linotype" w:cs="Arial"/>
          <w:bCs/>
          <w:color w:val="000000" w:themeColor="text1"/>
        </w:rPr>
        <w:t xml:space="preserve"> respuesta inicial y aportó información novedosa.</w:t>
      </w:r>
    </w:p>
    <w:p w:rsidR="00696FA3" w:rsidRPr="00B11C03" w:rsidRDefault="00696FA3" w:rsidP="00C511E3">
      <w:pPr>
        <w:jc w:val="both"/>
        <w:rPr>
          <w:rFonts w:ascii="Palatino Linotype" w:eastAsia="Palatino Linotype" w:hAnsi="Palatino Linotype" w:cs="Palatino Linotype"/>
        </w:rPr>
      </w:pPr>
    </w:p>
    <w:p w:rsidR="00696FA3" w:rsidRPr="00B11C03" w:rsidRDefault="00696FA3" w:rsidP="00C511E3">
      <w:pPr>
        <w:numPr>
          <w:ilvl w:val="0"/>
          <w:numId w:val="1"/>
        </w:numPr>
        <w:spacing w:line="360" w:lineRule="auto"/>
        <w:ind w:left="0" w:firstLine="0"/>
        <w:jc w:val="both"/>
        <w:rPr>
          <w:rFonts w:ascii="Palatino Linotype" w:eastAsia="Palatino Linotype" w:hAnsi="Palatino Linotype" w:cs="Palatino Linotype"/>
        </w:rPr>
      </w:pPr>
      <w:r w:rsidRPr="00B11C03">
        <w:rPr>
          <w:rFonts w:ascii="Palatino Linotype" w:hAnsi="Palatino Linotype" w:cs="Arial"/>
          <w:color w:val="000000" w:themeColor="text1"/>
          <w:lang w:val="es-ES_tradnl"/>
        </w:rPr>
        <w:t xml:space="preserve">En </w:t>
      </w:r>
      <w:r w:rsidRPr="00B11C03">
        <w:rPr>
          <w:rFonts w:ascii="Palatino Linotype" w:eastAsia="Calibri" w:hAnsi="Palatino Linotype" w:cs="Arial"/>
          <w:color w:val="000000" w:themeColor="text1"/>
        </w:rPr>
        <w:t xml:space="preserve">este sentido, </w:t>
      </w:r>
      <w:r w:rsidRPr="00B11C03">
        <w:rPr>
          <w:rFonts w:ascii="Palatino Linotype" w:hAnsi="Palatino Linotype" w:cs="Arial"/>
          <w:bCs/>
        </w:rPr>
        <w:t xml:space="preserve">es dable sostener que, al haber existido un pronunciamiento por parte del </w:t>
      </w:r>
      <w:r w:rsidRPr="00B11C03">
        <w:rPr>
          <w:rFonts w:ascii="Palatino Linotype" w:hAnsi="Palatino Linotype" w:cs="Arial"/>
          <w:b/>
          <w:bCs/>
        </w:rPr>
        <w:t>SUJETO OBLIGADO</w:t>
      </w:r>
      <w:r w:rsidRPr="00B11C03">
        <w:rPr>
          <w:rFonts w:ascii="Palatino Linotype" w:hAnsi="Palatino Linotype" w:cs="Arial"/>
          <w:bCs/>
        </w:rPr>
        <w:t>, este Instituto no está facultado para manifestarse sobre la veracidad de este, pues no existe precepto legal alguno en la Ley de la materia que lo faculte para que, vía recurso de revisión, pueda pronunciarse al respecto.</w:t>
      </w:r>
    </w:p>
    <w:p w:rsidR="00696FA3" w:rsidRPr="00B11C03" w:rsidRDefault="00696FA3" w:rsidP="00C511E3">
      <w:pPr>
        <w:jc w:val="both"/>
        <w:rPr>
          <w:rFonts w:ascii="Palatino Linotype" w:eastAsia="Palatino Linotype" w:hAnsi="Palatino Linotype" w:cs="Palatino Linotype"/>
        </w:rPr>
      </w:pPr>
    </w:p>
    <w:p w:rsidR="00696FA3" w:rsidRPr="00B11C03" w:rsidRDefault="00696FA3" w:rsidP="00C511E3">
      <w:pPr>
        <w:numPr>
          <w:ilvl w:val="0"/>
          <w:numId w:val="1"/>
        </w:numPr>
        <w:spacing w:line="360" w:lineRule="auto"/>
        <w:ind w:left="0" w:firstLine="0"/>
        <w:jc w:val="both"/>
        <w:rPr>
          <w:rFonts w:ascii="Palatino Linotype" w:eastAsia="Palatino Linotype" w:hAnsi="Palatino Linotype" w:cs="Palatino Linotype"/>
          <w:b/>
        </w:rPr>
      </w:pPr>
      <w:r w:rsidRPr="00B11C03">
        <w:rPr>
          <w:rFonts w:ascii="Palatino Linotype" w:eastAsia="Palatino Linotype" w:hAnsi="Palatino Linotype" w:cs="Palatino Linotype"/>
        </w:rPr>
        <w:lastRenderedPageBreak/>
        <w:t xml:space="preserve">Así, </w:t>
      </w:r>
      <w:r w:rsidRPr="00B11C03">
        <w:rPr>
          <w:rFonts w:ascii="Palatino Linotype" w:eastAsia="Calibri" w:hAnsi="Palatino Linotype"/>
        </w:rPr>
        <w:t xml:space="preserve">este Pleno advierte que el </w:t>
      </w:r>
      <w:r w:rsidRPr="00B11C03">
        <w:rPr>
          <w:rFonts w:ascii="Palatino Linotype" w:eastAsia="Calibri" w:hAnsi="Palatino Linotype"/>
          <w:b/>
        </w:rPr>
        <w:t>SUJETO OBLIGADO</w:t>
      </w:r>
      <w:r w:rsidRPr="00B11C03">
        <w:rPr>
          <w:rFonts w:ascii="Palatino Linotype" w:eastAsia="Calibri" w:hAnsi="Palatino Linotype"/>
        </w:rPr>
        <w:t xml:space="preserve"> </w:t>
      </w:r>
      <w:r w:rsidRPr="00B11C03">
        <w:rPr>
          <w:rFonts w:ascii="Palatino Linotype" w:eastAsia="Calibri" w:hAnsi="Palatino Linotype"/>
          <w:b/>
        </w:rPr>
        <w:t xml:space="preserve">modificó </w:t>
      </w:r>
      <w:r w:rsidRPr="00B11C03">
        <w:rPr>
          <w:rFonts w:ascii="Palatino Linotype" w:eastAsia="Calibri" w:hAnsi="Palatino Linotype"/>
        </w:rPr>
        <w:t>el acto que le dio origen al recurso de revisión, lo que trae como consecuencia que el mismo quede sin materia, actualizándose de este modo, la hipótesis jurídica contenida en la fracción III del artículo 192 de la Ley de Transparencia Local.</w:t>
      </w:r>
    </w:p>
    <w:p w:rsidR="00696FA3" w:rsidRPr="00B11C03" w:rsidRDefault="00696FA3" w:rsidP="00C511E3">
      <w:pPr>
        <w:jc w:val="both"/>
        <w:rPr>
          <w:rFonts w:ascii="Palatino Linotype" w:eastAsia="Palatino Linotype" w:hAnsi="Palatino Linotype" w:cs="Palatino Linotype"/>
          <w:b/>
        </w:rPr>
      </w:pPr>
    </w:p>
    <w:p w:rsidR="00696FA3" w:rsidRPr="00B11C03" w:rsidRDefault="00696FA3" w:rsidP="00C511E3">
      <w:pPr>
        <w:numPr>
          <w:ilvl w:val="0"/>
          <w:numId w:val="1"/>
        </w:numPr>
        <w:spacing w:line="360" w:lineRule="auto"/>
        <w:ind w:left="0" w:firstLine="0"/>
        <w:jc w:val="both"/>
        <w:rPr>
          <w:rFonts w:ascii="Palatino Linotype" w:eastAsia="Palatino Linotype" w:hAnsi="Palatino Linotype" w:cs="Palatino Linotype"/>
          <w:b/>
        </w:rPr>
      </w:pPr>
      <w:r w:rsidRPr="00B11C03">
        <w:rPr>
          <w:rFonts w:ascii="Palatino Linotype" w:hAnsi="Palatino Linotype" w:cs="Arial"/>
          <w:color w:val="000000" w:themeColor="text1"/>
          <w:lang w:val="es-ES_tradnl"/>
        </w:rPr>
        <w:t xml:space="preserve">De </w:t>
      </w:r>
      <w:r w:rsidRPr="00B11C03">
        <w:rPr>
          <w:rFonts w:ascii="Palatino Linotype" w:eastAsia="Calibri" w:hAnsi="Palatino Linotype" w:cs="Arial"/>
          <w:color w:val="000000" w:themeColor="text1"/>
        </w:rPr>
        <w:t xml:space="preserve">bien, </w:t>
      </w:r>
      <w:r w:rsidRPr="00B11C03">
        <w:rPr>
          <w:rFonts w:ascii="Palatino Linotype" w:eastAsia="Calibri" w:hAnsi="Palatino Linotype"/>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B11C03">
        <w:rPr>
          <w:rFonts w:ascii="Palatino Linotype" w:eastAsia="Calibri" w:hAnsi="Palatino Linotype"/>
          <w:b/>
        </w:rPr>
        <w:t>SUJETOS OBLIGADOS</w:t>
      </w:r>
      <w:r w:rsidRPr="00B11C03">
        <w:rPr>
          <w:rFonts w:ascii="Palatino Linotype" w:eastAsia="Calibri" w:hAnsi="Palatino Linotype"/>
        </w:rPr>
        <w:t xml:space="preserve"> o la negativa de entrega de la misma, derivada de la solicitud de información pública.</w:t>
      </w:r>
    </w:p>
    <w:p w:rsidR="00A30F8D" w:rsidRPr="00B11C03" w:rsidRDefault="00A30F8D" w:rsidP="00C511E3">
      <w:pPr>
        <w:jc w:val="both"/>
        <w:rPr>
          <w:rFonts w:ascii="Palatino Linotype" w:eastAsia="Palatino Linotype" w:hAnsi="Palatino Linotype" w:cs="Palatino Linotype"/>
          <w:b/>
        </w:rPr>
      </w:pPr>
    </w:p>
    <w:p w:rsidR="00696FA3" w:rsidRPr="00B11C03" w:rsidRDefault="00696FA3" w:rsidP="00C511E3">
      <w:pPr>
        <w:numPr>
          <w:ilvl w:val="0"/>
          <w:numId w:val="1"/>
        </w:numPr>
        <w:spacing w:line="360" w:lineRule="auto"/>
        <w:ind w:left="0" w:firstLine="0"/>
        <w:jc w:val="both"/>
        <w:rPr>
          <w:rFonts w:ascii="Palatino Linotype" w:eastAsia="Palatino Linotype" w:hAnsi="Palatino Linotype" w:cs="Palatino Linotype"/>
          <w:b/>
        </w:rPr>
      </w:pPr>
      <w:r w:rsidRPr="00B11C03">
        <w:rPr>
          <w:rFonts w:ascii="Palatino Linotype" w:hAnsi="Palatino Linotype" w:cs="Arial"/>
          <w:color w:val="000000" w:themeColor="text1"/>
          <w:lang w:val="es-ES_tradnl"/>
        </w:rPr>
        <w:t xml:space="preserve">De </w:t>
      </w:r>
      <w:r w:rsidRPr="00B11C03">
        <w:rPr>
          <w:rFonts w:ascii="Palatino Linotype" w:eastAsia="Calibri" w:hAnsi="Palatino Linotype"/>
        </w:rPr>
        <w:t xml:space="preserve">este modo, cuando el </w:t>
      </w:r>
      <w:r w:rsidRPr="00B11C03">
        <w:rPr>
          <w:rFonts w:ascii="Palatino Linotype" w:eastAsia="Calibri" w:hAnsi="Palatino Linotype"/>
          <w:b/>
        </w:rPr>
        <w:t xml:space="preserve">SUJETO OBLIGADO, </w:t>
      </w:r>
      <w:r w:rsidRPr="00B11C03">
        <w:rPr>
          <w:rFonts w:ascii="Palatino Linotype" w:eastAsia="Calibri" w:hAnsi="Palatino Linotype"/>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B11C03">
        <w:rPr>
          <w:rFonts w:ascii="Palatino Linotype" w:eastAsia="Calibri" w:hAnsi="Palatino Linotype"/>
          <w:i/>
        </w:rPr>
        <w:t>litis</w:t>
      </w:r>
      <w:r w:rsidRPr="00B11C03">
        <w:rPr>
          <w:rFonts w:ascii="Palatino Linotype" w:eastAsia="Calibri" w:hAnsi="Palatino Linotype"/>
        </w:rPr>
        <w:t xml:space="preserve"> planteada, debido a que la afectación en su esfera de derechos fue restituida por la propia autoridad que emitió el acto motivo de impugnación.</w:t>
      </w:r>
    </w:p>
    <w:p w:rsidR="00696FA3" w:rsidRPr="00B11C03" w:rsidRDefault="00696FA3" w:rsidP="00C511E3">
      <w:pPr>
        <w:jc w:val="both"/>
        <w:rPr>
          <w:rFonts w:ascii="Palatino Linotype" w:eastAsia="Palatino Linotype" w:hAnsi="Palatino Linotype" w:cs="Palatino Linotype"/>
          <w:b/>
        </w:rPr>
      </w:pPr>
    </w:p>
    <w:p w:rsidR="00696FA3" w:rsidRPr="00B11C03" w:rsidRDefault="00696FA3" w:rsidP="00C511E3">
      <w:pPr>
        <w:numPr>
          <w:ilvl w:val="0"/>
          <w:numId w:val="1"/>
        </w:numPr>
        <w:spacing w:line="360" w:lineRule="auto"/>
        <w:ind w:left="0" w:firstLine="0"/>
        <w:jc w:val="both"/>
        <w:rPr>
          <w:rFonts w:ascii="Palatino Linotype" w:eastAsia="Palatino Linotype" w:hAnsi="Palatino Linotype" w:cs="Palatino Linotype"/>
          <w:b/>
        </w:rPr>
      </w:pPr>
      <w:r w:rsidRPr="00B11C03">
        <w:rPr>
          <w:rFonts w:ascii="Palatino Linotype" w:hAnsi="Palatino Linotype" w:cs="Arial"/>
          <w:color w:val="000000" w:themeColor="text1"/>
          <w:lang w:val="es-ES_tradnl"/>
        </w:rPr>
        <w:t xml:space="preserve">Sirve </w:t>
      </w:r>
      <w:r w:rsidRPr="00B11C03">
        <w:rPr>
          <w:rFonts w:ascii="Palatino Linotype" w:eastAsia="Calibri" w:hAnsi="Palatino Linotype"/>
        </w:rPr>
        <w:t>de sustento a lo anterior la siguiente jurisprudencia por contradicción, cuyo rubro, texto y datos de identificación son los siguientes:</w:t>
      </w:r>
    </w:p>
    <w:p w:rsidR="00696FA3" w:rsidRPr="00B11C03" w:rsidRDefault="00696FA3" w:rsidP="00C511E3">
      <w:pPr>
        <w:jc w:val="both"/>
        <w:rPr>
          <w:rFonts w:ascii="Palatino Linotype" w:hAnsi="Palatino Linotype" w:cs="Arial"/>
          <w:color w:val="000000" w:themeColor="text1"/>
          <w:lang w:val="es-ES_tradnl"/>
        </w:rPr>
      </w:pPr>
    </w:p>
    <w:p w:rsidR="00696FA3" w:rsidRPr="00B11C03" w:rsidRDefault="00696FA3" w:rsidP="00C511E3">
      <w:pPr>
        <w:ind w:left="567"/>
        <w:jc w:val="both"/>
        <w:rPr>
          <w:rFonts w:ascii="Palatino Linotype" w:eastAsia="Palatino Linotype" w:hAnsi="Palatino Linotype" w:cs="Palatino Linotype"/>
          <w:b/>
        </w:rPr>
      </w:pPr>
      <w:r w:rsidRPr="00B11C03">
        <w:rPr>
          <w:rFonts w:ascii="Palatino Linotype" w:eastAsia="Calibri" w:hAnsi="Palatino Linotype"/>
          <w:b/>
          <w:i/>
        </w:rPr>
        <w:t xml:space="preserve">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w:t>
      </w:r>
      <w:r w:rsidRPr="00B11C03">
        <w:rPr>
          <w:rFonts w:ascii="Palatino Linotype" w:eastAsia="Calibri" w:hAnsi="Palatino Linotype"/>
          <w:b/>
          <w:i/>
        </w:rPr>
        <w:lastRenderedPageBreak/>
        <w:t>PARA AMPLIAR SU DEMANDA INICIAL, PROMOVER OTRO JUICIO DE AMPARO O EL MEDIO ORDINARIO DE DEFENSA QUE PROCEDA.</w:t>
      </w:r>
      <w:r w:rsidRPr="00B11C03">
        <w:rPr>
          <w:rFonts w:ascii="Palatino Linotype" w:eastAsia="Calibri" w:hAnsi="Palatino Linotype"/>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696FA3" w:rsidRPr="00B11C03" w:rsidRDefault="00696FA3" w:rsidP="00C511E3">
      <w:pPr>
        <w:rPr>
          <w:rFonts w:ascii="Palatino Linotype" w:hAnsi="Palatino Linotype" w:cs="Arial"/>
          <w:color w:val="000000" w:themeColor="text1"/>
          <w:lang w:val="es-ES_tradnl"/>
        </w:rPr>
      </w:pPr>
    </w:p>
    <w:p w:rsidR="00696FA3" w:rsidRPr="00B11C03" w:rsidRDefault="00696FA3" w:rsidP="00C511E3">
      <w:pPr>
        <w:numPr>
          <w:ilvl w:val="0"/>
          <w:numId w:val="1"/>
        </w:numPr>
        <w:spacing w:line="360" w:lineRule="auto"/>
        <w:ind w:left="0" w:firstLine="0"/>
        <w:jc w:val="both"/>
        <w:rPr>
          <w:rFonts w:ascii="Palatino Linotype" w:eastAsia="Palatino Linotype" w:hAnsi="Palatino Linotype" w:cs="Palatino Linotype"/>
          <w:b/>
        </w:rPr>
      </w:pPr>
      <w:r w:rsidRPr="00B11C03">
        <w:rPr>
          <w:rFonts w:ascii="Palatino Linotype" w:hAnsi="Palatino Linotype" w:cs="Arial"/>
          <w:color w:val="000000" w:themeColor="text1"/>
          <w:lang w:val="es-ES_tradnl"/>
        </w:rPr>
        <w:t xml:space="preserve">La </w:t>
      </w:r>
      <w:r w:rsidRPr="00B11C03">
        <w:rPr>
          <w:rFonts w:ascii="Palatino Linotype" w:eastAsia="Calibri" w:hAnsi="Palatino Linotype"/>
        </w:rPr>
        <w:t>anterior jurisprudencia resulta aplicable al presente asunto, en dos aspectos:</w:t>
      </w:r>
    </w:p>
    <w:p w:rsidR="00696FA3" w:rsidRPr="00B11C03" w:rsidRDefault="00696FA3" w:rsidP="00C511E3">
      <w:pPr>
        <w:jc w:val="both"/>
        <w:rPr>
          <w:rFonts w:ascii="Palatino Linotype" w:eastAsia="Palatino Linotype" w:hAnsi="Palatino Linotype" w:cs="Palatino Linotype"/>
          <w:b/>
        </w:rPr>
      </w:pPr>
    </w:p>
    <w:p w:rsidR="00696FA3" w:rsidRPr="00B11C03" w:rsidRDefault="00696FA3" w:rsidP="00C511E3">
      <w:pPr>
        <w:numPr>
          <w:ilvl w:val="0"/>
          <w:numId w:val="33"/>
        </w:numPr>
        <w:ind w:left="567" w:firstLine="0"/>
        <w:contextualSpacing/>
        <w:jc w:val="both"/>
        <w:rPr>
          <w:rFonts w:ascii="Palatino Linotype" w:eastAsia="Calibri" w:hAnsi="Palatino Linotype"/>
        </w:rPr>
      </w:pPr>
      <w:r w:rsidRPr="00B11C03">
        <w:rPr>
          <w:rFonts w:ascii="Palatino Linotype" w:eastAsia="Calibri" w:hAnsi="Palatino Linotype"/>
          <w:b/>
        </w:rPr>
        <w:t>La cesación de los efectos perniciosos del acto de autoridad:</w:t>
      </w:r>
      <w:r w:rsidRPr="00B11C03">
        <w:rPr>
          <w:rFonts w:ascii="Palatino Linotype" w:eastAsia="Calibri" w:hAnsi="Palatino Linotype"/>
        </w:rPr>
        <w:t xml:space="preserve"> Al respecto, la Ley de Transparencia contempla la figura jurídica del sobreseimiento cuando el </w:t>
      </w:r>
      <w:r w:rsidRPr="00B11C03">
        <w:rPr>
          <w:rFonts w:ascii="Palatino Linotype" w:eastAsia="Calibri" w:hAnsi="Palatino Linotype"/>
          <w:b/>
        </w:rPr>
        <w:t>SUJETO OBLIGADO</w:t>
      </w:r>
      <w:r w:rsidRPr="00B11C03">
        <w:rPr>
          <w:rFonts w:ascii="Palatino Linotype" w:eastAsia="Calibri" w:hAnsi="Palatino Linotype"/>
        </w:rPr>
        <w:t xml:space="preserve"> de </w:t>
      </w:r>
      <w:r w:rsidRPr="00B11C03">
        <w:rPr>
          <w:rFonts w:ascii="Palatino Linotype" w:eastAsia="Calibri" w:hAnsi="Palatino Linotype"/>
          <w:i/>
        </w:rPr>
        <w:t>motu proprio</w:t>
      </w:r>
      <w:r w:rsidRPr="00B11C03">
        <w:rPr>
          <w:rFonts w:ascii="Palatino Linotype" w:eastAsia="Calibri" w:hAnsi="Palatino Linotype"/>
        </w:rPr>
        <w:t xml:space="preserve"> modifica o revoca de tal manera el acto motivo de la impugnación que lo deja sin materia; es decir, cesan los efectos de éste y el derecho de acceso a la información pública se encuentra satisfecho.</w:t>
      </w:r>
    </w:p>
    <w:p w:rsidR="00696FA3" w:rsidRPr="00B11C03" w:rsidRDefault="00696FA3" w:rsidP="00C511E3">
      <w:pPr>
        <w:ind w:left="567"/>
        <w:contextualSpacing/>
        <w:rPr>
          <w:rFonts w:ascii="Palatino Linotype" w:eastAsia="Calibri" w:hAnsi="Palatino Linotype"/>
        </w:rPr>
      </w:pPr>
    </w:p>
    <w:p w:rsidR="00696FA3" w:rsidRPr="00B11C03" w:rsidRDefault="00696FA3" w:rsidP="00C511E3">
      <w:pPr>
        <w:numPr>
          <w:ilvl w:val="0"/>
          <w:numId w:val="33"/>
        </w:numPr>
        <w:ind w:left="567" w:firstLine="0"/>
        <w:contextualSpacing/>
        <w:jc w:val="both"/>
        <w:rPr>
          <w:rFonts w:ascii="Palatino Linotype" w:eastAsia="Calibri" w:hAnsi="Palatino Linotype"/>
        </w:rPr>
      </w:pPr>
      <w:r w:rsidRPr="00B11C03">
        <w:rPr>
          <w:rFonts w:ascii="Palatino Linotype" w:eastAsia="Calibri" w:hAnsi="Palatino Linotype"/>
          <w:b/>
        </w:rPr>
        <w:t>El momento procesal para modificar el acto impugnado:</w:t>
      </w:r>
      <w:r w:rsidRPr="00B11C03">
        <w:rPr>
          <w:rFonts w:ascii="Palatino Linotype" w:eastAsia="Calibri" w:hAnsi="Palatino Linotype"/>
        </w:rPr>
        <w:t xml:space="preserve"> Para que se actualice el sobreseimiento de un recurso de revisión, el </w:t>
      </w:r>
      <w:r w:rsidRPr="00B11C03">
        <w:rPr>
          <w:rFonts w:ascii="Palatino Linotype" w:eastAsia="Calibri" w:hAnsi="Palatino Linotype"/>
          <w:b/>
        </w:rPr>
        <w:t>SUJETO OBLIGADO</w:t>
      </w:r>
      <w:r w:rsidRPr="00B11C03">
        <w:rPr>
          <w:rFonts w:ascii="Palatino Linotype" w:eastAsia="Calibri" w:hAnsi="Palatino Linotype"/>
        </w:rPr>
        <w:t xml:space="preserve"> puede entregar o completar la información al momento de rendir su informe de justificación o </w:t>
      </w:r>
      <w:r w:rsidRPr="00B11C03">
        <w:rPr>
          <w:rFonts w:ascii="Palatino Linotype" w:eastAsia="Calibri" w:hAnsi="Palatino Linotype"/>
          <w:b/>
          <w:u w:val="single"/>
        </w:rPr>
        <w:t>posteriormente</w:t>
      </w:r>
      <w:r w:rsidRPr="00B11C03">
        <w:rPr>
          <w:rFonts w:ascii="Palatino Linotype" w:eastAsia="Calibri" w:hAnsi="Palatino Linotype"/>
        </w:rPr>
        <w:t xml:space="preserve"> a éste, siempre y cuando el Pleno del Instituto no haya dictado resolución definitiva.</w:t>
      </w:r>
    </w:p>
    <w:p w:rsidR="00696FA3" w:rsidRPr="00B11C03" w:rsidRDefault="00696FA3" w:rsidP="00C511E3">
      <w:pPr>
        <w:jc w:val="both"/>
        <w:rPr>
          <w:rFonts w:ascii="Palatino Linotype" w:eastAsia="Palatino Linotype" w:hAnsi="Palatino Linotype" w:cs="Palatino Linotype"/>
          <w:b/>
        </w:rPr>
      </w:pPr>
    </w:p>
    <w:p w:rsidR="00696FA3" w:rsidRPr="00B11C03" w:rsidRDefault="00696FA3" w:rsidP="00C511E3">
      <w:pPr>
        <w:numPr>
          <w:ilvl w:val="0"/>
          <w:numId w:val="1"/>
        </w:numPr>
        <w:spacing w:line="360" w:lineRule="auto"/>
        <w:ind w:left="0" w:firstLine="0"/>
        <w:jc w:val="both"/>
        <w:rPr>
          <w:rFonts w:ascii="Palatino Linotype" w:eastAsia="Palatino Linotype" w:hAnsi="Palatino Linotype" w:cs="Palatino Linotype"/>
          <w:b/>
        </w:rPr>
      </w:pPr>
      <w:r w:rsidRPr="00B11C03">
        <w:rPr>
          <w:rFonts w:ascii="Palatino Linotype" w:hAnsi="Palatino Linotype" w:cs="Arial"/>
          <w:color w:val="000000" w:themeColor="text1"/>
          <w:lang w:val="es-ES_tradnl"/>
        </w:rPr>
        <w:t xml:space="preserve">Eduardo </w:t>
      </w:r>
      <w:r w:rsidRPr="00B11C03">
        <w:rPr>
          <w:rFonts w:ascii="Palatino Linotype" w:eastAsia="Calibri" w:hAnsi="Palatino Linotype" w:cs="Arial"/>
          <w:color w:val="000000" w:themeColor="text1"/>
        </w:rPr>
        <w:t xml:space="preserve">Pallares, </w:t>
      </w:r>
      <w:r w:rsidRPr="00B11C03">
        <w:rPr>
          <w:rFonts w:ascii="Palatino Linotype" w:eastAsia="Calibri" w:hAnsi="Palatino Linotype"/>
        </w:rPr>
        <w:t xml:space="preserve">en su artículo </w:t>
      </w:r>
      <w:r w:rsidRPr="00B11C03">
        <w:rPr>
          <w:rFonts w:ascii="Palatino Linotype" w:eastAsia="Calibri" w:hAnsi="Palatino Linotype"/>
          <w:i/>
        </w:rPr>
        <w:t>“La caducidad y el sobreseimiento en el amparo”</w:t>
      </w:r>
      <w:r w:rsidRPr="00B11C03">
        <w:rPr>
          <w:rFonts w:ascii="Palatino Linotype" w:eastAsia="Calibri" w:hAnsi="Palatino Linotype"/>
        </w:rPr>
        <w:t xml:space="preserve">, cita la definición de Aguilera Paz, aduciendo que se </w:t>
      </w:r>
      <w:r w:rsidRPr="00B11C03">
        <w:rPr>
          <w:rFonts w:ascii="Palatino Linotype" w:eastAsia="Calibri" w:hAnsi="Palatino Linotype"/>
          <w:i/>
        </w:rPr>
        <w:t xml:space="preserve">“...entiende por sobreseimiento en el tecnicismo forense, el hecho de cesar en el procedimiento o curso de la causa, por no existir méritos bastantes para entrar en un juicio o para entablar la contienda judicial que debe ser objeto del </w:t>
      </w:r>
      <w:r w:rsidRPr="00B11C03">
        <w:rPr>
          <w:rFonts w:ascii="Palatino Linotype" w:eastAsia="Calibri" w:hAnsi="Palatino Linotype"/>
          <w:i/>
        </w:rPr>
        <w:lastRenderedPageBreak/>
        <w:t>mismo...”</w:t>
      </w:r>
      <w:r w:rsidRPr="00B11C03">
        <w:rPr>
          <w:rFonts w:ascii="Palatino Linotype" w:eastAsia="Calibri" w:hAnsi="Palatino Linotype"/>
        </w:rPr>
        <w:t>. Asimismo, señala que existe el sobreseimiento provisional y el definitivo</w:t>
      </w:r>
      <w:r w:rsidRPr="00B11C03">
        <w:rPr>
          <w:rFonts w:ascii="Palatino Linotype" w:eastAsia="Calibri" w:hAnsi="Palatino Linotype"/>
          <w:i/>
        </w:rPr>
        <w:t>: “...el definitivo es una verdadera sentencia que pone fin al juicio, y que una vez dictada, produce cosa juzgada, mientras que el provisorio tiene por efectos suspender la prosecución de la causa...”</w:t>
      </w:r>
    </w:p>
    <w:p w:rsidR="00696FA3" w:rsidRPr="00B11C03" w:rsidRDefault="00696FA3" w:rsidP="00C511E3">
      <w:pPr>
        <w:jc w:val="both"/>
        <w:rPr>
          <w:rFonts w:ascii="Palatino Linotype" w:eastAsia="Palatino Linotype" w:hAnsi="Palatino Linotype" w:cs="Palatino Linotype"/>
          <w:b/>
        </w:rPr>
      </w:pPr>
    </w:p>
    <w:p w:rsidR="004414BC" w:rsidRPr="00B11C03" w:rsidRDefault="00696FA3" w:rsidP="00C511E3">
      <w:pPr>
        <w:numPr>
          <w:ilvl w:val="0"/>
          <w:numId w:val="1"/>
        </w:numPr>
        <w:spacing w:line="360" w:lineRule="auto"/>
        <w:ind w:left="0" w:firstLine="0"/>
        <w:jc w:val="both"/>
        <w:rPr>
          <w:rFonts w:ascii="Palatino Linotype" w:eastAsia="Palatino Linotype" w:hAnsi="Palatino Linotype" w:cs="Palatino Linotype"/>
          <w:b/>
        </w:rPr>
      </w:pPr>
      <w:r w:rsidRPr="00B11C03">
        <w:rPr>
          <w:rFonts w:ascii="Palatino Linotype" w:hAnsi="Palatino Linotype" w:cs="Arial"/>
          <w:color w:val="000000" w:themeColor="text1"/>
          <w:lang w:val="es-ES_tradnl"/>
        </w:rPr>
        <w:t xml:space="preserve">Así, </w:t>
      </w:r>
      <w:r w:rsidRPr="00B11C03">
        <w:rPr>
          <w:rFonts w:ascii="Palatino Linotype" w:eastAsia="Calibri" w:hAnsi="Palatino Linotype"/>
        </w:rPr>
        <w:t xml:space="preserve">para la doctrina el sobreseimiento provoca que un procedimiento se suspenda o se resuelva en definitiva </w:t>
      </w:r>
      <w:r w:rsidRPr="00B11C03">
        <w:rPr>
          <w:rFonts w:ascii="Palatino Linotype" w:eastAsia="Calibri" w:hAnsi="Palatino Linotype"/>
          <w:b/>
        </w:rPr>
        <w:t>sin que se entre al estudio de los agravios o motivos de inconformidad.</w:t>
      </w:r>
    </w:p>
    <w:p w:rsidR="004414BC" w:rsidRPr="00B11C03" w:rsidRDefault="004414BC" w:rsidP="00C511E3">
      <w:pPr>
        <w:pStyle w:val="Prrafodelista"/>
        <w:rPr>
          <w:rFonts w:ascii="Palatino Linotype" w:eastAsia="Calibri" w:hAnsi="Palatino Linotype"/>
          <w:sz w:val="24"/>
        </w:rPr>
      </w:pPr>
    </w:p>
    <w:p w:rsidR="00696FA3" w:rsidRPr="00B11C03" w:rsidRDefault="00696FA3" w:rsidP="00C511E3">
      <w:pPr>
        <w:numPr>
          <w:ilvl w:val="0"/>
          <w:numId w:val="1"/>
        </w:numPr>
        <w:spacing w:line="360" w:lineRule="auto"/>
        <w:ind w:left="0" w:firstLine="0"/>
        <w:jc w:val="both"/>
        <w:rPr>
          <w:rFonts w:ascii="Palatino Linotype" w:eastAsia="Palatino Linotype" w:hAnsi="Palatino Linotype" w:cs="Palatino Linotype"/>
          <w:b/>
        </w:rPr>
      </w:pPr>
      <w:r w:rsidRPr="00B11C03">
        <w:rPr>
          <w:rFonts w:ascii="Palatino Linotype" w:eastAsia="Calibri" w:hAnsi="Palatino Linotype"/>
        </w:rPr>
        <w:t>Este mismo criterio es compartido por el más alto tribunal del país en múltiples jurisprudencias, por lo que a continuación se agrega una de ellas que sirve como orientador en esta resolución:</w:t>
      </w:r>
    </w:p>
    <w:p w:rsidR="00696FA3" w:rsidRPr="00B11C03" w:rsidRDefault="00696FA3" w:rsidP="00C511E3">
      <w:pPr>
        <w:spacing w:after="160"/>
        <w:contextualSpacing/>
        <w:jc w:val="both"/>
        <w:rPr>
          <w:rFonts w:ascii="Palatino Linotype" w:hAnsi="Palatino Linotype" w:cs="Arial"/>
          <w:color w:val="000000" w:themeColor="text1"/>
          <w:lang w:val="es-ES_tradnl"/>
        </w:rPr>
      </w:pPr>
    </w:p>
    <w:p w:rsidR="00696FA3" w:rsidRPr="00B11C03" w:rsidRDefault="00696FA3" w:rsidP="00C511E3">
      <w:pPr>
        <w:ind w:left="567"/>
        <w:contextualSpacing/>
        <w:jc w:val="both"/>
        <w:rPr>
          <w:rFonts w:ascii="Palatino Linotype" w:eastAsia="Calibri" w:hAnsi="Palatino Linotype"/>
          <w:i/>
          <w:lang w:val="es-AR"/>
        </w:rPr>
      </w:pPr>
      <w:r w:rsidRPr="00B11C03">
        <w:rPr>
          <w:rFonts w:ascii="Palatino Linotype" w:eastAsia="Calibri" w:hAnsi="Palatino Linotype"/>
          <w:b/>
          <w:i/>
          <w:lang w:val="es-AR"/>
        </w:rPr>
        <w:t>SOBRESEIMIENTO EN EL JUICIO DE AMPARO DIRECTO. IMPIDE EL ESTUDIO DE LAS VIOLACIONES PROCESALES PLANTEADAS EN LOS CONCEPTOS DE VIOLACIÓN. El sobreseimiento</w:t>
      </w:r>
      <w:r w:rsidRPr="00B11C03">
        <w:rPr>
          <w:rFonts w:ascii="Palatino Linotype" w:eastAsia="Calibri" w:hAnsi="Palatino Linotype"/>
          <w:i/>
          <w:lang w:val="es-AR"/>
        </w:rPr>
        <w:t xml:space="preserve"> en el juicio de amparo directo </w:t>
      </w:r>
      <w:r w:rsidRPr="00B11C03">
        <w:rPr>
          <w:rFonts w:ascii="Palatino Linotype" w:eastAsia="Calibri" w:hAnsi="Palatino Linotype"/>
          <w:b/>
          <w:i/>
          <w:lang w:val="es-AR"/>
        </w:rPr>
        <w:t>provoca la terminación de la controversia planteada</w:t>
      </w:r>
      <w:r w:rsidRPr="00B11C03">
        <w:rPr>
          <w:rFonts w:ascii="Palatino Linotype" w:eastAsia="Calibri" w:hAnsi="Palatino Linotype"/>
          <w:i/>
          <w:lang w:val="es-AR"/>
        </w:rPr>
        <w:t xml:space="preserve"> por el quejoso en la demanda de amparo</w:t>
      </w:r>
      <w:r w:rsidRPr="00B11C03">
        <w:rPr>
          <w:rFonts w:ascii="Palatino Linotype" w:eastAsia="Calibri" w:hAnsi="Palatino Linotype"/>
          <w:b/>
          <w:i/>
          <w:lang w:val="es-AR"/>
        </w:rPr>
        <w:t>, sin hacer un pronunciamiento de fondo sobre la legalidad o ilegalidad de la sentencia reclamada</w:t>
      </w:r>
      <w:r w:rsidRPr="00B11C03">
        <w:rPr>
          <w:rFonts w:ascii="Palatino Linotype" w:eastAsia="Calibri" w:hAnsi="Palatino Linotype"/>
          <w:i/>
          <w:lang w:val="es-AR"/>
        </w:rPr>
        <w:t xml:space="preserve">. </w:t>
      </w:r>
      <w:r w:rsidRPr="00B11C03">
        <w:rPr>
          <w:rFonts w:ascii="Palatino Linotype" w:eastAsia="Calibri" w:hAnsi="Palatino Linotype"/>
          <w:b/>
          <w:i/>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B11C03">
        <w:rPr>
          <w:rFonts w:ascii="Palatino Linotype" w:eastAsia="Calibri" w:hAnsi="Palatino Linotype"/>
          <w:i/>
          <w:lang w:val="es-AR"/>
        </w:rPr>
        <w:t>.</w:t>
      </w:r>
    </w:p>
    <w:p w:rsidR="00696FA3" w:rsidRPr="00B11C03" w:rsidRDefault="00696FA3" w:rsidP="00C511E3">
      <w:pPr>
        <w:ind w:left="567"/>
        <w:contextualSpacing/>
        <w:jc w:val="both"/>
        <w:rPr>
          <w:rFonts w:ascii="Palatino Linotype" w:eastAsia="Calibri" w:hAnsi="Palatino Linotype"/>
          <w:i/>
          <w:lang w:val="es-AR"/>
        </w:rPr>
      </w:pPr>
      <w:r w:rsidRPr="00B11C03">
        <w:rPr>
          <w:rFonts w:ascii="Palatino Linotype" w:eastAsia="Calibri" w:hAnsi="Palatino Linotype"/>
          <w:i/>
          <w:lang w:val="es-AR"/>
        </w:rPr>
        <w:t>SÉPTIMO TRIBUNAL COLEGIADO EN MATERIA CIVIL DEL PRIMER CIRCUITO.</w:t>
      </w:r>
    </w:p>
    <w:p w:rsidR="00696FA3" w:rsidRPr="00B11C03" w:rsidRDefault="00696FA3" w:rsidP="00C511E3">
      <w:pPr>
        <w:ind w:left="567"/>
        <w:contextualSpacing/>
        <w:jc w:val="both"/>
        <w:rPr>
          <w:rFonts w:ascii="Palatino Linotype" w:eastAsia="Calibri" w:hAnsi="Palatino Linotype"/>
          <w:b/>
          <w:i/>
          <w:lang w:val="es-AR"/>
        </w:rPr>
      </w:pPr>
      <w:r w:rsidRPr="00B11C03">
        <w:rPr>
          <w:rFonts w:ascii="Palatino Linotype" w:eastAsia="Calibri" w:hAnsi="Palatino Linotype"/>
          <w:i/>
          <w:lang w:val="es-AR"/>
        </w:rPr>
        <w:t>Amparo directo 699/2008. Mariana Leticia González Steele. 13 de noviembre de 2008. Unanimidad de votos. Ponente: Sara Judith Montalvo Trejo. Secretario: Arnulfo Mateos García.</w:t>
      </w:r>
    </w:p>
    <w:p w:rsidR="00696FA3" w:rsidRPr="00B11C03" w:rsidRDefault="00696FA3" w:rsidP="00C511E3">
      <w:pPr>
        <w:jc w:val="both"/>
        <w:rPr>
          <w:rFonts w:ascii="Palatino Linotype" w:eastAsia="Palatino Linotype" w:hAnsi="Palatino Linotype" w:cs="Palatino Linotype"/>
          <w:b/>
        </w:rPr>
      </w:pPr>
    </w:p>
    <w:p w:rsidR="00696FA3" w:rsidRPr="00B11C03" w:rsidRDefault="00696FA3" w:rsidP="00C511E3">
      <w:pPr>
        <w:numPr>
          <w:ilvl w:val="0"/>
          <w:numId w:val="1"/>
        </w:numPr>
        <w:spacing w:line="360" w:lineRule="auto"/>
        <w:ind w:left="0" w:firstLine="0"/>
        <w:jc w:val="both"/>
        <w:rPr>
          <w:rFonts w:ascii="Palatino Linotype" w:eastAsia="Palatino Linotype" w:hAnsi="Palatino Linotype" w:cs="Palatino Linotype"/>
          <w:b/>
        </w:rPr>
      </w:pPr>
      <w:r w:rsidRPr="00B11C03">
        <w:rPr>
          <w:rFonts w:ascii="Palatino Linotype" w:hAnsi="Palatino Linotype" w:cs="Arial"/>
          <w:color w:val="000000" w:themeColor="text1"/>
          <w:lang w:val="es-ES_tradnl"/>
        </w:rPr>
        <w:t xml:space="preserve">Consecuentemente, </w:t>
      </w:r>
      <w:r w:rsidRPr="00B11C03">
        <w:rPr>
          <w:rFonts w:ascii="Palatino Linotype" w:eastAsia="Calibri" w:hAnsi="Palatino Linotype"/>
        </w:rPr>
        <w:t xml:space="preserve">por lo que hace a los motivos de inconformidad, los mismos devienen inatendibles por actualizarse la figura del sobreseimiento, misma que impide el </w:t>
      </w:r>
      <w:r w:rsidRPr="00B11C03">
        <w:rPr>
          <w:rFonts w:ascii="Palatino Linotype" w:eastAsia="Calibri" w:hAnsi="Palatino Linotype"/>
        </w:rPr>
        <w:lastRenderedPageBreak/>
        <w:t>estudio de los agravios planteados, máxime que se ha dado cumplimiento al derecho de acceso a la información.</w:t>
      </w:r>
    </w:p>
    <w:p w:rsidR="00696FA3" w:rsidRPr="00B11C03" w:rsidRDefault="00696FA3" w:rsidP="00C511E3">
      <w:pPr>
        <w:jc w:val="both"/>
        <w:rPr>
          <w:rFonts w:ascii="Palatino Linotype" w:eastAsia="Palatino Linotype" w:hAnsi="Palatino Linotype" w:cs="Palatino Linotype"/>
          <w:b/>
        </w:rPr>
      </w:pPr>
    </w:p>
    <w:p w:rsidR="00696FA3" w:rsidRPr="00B11C03" w:rsidRDefault="00696FA3" w:rsidP="00C511E3">
      <w:pPr>
        <w:numPr>
          <w:ilvl w:val="0"/>
          <w:numId w:val="1"/>
        </w:numPr>
        <w:spacing w:line="360" w:lineRule="auto"/>
        <w:ind w:left="0" w:firstLine="0"/>
        <w:jc w:val="both"/>
        <w:rPr>
          <w:rFonts w:ascii="Palatino Linotype" w:eastAsia="Palatino Linotype" w:hAnsi="Palatino Linotype" w:cs="Palatino Linotype"/>
          <w:b/>
        </w:rPr>
      </w:pPr>
      <w:r w:rsidRPr="00B11C03">
        <w:rPr>
          <w:rFonts w:ascii="Palatino Linotype" w:hAnsi="Palatino Linotype" w:cs="Arial"/>
          <w:color w:val="000000" w:themeColor="text1"/>
          <w:lang w:val="es-ES_tradnl"/>
        </w:rPr>
        <w:t xml:space="preserve">Bajo </w:t>
      </w:r>
      <w:r w:rsidRPr="00B11C03">
        <w:rPr>
          <w:rFonts w:ascii="Palatino Linotype" w:eastAsia="Calibri" w:hAnsi="Palatino Linotype"/>
          <w:lang w:val="es-CO"/>
        </w:rPr>
        <w:t xml:space="preserve">ese tenor y en términos del artículo 186 fracción I este Pleno determina el </w:t>
      </w:r>
      <w:r w:rsidRPr="00B11C03">
        <w:rPr>
          <w:rFonts w:ascii="Palatino Linotype" w:eastAsia="Calibri" w:hAnsi="Palatino Linotype"/>
          <w:b/>
          <w:lang w:val="es-CO"/>
        </w:rPr>
        <w:t xml:space="preserve">SOBRESEIMIENTO </w:t>
      </w:r>
      <w:r w:rsidRPr="00B11C03">
        <w:rPr>
          <w:rFonts w:ascii="Palatino Linotype" w:eastAsia="Calibri" w:hAnsi="Palatino Linotype"/>
          <w:lang w:val="es-CO"/>
        </w:rPr>
        <w:t>del presente recurso de revisión, toda vez que la afectación al derecho de acceso a la información pública establecido constitucionalmente a favor del Particular ha sido resarcida</w:t>
      </w:r>
    </w:p>
    <w:p w:rsidR="00696FA3" w:rsidRPr="00B11C03" w:rsidRDefault="00696FA3" w:rsidP="00C511E3">
      <w:pPr>
        <w:jc w:val="both"/>
        <w:rPr>
          <w:rFonts w:ascii="Palatino Linotype" w:eastAsia="Palatino Linotype" w:hAnsi="Palatino Linotype" w:cs="Palatino Linotype"/>
          <w:b/>
        </w:rPr>
      </w:pPr>
    </w:p>
    <w:p w:rsidR="00E94D86" w:rsidRPr="00B11C03" w:rsidRDefault="001E3125" w:rsidP="00C511E3">
      <w:pPr>
        <w:numPr>
          <w:ilvl w:val="0"/>
          <w:numId w:val="1"/>
        </w:numPr>
        <w:spacing w:line="360" w:lineRule="auto"/>
        <w:ind w:left="0" w:firstLine="0"/>
        <w:jc w:val="both"/>
        <w:rPr>
          <w:rFonts w:ascii="Palatino Linotype" w:eastAsia="Palatino Linotype" w:hAnsi="Palatino Linotype" w:cs="Palatino Linotype"/>
          <w:b/>
        </w:rPr>
      </w:pPr>
      <w:r w:rsidRPr="00B11C03">
        <w:rPr>
          <w:rFonts w:ascii="Palatino Linotype" w:eastAsia="Palatino Linotype" w:hAnsi="Palatino Linotype" w:cs="Palatino Linotype"/>
          <w:color w:val="222222"/>
        </w:rPr>
        <w:t xml:space="preserve">Por lo anteriormente expuesto y fundado, este </w:t>
      </w:r>
      <w:r w:rsidRPr="00B11C03">
        <w:rPr>
          <w:rFonts w:ascii="Palatino Linotype" w:eastAsia="Palatino Linotype" w:hAnsi="Palatino Linotype" w:cs="Palatino Linotype"/>
          <w:b/>
          <w:color w:val="222222"/>
        </w:rPr>
        <w:t>ÓRGANO GARANTE</w:t>
      </w:r>
      <w:r w:rsidRPr="00B11C03">
        <w:rPr>
          <w:rFonts w:ascii="Palatino Linotype" w:eastAsia="Palatino Linotype" w:hAnsi="Palatino Linotype" w:cs="Palatino Linotype"/>
          <w:color w:val="222222"/>
        </w:rPr>
        <w:t xml:space="preserve"> emite los siguientes:</w:t>
      </w:r>
    </w:p>
    <w:p w:rsidR="00A30F8D" w:rsidRPr="00B11C03" w:rsidRDefault="00A30F8D" w:rsidP="00C511E3">
      <w:pPr>
        <w:jc w:val="both"/>
        <w:rPr>
          <w:rFonts w:ascii="Palatino Linotype" w:eastAsia="Palatino Linotype" w:hAnsi="Palatino Linotype" w:cs="Palatino Linotype"/>
          <w:b/>
        </w:rPr>
      </w:pPr>
    </w:p>
    <w:p w:rsidR="00E94D86" w:rsidRPr="00B11C03" w:rsidRDefault="001E3125" w:rsidP="00C511E3">
      <w:pPr>
        <w:keepNext/>
        <w:keepLines/>
        <w:spacing w:line="360" w:lineRule="auto"/>
        <w:jc w:val="center"/>
        <w:rPr>
          <w:rFonts w:ascii="Palatino Linotype" w:eastAsia="Palatino Linotype" w:hAnsi="Palatino Linotype" w:cs="Palatino Linotype"/>
          <w:b/>
          <w:color w:val="000000"/>
        </w:rPr>
      </w:pPr>
      <w:r w:rsidRPr="00B11C03">
        <w:rPr>
          <w:rFonts w:ascii="Palatino Linotype" w:eastAsia="Palatino Linotype" w:hAnsi="Palatino Linotype" w:cs="Palatino Linotype"/>
          <w:b/>
          <w:color w:val="000000"/>
        </w:rPr>
        <w:t>R E S O L U T I V O S</w:t>
      </w:r>
    </w:p>
    <w:p w:rsidR="00A30F8D" w:rsidRPr="00B11C03" w:rsidRDefault="00A30F8D" w:rsidP="00C511E3">
      <w:pPr>
        <w:keepNext/>
        <w:keepLines/>
        <w:rPr>
          <w:rFonts w:ascii="Palatino Linotype" w:eastAsia="Palatino Linotype" w:hAnsi="Palatino Linotype" w:cs="Palatino Linotype"/>
          <w:b/>
          <w:color w:val="000000"/>
        </w:rPr>
      </w:pPr>
    </w:p>
    <w:p w:rsidR="00A30F8D" w:rsidRPr="00B11C03" w:rsidRDefault="00A30F8D" w:rsidP="00C511E3">
      <w:pPr>
        <w:spacing w:line="360" w:lineRule="auto"/>
        <w:jc w:val="both"/>
        <w:rPr>
          <w:rFonts w:ascii="Palatino Linotype" w:hAnsi="Palatino Linotype" w:cs="Arial"/>
          <w:b/>
          <w:color w:val="000000" w:themeColor="text1"/>
          <w:lang w:val="es-ES_tradnl"/>
        </w:rPr>
      </w:pPr>
      <w:r w:rsidRPr="00B11C03">
        <w:rPr>
          <w:rFonts w:ascii="Palatino Linotype" w:hAnsi="Palatino Linotype" w:cs="Arial"/>
          <w:b/>
          <w:color w:val="000000" w:themeColor="text1"/>
          <w:lang w:val="es-ES_tradnl"/>
        </w:rPr>
        <w:t xml:space="preserve">PRIMERO. </w:t>
      </w:r>
      <w:r w:rsidRPr="00B11C03">
        <w:rPr>
          <w:rFonts w:ascii="Palatino Linotype" w:hAnsi="Palatino Linotype"/>
        </w:rPr>
        <w:t xml:space="preserve">Se </w:t>
      </w:r>
      <w:r w:rsidRPr="00B11C03">
        <w:rPr>
          <w:rFonts w:ascii="Palatino Linotype" w:hAnsi="Palatino Linotype"/>
          <w:b/>
        </w:rPr>
        <w:t>SOBRESEE</w:t>
      </w:r>
      <w:r w:rsidRPr="00B11C03">
        <w:rPr>
          <w:rFonts w:ascii="Palatino Linotype" w:hAnsi="Palatino Linotype"/>
        </w:rPr>
        <w:t xml:space="preserve"> el recurso de revisión número </w:t>
      </w:r>
      <w:r w:rsidR="00C511E3" w:rsidRPr="00B11C03">
        <w:rPr>
          <w:rFonts w:ascii="Palatino Linotype" w:hAnsi="Palatino Linotype"/>
          <w:b/>
        </w:rPr>
        <w:t>0</w:t>
      </w:r>
      <w:r w:rsidR="001A4969" w:rsidRPr="00B11C03">
        <w:rPr>
          <w:rFonts w:ascii="Palatino Linotype" w:hAnsi="Palatino Linotype"/>
          <w:b/>
        </w:rPr>
        <w:t>2178</w:t>
      </w:r>
      <w:r w:rsidR="00887213" w:rsidRPr="00B11C03">
        <w:rPr>
          <w:rFonts w:ascii="Palatino Linotype" w:hAnsi="Palatino Linotype"/>
          <w:b/>
        </w:rPr>
        <w:t>/INFOEM/IP/RR/2025</w:t>
      </w:r>
      <w:r w:rsidRPr="00B11C03">
        <w:rPr>
          <w:rFonts w:ascii="Palatino Linotype" w:hAnsi="Palatino Linotype"/>
          <w:b/>
        </w:rPr>
        <w:t xml:space="preserve"> </w:t>
      </w:r>
      <w:r w:rsidRPr="00B11C03">
        <w:rPr>
          <w:rFonts w:ascii="Palatino Linotype" w:hAnsi="Palatino Linotype"/>
          <w:bCs/>
        </w:rPr>
        <w:t>conforme al artículo 192 fracción III de la Ley de Transparencia y Acceso a la Información Pública del Estado de México y Municipios,</w:t>
      </w:r>
      <w:r w:rsidRPr="00B11C03">
        <w:rPr>
          <w:rFonts w:ascii="Palatino Linotype" w:hAnsi="Palatino Linotype"/>
        </w:rPr>
        <w:t xml:space="preserve"> porque al </w:t>
      </w:r>
      <w:r w:rsidRPr="00B11C03">
        <w:rPr>
          <w:rFonts w:ascii="Palatino Linotype" w:hAnsi="Palatino Linotype"/>
          <w:b/>
          <w:bCs/>
        </w:rPr>
        <w:t>modificar la respuesta a través del informe justificado y atender lo solicitado</w:t>
      </w:r>
      <w:r w:rsidRPr="00B11C03">
        <w:rPr>
          <w:rFonts w:ascii="Palatino Linotype" w:hAnsi="Palatino Linotype"/>
        </w:rPr>
        <w:t xml:space="preserve">, el recurso de revisión quedó sin materia en términos del Considerando </w:t>
      </w:r>
      <w:r w:rsidRPr="00B11C03">
        <w:rPr>
          <w:rFonts w:ascii="Palatino Linotype" w:hAnsi="Palatino Linotype"/>
          <w:b/>
        </w:rPr>
        <w:t>TERCERO</w:t>
      </w:r>
      <w:r w:rsidRPr="00B11C03">
        <w:rPr>
          <w:rFonts w:ascii="Palatino Linotype" w:hAnsi="Palatino Linotype"/>
        </w:rPr>
        <w:t xml:space="preserve"> de la presente resolución.</w:t>
      </w:r>
    </w:p>
    <w:p w:rsidR="00A30F8D" w:rsidRPr="00B11C03" w:rsidRDefault="00A30F8D" w:rsidP="00C511E3">
      <w:pPr>
        <w:spacing w:before="240" w:after="240" w:line="360" w:lineRule="auto"/>
        <w:jc w:val="both"/>
        <w:rPr>
          <w:rFonts w:ascii="Palatino Linotype" w:eastAsia="DengXian Light" w:hAnsi="Palatino Linotype"/>
          <w:color w:val="000000" w:themeColor="text1"/>
        </w:rPr>
      </w:pPr>
      <w:r w:rsidRPr="00B11C03">
        <w:rPr>
          <w:rFonts w:ascii="Palatino Linotype" w:hAnsi="Palatino Linotype"/>
          <w:b/>
          <w:color w:val="000000" w:themeColor="text1"/>
        </w:rPr>
        <w:t>SEGUNDO.</w:t>
      </w:r>
      <w:r w:rsidRPr="00B11C03">
        <w:rPr>
          <w:rFonts w:ascii="Palatino Linotype" w:eastAsia="DengXian Light" w:hAnsi="Palatino Linotype"/>
          <w:color w:val="000000" w:themeColor="text1"/>
        </w:rPr>
        <w:t xml:space="preserve"> </w:t>
      </w:r>
      <w:r w:rsidR="00C511E3" w:rsidRPr="00B11C03">
        <w:rPr>
          <w:rFonts w:ascii="Palatino Linotype" w:eastAsia="Calibri" w:hAnsi="Palatino Linotype" w:cs="Arial"/>
          <w:b/>
          <w:bCs/>
        </w:rPr>
        <w:t>NOTIFÍQUESE</w:t>
      </w:r>
      <w:r w:rsidRPr="00B11C03">
        <w:rPr>
          <w:rFonts w:ascii="Palatino Linotype" w:eastAsia="Calibri" w:hAnsi="Palatino Linotype" w:cs="Arial"/>
          <w:b/>
          <w:bCs/>
        </w:rPr>
        <w:t xml:space="preserve"> </w:t>
      </w:r>
      <w:r w:rsidRPr="00B11C03">
        <w:rPr>
          <w:rFonts w:ascii="Palatino Linotype" w:eastAsia="Calibri" w:hAnsi="Palatino Linotype" w:cs="Arial"/>
          <w:bCs/>
        </w:rPr>
        <w:t xml:space="preserve">a través del Sistema de Acceso a la Información Mexiquense </w:t>
      </w:r>
      <w:r w:rsidRPr="00B11C03">
        <w:rPr>
          <w:rFonts w:ascii="Palatino Linotype" w:eastAsia="Calibri" w:hAnsi="Palatino Linotype" w:cs="Arial"/>
          <w:b/>
          <w:bCs/>
        </w:rPr>
        <w:t xml:space="preserve">(SAIMEX) </w:t>
      </w:r>
      <w:r w:rsidRPr="00B11C03">
        <w:rPr>
          <w:rFonts w:ascii="Palatino Linotype" w:eastAsia="Calibri" w:hAnsi="Palatino Linotype" w:cs="Arial"/>
          <w:bCs/>
        </w:rPr>
        <w:t>la presente resolución al Titular de la Unidad de Transparencia del</w:t>
      </w:r>
      <w:r w:rsidRPr="00B11C03">
        <w:rPr>
          <w:rFonts w:ascii="Palatino Linotype" w:eastAsia="Calibri" w:hAnsi="Palatino Linotype" w:cs="Arial"/>
          <w:b/>
          <w:bCs/>
        </w:rPr>
        <w:t xml:space="preserve"> SUJETO OBLIGADO.</w:t>
      </w:r>
    </w:p>
    <w:p w:rsidR="00A30F8D" w:rsidRPr="00B11C03" w:rsidRDefault="00A30F8D" w:rsidP="00C511E3">
      <w:pPr>
        <w:shd w:val="clear" w:color="auto" w:fill="FFFFFF"/>
        <w:spacing w:before="240" w:line="360" w:lineRule="auto"/>
        <w:jc w:val="both"/>
        <w:rPr>
          <w:rFonts w:ascii="Palatino Linotype" w:hAnsi="Palatino Linotype" w:cs="Arial"/>
          <w:b/>
          <w:bCs/>
          <w:color w:val="000000" w:themeColor="text1"/>
          <w:lang w:val="es-ES_tradnl"/>
        </w:rPr>
      </w:pPr>
      <w:r w:rsidRPr="00B11C03">
        <w:rPr>
          <w:rFonts w:ascii="Palatino Linotype" w:hAnsi="Palatino Linotype" w:cs="Arial"/>
          <w:b/>
          <w:bCs/>
          <w:color w:val="000000" w:themeColor="text1"/>
          <w:lang w:val="es-ES_tradnl"/>
        </w:rPr>
        <w:t xml:space="preserve">TERCERO. </w:t>
      </w:r>
      <w:r w:rsidRPr="00B11C03">
        <w:rPr>
          <w:rFonts w:ascii="Palatino Linotype" w:hAnsi="Palatino Linotype"/>
          <w:b/>
          <w:bCs/>
        </w:rPr>
        <w:t xml:space="preserve">Notifíquese </w:t>
      </w:r>
      <w:r w:rsidRPr="00B11C03">
        <w:rPr>
          <w:rFonts w:ascii="Palatino Linotype" w:hAnsi="Palatino Linotype"/>
          <w:bCs/>
        </w:rPr>
        <w:t xml:space="preserve">al </w:t>
      </w:r>
      <w:r w:rsidRPr="00B11C03">
        <w:rPr>
          <w:rFonts w:ascii="Palatino Linotype" w:hAnsi="Palatino Linotype"/>
          <w:b/>
          <w:bCs/>
        </w:rPr>
        <w:t>RECURRENTE</w:t>
      </w:r>
      <w:r w:rsidRPr="00B11C03">
        <w:rPr>
          <w:rFonts w:ascii="Palatino Linotype" w:hAnsi="Palatino Linotype"/>
        </w:rPr>
        <w:t xml:space="preserve"> la presente resolución </w:t>
      </w:r>
      <w:r w:rsidRPr="00B11C03">
        <w:rPr>
          <w:rFonts w:ascii="Palatino Linotype" w:eastAsia="Calibri" w:hAnsi="Palatino Linotype" w:cs="Arial"/>
          <w:bCs/>
        </w:rPr>
        <w:t xml:space="preserve">a través del Sistema de Acceso a la Información Mexiquense </w:t>
      </w:r>
      <w:r w:rsidRPr="00B11C03">
        <w:rPr>
          <w:rFonts w:ascii="Palatino Linotype" w:eastAsia="Calibri" w:hAnsi="Palatino Linotype" w:cs="Arial"/>
          <w:b/>
          <w:bCs/>
        </w:rPr>
        <w:t>(SAIMEX).</w:t>
      </w:r>
    </w:p>
    <w:p w:rsidR="00887213" w:rsidRPr="00B11C03" w:rsidRDefault="00887213" w:rsidP="00C511E3">
      <w:pPr>
        <w:shd w:val="clear" w:color="auto" w:fill="FFFFFF"/>
        <w:spacing w:before="240"/>
        <w:jc w:val="both"/>
        <w:rPr>
          <w:rFonts w:ascii="Palatino Linotype" w:hAnsi="Palatino Linotype" w:cs="Arial"/>
          <w:b/>
          <w:bCs/>
          <w:color w:val="000000" w:themeColor="text1"/>
          <w:lang w:val="es-ES_tradnl"/>
        </w:rPr>
      </w:pPr>
    </w:p>
    <w:p w:rsidR="00F46C8E" w:rsidRPr="00B11C03" w:rsidRDefault="00A30F8D" w:rsidP="00C511E3">
      <w:pPr>
        <w:spacing w:line="360" w:lineRule="auto"/>
        <w:jc w:val="both"/>
        <w:rPr>
          <w:rFonts w:ascii="Palatino Linotype" w:eastAsia="MS Mincho" w:hAnsi="Palatino Linotype"/>
        </w:rPr>
      </w:pPr>
      <w:r w:rsidRPr="00B11C03">
        <w:rPr>
          <w:rFonts w:ascii="Palatino Linotype" w:eastAsia="Calibri" w:hAnsi="Palatino Linotype" w:cs="Arial"/>
          <w:b/>
          <w:bCs/>
          <w:color w:val="000000" w:themeColor="text1"/>
          <w:lang w:eastAsia="en-US"/>
        </w:rPr>
        <w:lastRenderedPageBreak/>
        <w:t>CUARTO.</w:t>
      </w:r>
      <w:r w:rsidRPr="00B11C03">
        <w:rPr>
          <w:rFonts w:ascii="Palatino Linotype" w:eastAsia="Calibri" w:hAnsi="Palatino Linotype" w:cs="Arial"/>
          <w:bCs/>
          <w:color w:val="000000" w:themeColor="text1"/>
          <w:lang w:eastAsia="en-US"/>
        </w:rPr>
        <w:t xml:space="preserve"> </w:t>
      </w:r>
      <w:r w:rsidRPr="00B11C03">
        <w:rPr>
          <w:rFonts w:ascii="Palatino Linotype" w:eastAsia="MS Mincho" w:hAnsi="Palatino Linotype"/>
        </w:rPr>
        <w:t xml:space="preserve">Se hace del conocimiento del </w:t>
      </w:r>
      <w:r w:rsidRPr="00B11C03">
        <w:rPr>
          <w:rFonts w:ascii="Palatino Linotype" w:hAnsi="Palatino Linotype"/>
          <w:b/>
          <w:bCs/>
        </w:rPr>
        <w:t>RECURRENTE</w:t>
      </w:r>
      <w:r w:rsidRPr="00B11C03">
        <w:rPr>
          <w:rFonts w:ascii="Palatino Linotype" w:hAnsi="Palatino Linotype"/>
        </w:rPr>
        <w:t xml:space="preserve"> </w:t>
      </w:r>
      <w:r w:rsidRPr="00B11C03">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B11C03">
        <w:rPr>
          <w:rFonts w:ascii="Palatino Linotype" w:eastAsia="MS Mincho" w:hAnsi="Palatino Linotype"/>
          <w:bCs/>
        </w:rPr>
        <w:t>vía juicio de amparo</w:t>
      </w:r>
      <w:r w:rsidRPr="00B11C03">
        <w:rPr>
          <w:rFonts w:ascii="Palatino Linotype" w:eastAsia="MS Mincho" w:hAnsi="Palatino Linotype"/>
        </w:rPr>
        <w:t> en los términos de las leyes aplicables.</w:t>
      </w:r>
    </w:p>
    <w:p w:rsidR="00C511E3" w:rsidRPr="00B11C03" w:rsidRDefault="00C511E3" w:rsidP="00C511E3">
      <w:pPr>
        <w:spacing w:line="360" w:lineRule="auto"/>
        <w:jc w:val="both"/>
        <w:rPr>
          <w:rFonts w:ascii="Palatino Linotype" w:eastAsia="MS Mincho" w:hAnsi="Palatino Linotype"/>
        </w:rPr>
      </w:pPr>
    </w:p>
    <w:p w:rsidR="00C511E3" w:rsidRPr="00B11C03" w:rsidRDefault="00C511E3" w:rsidP="00C511E3">
      <w:pPr>
        <w:spacing w:line="360" w:lineRule="auto"/>
        <w:jc w:val="both"/>
        <w:rPr>
          <w:rFonts w:ascii="Palatino Linotype" w:eastAsiaTheme="minorHAnsi" w:hAnsi="Palatino Linotype" w:cstheme="minorBidi"/>
          <w:lang w:eastAsia="es-ES_tradnl"/>
        </w:rPr>
      </w:pPr>
    </w:p>
    <w:p w:rsidR="00E94D86" w:rsidRPr="00C511E3" w:rsidRDefault="00C511E3" w:rsidP="00C511E3">
      <w:pPr>
        <w:spacing w:before="240" w:after="240" w:line="360" w:lineRule="auto"/>
        <w:jc w:val="both"/>
        <w:rPr>
          <w:rFonts w:ascii="Palatino Linotype" w:eastAsia="Palatino Linotype" w:hAnsi="Palatino Linotype" w:cs="Palatino Linotype"/>
        </w:rPr>
      </w:pPr>
      <w:r w:rsidRPr="00B11C0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B11C03" w:rsidRPr="00B11C03">
        <w:rPr>
          <w:rFonts w:ascii="Palatino Linotype" w:eastAsia="Palatino Linotype" w:hAnsi="Palatino Linotype" w:cs="Palatino Linotype"/>
        </w:rPr>
        <w:t xml:space="preserve"> </w:t>
      </w:r>
      <w:r w:rsidR="00B11C03" w:rsidRPr="00B11C03">
        <w:rPr>
          <w:rFonts w:ascii="Palatino Linotype" w:hAnsi="Palatino Linotype"/>
        </w:rPr>
        <w:t>(AUSENCIA JUSTIFICADA)</w:t>
      </w:r>
      <w:r w:rsidRPr="00B11C03">
        <w:rPr>
          <w:rFonts w:ascii="Palatino Linotype" w:eastAsia="Palatino Linotype" w:hAnsi="Palatino Linotype" w:cs="Palatino Linotype"/>
        </w:rPr>
        <w:t>, LUIS GUSTAVO PARRA NORIEGA Y GUADALUPE RAMÍREZ PEÑA</w:t>
      </w:r>
      <w:r w:rsidR="00B11C03" w:rsidRPr="00B11C03">
        <w:rPr>
          <w:rFonts w:ascii="Palatino Linotype" w:eastAsia="Palatino Linotype" w:hAnsi="Palatino Linotype" w:cs="Palatino Linotype"/>
        </w:rPr>
        <w:t xml:space="preserve"> </w:t>
      </w:r>
      <w:r w:rsidR="00B11C03" w:rsidRPr="00B11C03">
        <w:rPr>
          <w:rFonts w:ascii="Palatino Linotype" w:hAnsi="Palatino Linotype"/>
        </w:rPr>
        <w:t>(AUSENCIA JUSTIFICADA)</w:t>
      </w:r>
      <w:r w:rsidRPr="00B11C03">
        <w:rPr>
          <w:rFonts w:ascii="Palatino Linotype" w:eastAsia="Palatino Linotype" w:hAnsi="Palatino Linotype" w:cs="Palatino Linotype"/>
        </w:rPr>
        <w:t>; EN LA DÉCIMA SEXTA SESIÓN ORDINARIA, CELEBRADA EL OCHO (08) DE MAYO DE DOS MIL VEINTICINCO, ANTE EL SECRETARIO TÉCNICO DEL PLENO ALEXIS TAPIA RAMÍREZ.</w:t>
      </w:r>
    </w:p>
    <w:p w:rsidR="00E94D86" w:rsidRPr="00C511E3" w:rsidRDefault="00E94D86" w:rsidP="00C511E3">
      <w:pPr>
        <w:spacing w:line="360" w:lineRule="auto"/>
        <w:rPr>
          <w:rFonts w:ascii="Palatino Linotype" w:eastAsia="Palatino Linotype" w:hAnsi="Palatino Linotype" w:cs="Palatino Linotype"/>
        </w:rPr>
      </w:pPr>
    </w:p>
    <w:p w:rsidR="00E94D86" w:rsidRPr="00C511E3" w:rsidRDefault="00E94D86" w:rsidP="00C511E3">
      <w:pPr>
        <w:spacing w:line="360" w:lineRule="auto"/>
        <w:jc w:val="both"/>
        <w:rPr>
          <w:rFonts w:ascii="Palatino Linotype" w:eastAsia="Palatino Linotype" w:hAnsi="Palatino Linotype" w:cs="Palatino Linotype"/>
        </w:rPr>
      </w:pPr>
    </w:p>
    <w:p w:rsidR="00E94D86" w:rsidRPr="00C511E3" w:rsidRDefault="00E94D86" w:rsidP="00C511E3">
      <w:pPr>
        <w:spacing w:line="360" w:lineRule="auto"/>
        <w:jc w:val="both"/>
        <w:rPr>
          <w:rFonts w:ascii="Palatino Linotype" w:eastAsia="Palatino Linotype" w:hAnsi="Palatino Linotype" w:cs="Palatino Linotype"/>
        </w:rPr>
      </w:pPr>
    </w:p>
    <w:p w:rsidR="00E94D86" w:rsidRPr="00C511E3" w:rsidRDefault="00E94D86" w:rsidP="00C511E3">
      <w:pPr>
        <w:spacing w:line="360" w:lineRule="auto"/>
        <w:jc w:val="both"/>
        <w:rPr>
          <w:rFonts w:ascii="Palatino Linotype" w:eastAsia="Palatino Linotype" w:hAnsi="Palatino Linotype" w:cs="Palatino Linotype"/>
        </w:rPr>
      </w:pPr>
    </w:p>
    <w:p w:rsidR="00E94D86" w:rsidRPr="00C511E3" w:rsidRDefault="00E94D86" w:rsidP="00C511E3">
      <w:pPr>
        <w:spacing w:line="360" w:lineRule="auto"/>
        <w:jc w:val="both"/>
        <w:rPr>
          <w:rFonts w:ascii="Palatino Linotype" w:eastAsia="Palatino Linotype" w:hAnsi="Palatino Linotype" w:cs="Palatino Linotype"/>
        </w:rPr>
      </w:pPr>
    </w:p>
    <w:p w:rsidR="00E94D86" w:rsidRPr="00C511E3" w:rsidRDefault="00E94D86" w:rsidP="00C511E3">
      <w:pPr>
        <w:spacing w:line="360" w:lineRule="auto"/>
        <w:jc w:val="both"/>
        <w:rPr>
          <w:rFonts w:ascii="Palatino Linotype" w:eastAsia="Palatino Linotype" w:hAnsi="Palatino Linotype" w:cs="Palatino Linotype"/>
        </w:rPr>
      </w:pPr>
    </w:p>
    <w:p w:rsidR="00E94D86" w:rsidRPr="00C511E3" w:rsidRDefault="00E94D86" w:rsidP="00C511E3">
      <w:pPr>
        <w:spacing w:line="360" w:lineRule="auto"/>
        <w:jc w:val="both"/>
        <w:rPr>
          <w:rFonts w:ascii="Palatino Linotype" w:eastAsia="Palatino Linotype" w:hAnsi="Palatino Linotype" w:cs="Palatino Linotype"/>
        </w:rPr>
      </w:pPr>
    </w:p>
    <w:p w:rsidR="00E94D86" w:rsidRPr="00C511E3" w:rsidRDefault="00E94D86" w:rsidP="00C511E3">
      <w:pPr>
        <w:spacing w:line="360" w:lineRule="auto"/>
        <w:jc w:val="both"/>
        <w:rPr>
          <w:rFonts w:ascii="Palatino Linotype" w:eastAsia="Palatino Linotype" w:hAnsi="Palatino Linotype" w:cs="Palatino Linotype"/>
        </w:rPr>
      </w:pPr>
    </w:p>
    <w:p w:rsidR="00E94D86" w:rsidRPr="00C511E3" w:rsidRDefault="00E94D86" w:rsidP="00C511E3">
      <w:pPr>
        <w:spacing w:line="360" w:lineRule="auto"/>
        <w:jc w:val="both"/>
        <w:rPr>
          <w:rFonts w:ascii="Palatino Linotype" w:eastAsia="Palatino Linotype" w:hAnsi="Palatino Linotype" w:cs="Palatino Linotype"/>
        </w:rPr>
      </w:pPr>
    </w:p>
    <w:p w:rsidR="00E94D86" w:rsidRPr="00C511E3" w:rsidRDefault="00E94D86" w:rsidP="00C511E3">
      <w:pPr>
        <w:spacing w:line="360" w:lineRule="auto"/>
        <w:jc w:val="both"/>
        <w:rPr>
          <w:rFonts w:ascii="Palatino Linotype" w:eastAsia="Palatino Linotype" w:hAnsi="Palatino Linotype" w:cs="Palatino Linotype"/>
        </w:rPr>
      </w:pPr>
    </w:p>
    <w:p w:rsidR="00E94D86" w:rsidRPr="00C511E3" w:rsidRDefault="00E94D86" w:rsidP="00C511E3">
      <w:pPr>
        <w:spacing w:line="360" w:lineRule="auto"/>
        <w:jc w:val="both"/>
        <w:rPr>
          <w:rFonts w:ascii="Palatino Linotype" w:eastAsia="Palatino Linotype" w:hAnsi="Palatino Linotype" w:cs="Palatino Linotype"/>
        </w:rPr>
      </w:pPr>
    </w:p>
    <w:p w:rsidR="00E94D86" w:rsidRPr="00C511E3" w:rsidRDefault="00E94D86" w:rsidP="00C511E3">
      <w:pPr>
        <w:spacing w:line="360" w:lineRule="auto"/>
        <w:jc w:val="both"/>
        <w:rPr>
          <w:rFonts w:ascii="Palatino Linotype" w:eastAsia="Palatino Linotype" w:hAnsi="Palatino Linotype" w:cs="Palatino Linotype"/>
        </w:rPr>
      </w:pPr>
    </w:p>
    <w:p w:rsidR="00E94D86" w:rsidRPr="00C511E3" w:rsidRDefault="00E94D86" w:rsidP="00C511E3">
      <w:pPr>
        <w:spacing w:line="360" w:lineRule="auto"/>
        <w:jc w:val="both"/>
        <w:rPr>
          <w:rFonts w:ascii="Palatino Linotype" w:eastAsia="Palatino Linotype" w:hAnsi="Palatino Linotype" w:cs="Palatino Linotype"/>
        </w:rPr>
      </w:pPr>
    </w:p>
    <w:p w:rsidR="00E94D86" w:rsidRPr="00C511E3" w:rsidRDefault="00E94D86" w:rsidP="00C511E3">
      <w:pPr>
        <w:spacing w:line="360" w:lineRule="auto"/>
        <w:jc w:val="both"/>
        <w:rPr>
          <w:rFonts w:ascii="Palatino Linotype" w:eastAsia="Palatino Linotype" w:hAnsi="Palatino Linotype" w:cs="Palatino Linotype"/>
        </w:rPr>
      </w:pPr>
    </w:p>
    <w:p w:rsidR="00E94D86" w:rsidRPr="00C511E3" w:rsidRDefault="00E94D86" w:rsidP="00C511E3">
      <w:pPr>
        <w:spacing w:line="360" w:lineRule="auto"/>
        <w:rPr>
          <w:rFonts w:ascii="Palatino Linotype" w:eastAsia="Palatino Linotype" w:hAnsi="Palatino Linotype" w:cs="Palatino Linotype"/>
        </w:rPr>
      </w:pPr>
    </w:p>
    <w:p w:rsidR="00E94D86" w:rsidRPr="00C511E3" w:rsidRDefault="00E94D86" w:rsidP="00C511E3">
      <w:pPr>
        <w:spacing w:line="360" w:lineRule="auto"/>
        <w:rPr>
          <w:rFonts w:ascii="Palatino Linotype" w:eastAsia="Palatino Linotype" w:hAnsi="Palatino Linotype" w:cs="Palatino Linotype"/>
        </w:rPr>
      </w:pPr>
    </w:p>
    <w:p w:rsidR="00E94D86" w:rsidRPr="00C511E3" w:rsidRDefault="00E94D86" w:rsidP="00C511E3">
      <w:pPr>
        <w:spacing w:line="360" w:lineRule="auto"/>
        <w:rPr>
          <w:rFonts w:ascii="Palatino Linotype" w:eastAsia="Palatino Linotype" w:hAnsi="Palatino Linotype" w:cs="Palatino Linotype"/>
        </w:rPr>
      </w:pPr>
    </w:p>
    <w:p w:rsidR="00E94D86" w:rsidRPr="00C511E3" w:rsidRDefault="00E94D86" w:rsidP="00C511E3">
      <w:pPr>
        <w:spacing w:line="360" w:lineRule="auto"/>
        <w:rPr>
          <w:rFonts w:ascii="Palatino Linotype" w:eastAsia="Palatino Linotype" w:hAnsi="Palatino Linotype" w:cs="Palatino Linotype"/>
        </w:rPr>
      </w:pPr>
    </w:p>
    <w:p w:rsidR="00E94D86" w:rsidRPr="00C511E3" w:rsidRDefault="00E94D86" w:rsidP="00C511E3">
      <w:pPr>
        <w:spacing w:line="360" w:lineRule="auto"/>
        <w:rPr>
          <w:rFonts w:ascii="Palatino Linotype" w:eastAsia="Palatino Linotype" w:hAnsi="Palatino Linotype" w:cs="Palatino Linotype"/>
        </w:rPr>
      </w:pPr>
    </w:p>
    <w:p w:rsidR="00E94D86" w:rsidRPr="00C511E3" w:rsidRDefault="00E94D86" w:rsidP="00C511E3">
      <w:pPr>
        <w:spacing w:line="360" w:lineRule="auto"/>
        <w:rPr>
          <w:rFonts w:ascii="Palatino Linotype" w:eastAsia="Palatino Linotype" w:hAnsi="Palatino Linotype" w:cs="Palatino Linotype"/>
        </w:rPr>
      </w:pPr>
    </w:p>
    <w:p w:rsidR="00E94D86" w:rsidRPr="00C511E3" w:rsidRDefault="00E94D86" w:rsidP="00C511E3">
      <w:pPr>
        <w:rPr>
          <w:rFonts w:ascii="Palatino Linotype" w:eastAsia="Palatino Linotype" w:hAnsi="Palatino Linotype" w:cs="Palatino Linotype"/>
        </w:rPr>
      </w:pPr>
    </w:p>
    <w:p w:rsidR="00647AFA" w:rsidRPr="00C511E3" w:rsidRDefault="00647AFA" w:rsidP="00C511E3">
      <w:pPr>
        <w:rPr>
          <w:rFonts w:ascii="Palatino Linotype" w:eastAsia="Palatino Linotype" w:hAnsi="Palatino Linotype" w:cs="Palatino Linotype"/>
        </w:rPr>
      </w:pPr>
    </w:p>
    <w:p w:rsidR="001E3608" w:rsidRPr="00C511E3" w:rsidRDefault="001E3608" w:rsidP="00C511E3">
      <w:pPr>
        <w:rPr>
          <w:rFonts w:ascii="Palatino Linotype" w:eastAsia="Palatino Linotype" w:hAnsi="Palatino Linotype" w:cs="Palatino Linotype"/>
        </w:rPr>
      </w:pPr>
    </w:p>
    <w:sectPr w:rsidR="001E3608" w:rsidRPr="00C511E3" w:rsidSect="00C511E3">
      <w:headerReference w:type="even" r:id="rId11"/>
      <w:headerReference w:type="default" r:id="rId12"/>
      <w:footerReference w:type="default" r:id="rId13"/>
      <w:headerReference w:type="first" r:id="rId14"/>
      <w:footerReference w:type="first" r:id="rId15"/>
      <w:pgSz w:w="12240" w:h="15840"/>
      <w:pgMar w:top="80" w:right="1183"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F79" w:rsidRDefault="009B4F79">
      <w:r>
        <w:separator/>
      </w:r>
    </w:p>
  </w:endnote>
  <w:endnote w:type="continuationSeparator" w:id="0">
    <w:p w:rsidR="009B4F79" w:rsidRDefault="009B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2F" w:rsidRDefault="00C90A2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3790F">
      <w:rPr>
        <w:b/>
        <w:noProof/>
        <w:color w:val="000000"/>
      </w:rPr>
      <w:t>21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3790F">
      <w:rPr>
        <w:b/>
        <w:noProof/>
        <w:color w:val="000000"/>
      </w:rPr>
      <w:t>21</w:t>
    </w:r>
    <w:r>
      <w:rPr>
        <w:b/>
        <w:color w:val="000000"/>
      </w:rPr>
      <w:fldChar w:fldCharType="end"/>
    </w:r>
  </w:p>
  <w:p w:rsidR="00C90A2F" w:rsidRDefault="00C90A2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2F" w:rsidRDefault="00C90A2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3790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3790F">
      <w:rPr>
        <w:b/>
        <w:noProof/>
        <w:color w:val="000000"/>
      </w:rPr>
      <w:t>21</w:t>
    </w:r>
    <w:r>
      <w:rPr>
        <w:b/>
        <w:color w:val="000000"/>
      </w:rPr>
      <w:fldChar w:fldCharType="end"/>
    </w:r>
  </w:p>
  <w:p w:rsidR="00C90A2F" w:rsidRDefault="00C90A2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F79" w:rsidRDefault="009B4F79">
      <w:r>
        <w:separator/>
      </w:r>
    </w:p>
  </w:footnote>
  <w:footnote w:type="continuationSeparator" w:id="0">
    <w:p w:rsidR="009B4F79" w:rsidRDefault="009B4F79">
      <w:r>
        <w:continuationSeparator/>
      </w:r>
    </w:p>
  </w:footnote>
  <w:footnote w:id="1">
    <w:p w:rsidR="00C90A2F" w:rsidRDefault="00C90A2F" w:rsidP="00C8189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2">
    <w:p w:rsidR="00C90A2F" w:rsidRDefault="00C90A2F" w:rsidP="00C8189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3">
    <w:p w:rsidR="00C90A2F" w:rsidRDefault="00C90A2F" w:rsidP="00C8189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4">
    <w:p w:rsidR="00C90A2F" w:rsidRDefault="00C90A2F" w:rsidP="00C8189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2F" w:rsidRDefault="009B4F79">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2F" w:rsidRDefault="00C90A2F">
    <w:pPr>
      <w:widowControl w:val="0"/>
      <w:pBdr>
        <w:top w:val="nil"/>
        <w:left w:val="nil"/>
        <w:bottom w:val="nil"/>
        <w:right w:val="nil"/>
        <w:between w:val="nil"/>
      </w:pBdr>
      <w:spacing w:line="276" w:lineRule="auto"/>
      <w:rPr>
        <w:color w:val="000000"/>
      </w:rPr>
    </w:pPr>
  </w:p>
  <w:tbl>
    <w:tblPr>
      <w:tblStyle w:val="a5"/>
      <w:tblW w:w="9214" w:type="dxa"/>
      <w:tblInd w:w="0" w:type="dxa"/>
      <w:tblLayout w:type="fixed"/>
      <w:tblLook w:val="0400" w:firstRow="0" w:lastRow="0" w:firstColumn="0" w:lastColumn="0" w:noHBand="0" w:noVBand="1"/>
    </w:tblPr>
    <w:tblGrid>
      <w:gridCol w:w="2268"/>
      <w:gridCol w:w="6946"/>
    </w:tblGrid>
    <w:tr w:rsidR="00C90A2F" w:rsidRPr="004401C8">
      <w:trPr>
        <w:trHeight w:val="1435"/>
      </w:trPr>
      <w:tc>
        <w:tcPr>
          <w:tcW w:w="2268" w:type="dxa"/>
          <w:shd w:val="clear" w:color="auto" w:fill="auto"/>
        </w:tcPr>
        <w:p w:rsidR="00C90A2F" w:rsidRDefault="00C90A2F">
          <w:pPr>
            <w:tabs>
              <w:tab w:val="right" w:pos="4273"/>
            </w:tabs>
            <w:rPr>
              <w:rFonts w:ascii="Garamond" w:eastAsia="Garamond" w:hAnsi="Garamond" w:cs="Garamond"/>
              <w:sz w:val="16"/>
              <w:szCs w:val="16"/>
            </w:rPr>
          </w:pPr>
        </w:p>
      </w:tc>
      <w:tc>
        <w:tcPr>
          <w:tcW w:w="6946" w:type="dxa"/>
          <w:shd w:val="clear" w:color="auto" w:fill="auto"/>
        </w:tcPr>
        <w:p w:rsidR="00C90A2F" w:rsidRPr="004401C8" w:rsidRDefault="00C90A2F" w:rsidP="004401C8">
          <w:pPr>
            <w:rPr>
              <w:sz w:val="18"/>
            </w:rPr>
          </w:pPr>
        </w:p>
        <w:tbl>
          <w:tblPr>
            <w:tblStyle w:val="a6"/>
            <w:tblW w:w="7114" w:type="dxa"/>
            <w:tblInd w:w="0" w:type="dxa"/>
            <w:tblLayout w:type="fixed"/>
            <w:tblLook w:val="0400" w:firstRow="0" w:lastRow="0" w:firstColumn="0" w:lastColumn="0" w:noHBand="0" w:noVBand="1"/>
          </w:tblPr>
          <w:tblGrid>
            <w:gridCol w:w="3429"/>
            <w:gridCol w:w="3685"/>
          </w:tblGrid>
          <w:tr w:rsidR="00C90A2F" w:rsidRPr="00C511E3" w:rsidTr="00C511E3">
            <w:trPr>
              <w:trHeight w:val="150"/>
            </w:trPr>
            <w:tc>
              <w:tcPr>
                <w:tcW w:w="3429" w:type="dxa"/>
                <w:shd w:val="clear" w:color="auto" w:fill="auto"/>
              </w:tcPr>
              <w:p w:rsidR="00C90A2F" w:rsidRPr="00C511E3" w:rsidRDefault="00C90A2F" w:rsidP="004401C8">
                <w:pPr>
                  <w:tabs>
                    <w:tab w:val="right" w:pos="8838"/>
                  </w:tabs>
                  <w:ind w:left="850" w:right="-105"/>
                  <w:jc w:val="both"/>
                  <w:rPr>
                    <w:rFonts w:ascii="Palatino Linotype" w:eastAsia="Palatino Linotype" w:hAnsi="Palatino Linotype" w:cs="Palatino Linotype"/>
                    <w:b/>
                  </w:rPr>
                </w:pPr>
                <w:r w:rsidRPr="00C511E3">
                  <w:rPr>
                    <w:rFonts w:ascii="Palatino Linotype" w:eastAsia="Palatino Linotype" w:hAnsi="Palatino Linotype" w:cs="Palatino Linotype"/>
                    <w:b/>
                  </w:rPr>
                  <w:t>Recurso de Revisión:</w:t>
                </w:r>
              </w:p>
            </w:tc>
            <w:tc>
              <w:tcPr>
                <w:tcW w:w="3685" w:type="dxa"/>
                <w:shd w:val="clear" w:color="auto" w:fill="auto"/>
              </w:tcPr>
              <w:p w:rsidR="00C90A2F" w:rsidRPr="00C511E3" w:rsidRDefault="00C90A2F" w:rsidP="00C511E3">
                <w:pPr>
                  <w:tabs>
                    <w:tab w:val="right" w:pos="8838"/>
                  </w:tabs>
                  <w:ind w:right="-399"/>
                  <w:jc w:val="both"/>
                  <w:rPr>
                    <w:rFonts w:ascii="Palatino Linotype" w:eastAsia="Palatino Linotype" w:hAnsi="Palatino Linotype" w:cs="Palatino Linotype"/>
                  </w:rPr>
                </w:pPr>
                <w:r w:rsidRPr="00C511E3">
                  <w:rPr>
                    <w:rFonts w:ascii="Palatino Linotype" w:eastAsia="Palatino Linotype" w:hAnsi="Palatino Linotype" w:cs="Palatino Linotype"/>
                  </w:rPr>
                  <w:t>02178/INFOEM/IP/RR/2025</w:t>
                </w:r>
              </w:p>
            </w:tc>
          </w:tr>
          <w:tr w:rsidR="00C90A2F" w:rsidRPr="00C511E3" w:rsidTr="00C511E3">
            <w:trPr>
              <w:trHeight w:val="295"/>
            </w:trPr>
            <w:tc>
              <w:tcPr>
                <w:tcW w:w="3429" w:type="dxa"/>
                <w:shd w:val="clear" w:color="auto" w:fill="auto"/>
              </w:tcPr>
              <w:p w:rsidR="00C90A2F" w:rsidRPr="00C511E3" w:rsidRDefault="00C90A2F" w:rsidP="004401C8">
                <w:pPr>
                  <w:tabs>
                    <w:tab w:val="right" w:pos="8838"/>
                  </w:tabs>
                  <w:ind w:left="850" w:right="-105"/>
                  <w:jc w:val="both"/>
                  <w:rPr>
                    <w:rFonts w:ascii="Palatino Linotype" w:eastAsia="Palatino Linotype" w:hAnsi="Palatino Linotype" w:cs="Palatino Linotype"/>
                    <w:b/>
                  </w:rPr>
                </w:pPr>
                <w:r w:rsidRPr="00C511E3">
                  <w:rPr>
                    <w:rFonts w:ascii="Palatino Linotype" w:eastAsia="Palatino Linotype" w:hAnsi="Palatino Linotype" w:cs="Palatino Linotype"/>
                    <w:b/>
                  </w:rPr>
                  <w:t>Sujeto Obligado:</w:t>
                </w:r>
              </w:p>
            </w:tc>
            <w:tc>
              <w:tcPr>
                <w:tcW w:w="3685" w:type="dxa"/>
                <w:shd w:val="clear" w:color="auto" w:fill="auto"/>
              </w:tcPr>
              <w:p w:rsidR="00C90A2F" w:rsidRPr="00C511E3" w:rsidRDefault="00C90A2F" w:rsidP="00C511E3">
                <w:pPr>
                  <w:tabs>
                    <w:tab w:val="left" w:pos="2834"/>
                    <w:tab w:val="right" w:pos="8838"/>
                  </w:tabs>
                  <w:ind w:right="-399"/>
                  <w:jc w:val="both"/>
                  <w:rPr>
                    <w:rFonts w:ascii="Palatino Linotype" w:eastAsia="Palatino Linotype" w:hAnsi="Palatino Linotype" w:cs="Palatino Linotype"/>
                  </w:rPr>
                </w:pPr>
                <w:r w:rsidRPr="00C511E3">
                  <w:rPr>
                    <w:rFonts w:ascii="Palatino Linotype" w:eastAsia="Palatino Linotype" w:hAnsi="Palatino Linotype" w:cs="Palatino Linotype"/>
                  </w:rPr>
                  <w:t>Ayuntamiento de Temamatla</w:t>
                </w:r>
              </w:p>
            </w:tc>
          </w:tr>
          <w:tr w:rsidR="00C90A2F" w:rsidRPr="00C511E3" w:rsidTr="00C511E3">
            <w:trPr>
              <w:trHeight w:val="295"/>
            </w:trPr>
            <w:tc>
              <w:tcPr>
                <w:tcW w:w="3429" w:type="dxa"/>
                <w:shd w:val="clear" w:color="auto" w:fill="auto"/>
              </w:tcPr>
              <w:p w:rsidR="00C90A2F" w:rsidRPr="00C511E3" w:rsidRDefault="00C90A2F" w:rsidP="004401C8">
                <w:pPr>
                  <w:tabs>
                    <w:tab w:val="right" w:pos="8838"/>
                  </w:tabs>
                  <w:ind w:left="850" w:right="-105"/>
                  <w:jc w:val="both"/>
                  <w:rPr>
                    <w:rFonts w:ascii="Palatino Linotype" w:eastAsia="Palatino Linotype" w:hAnsi="Palatino Linotype" w:cs="Palatino Linotype"/>
                    <w:b/>
                  </w:rPr>
                </w:pPr>
                <w:r w:rsidRPr="00C511E3">
                  <w:rPr>
                    <w:rFonts w:ascii="Palatino Linotype" w:eastAsia="Palatino Linotype" w:hAnsi="Palatino Linotype" w:cs="Palatino Linotype"/>
                    <w:b/>
                  </w:rPr>
                  <w:t>Comisionada ponente:</w:t>
                </w:r>
              </w:p>
            </w:tc>
            <w:tc>
              <w:tcPr>
                <w:tcW w:w="3685" w:type="dxa"/>
                <w:shd w:val="clear" w:color="auto" w:fill="auto"/>
              </w:tcPr>
              <w:p w:rsidR="00C90A2F" w:rsidRPr="00C511E3" w:rsidRDefault="00C90A2F" w:rsidP="00C511E3">
                <w:pPr>
                  <w:tabs>
                    <w:tab w:val="right" w:pos="8838"/>
                  </w:tabs>
                  <w:jc w:val="both"/>
                  <w:rPr>
                    <w:rFonts w:ascii="Palatino Linotype" w:eastAsia="Palatino Linotype" w:hAnsi="Palatino Linotype" w:cs="Palatino Linotype"/>
                  </w:rPr>
                </w:pPr>
                <w:r w:rsidRPr="00C511E3">
                  <w:rPr>
                    <w:rFonts w:ascii="Palatino Linotype" w:eastAsia="Palatino Linotype" w:hAnsi="Palatino Linotype" w:cs="Palatino Linotype"/>
                  </w:rPr>
                  <w:t>María del Rosario Mejía Ayala</w:t>
                </w:r>
              </w:p>
              <w:p w:rsidR="00C90A2F" w:rsidRPr="00C511E3" w:rsidRDefault="00C90A2F" w:rsidP="00C511E3">
                <w:pPr>
                  <w:tabs>
                    <w:tab w:val="right" w:pos="8838"/>
                  </w:tabs>
                  <w:ind w:left="141" w:right="-399"/>
                  <w:jc w:val="both"/>
                  <w:rPr>
                    <w:rFonts w:ascii="Palatino Linotype" w:eastAsia="Palatino Linotype" w:hAnsi="Palatino Linotype" w:cs="Palatino Linotype"/>
                  </w:rPr>
                </w:pPr>
              </w:p>
            </w:tc>
          </w:tr>
        </w:tbl>
        <w:p w:rsidR="00C90A2F" w:rsidRPr="004401C8" w:rsidRDefault="00C90A2F" w:rsidP="004401C8">
          <w:pPr>
            <w:tabs>
              <w:tab w:val="right" w:pos="8838"/>
            </w:tabs>
            <w:ind w:left="-28"/>
            <w:jc w:val="both"/>
            <w:rPr>
              <w:rFonts w:ascii="Arial" w:eastAsia="Arial" w:hAnsi="Arial" w:cs="Arial"/>
              <w:b/>
              <w:sz w:val="18"/>
              <w:szCs w:val="22"/>
            </w:rPr>
          </w:pPr>
        </w:p>
      </w:tc>
    </w:tr>
  </w:tbl>
  <w:p w:rsidR="00C90A2F" w:rsidRDefault="009B4F79">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2F" w:rsidRDefault="00C90A2F">
    <w:pPr>
      <w:widowControl w:val="0"/>
      <w:pBdr>
        <w:top w:val="nil"/>
        <w:left w:val="nil"/>
        <w:bottom w:val="nil"/>
        <w:right w:val="nil"/>
        <w:between w:val="nil"/>
      </w:pBdr>
      <w:spacing w:line="276" w:lineRule="auto"/>
      <w:rPr>
        <w:color w:val="000000"/>
        <w:sz w:val="14"/>
        <w:szCs w:val="14"/>
      </w:rPr>
    </w:pPr>
  </w:p>
  <w:tbl>
    <w:tblPr>
      <w:tblStyle w:val="a7"/>
      <w:tblW w:w="10065" w:type="dxa"/>
      <w:tblInd w:w="0" w:type="dxa"/>
      <w:tblLayout w:type="fixed"/>
      <w:tblLook w:val="0400" w:firstRow="0" w:lastRow="0" w:firstColumn="0" w:lastColumn="0" w:noHBand="0" w:noVBand="1"/>
    </w:tblPr>
    <w:tblGrid>
      <w:gridCol w:w="2265"/>
      <w:gridCol w:w="7800"/>
    </w:tblGrid>
    <w:tr w:rsidR="00C90A2F">
      <w:trPr>
        <w:trHeight w:val="1435"/>
      </w:trPr>
      <w:tc>
        <w:tcPr>
          <w:tcW w:w="2265" w:type="dxa"/>
          <w:shd w:val="clear" w:color="auto" w:fill="auto"/>
        </w:tcPr>
        <w:p w:rsidR="00C90A2F" w:rsidRDefault="00C90A2F">
          <w:pPr>
            <w:tabs>
              <w:tab w:val="right" w:pos="4273"/>
            </w:tabs>
            <w:rPr>
              <w:rFonts w:ascii="Garamond" w:eastAsia="Garamond" w:hAnsi="Garamond" w:cs="Garamond"/>
              <w:sz w:val="22"/>
              <w:szCs w:val="22"/>
            </w:rPr>
          </w:pPr>
        </w:p>
      </w:tc>
      <w:tc>
        <w:tcPr>
          <w:tcW w:w="7800" w:type="dxa"/>
          <w:shd w:val="clear" w:color="auto" w:fill="auto"/>
        </w:tcPr>
        <w:p w:rsidR="00C90A2F" w:rsidRDefault="00C90A2F">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8"/>
            <w:tblW w:w="7643" w:type="dxa"/>
            <w:tblInd w:w="0" w:type="dxa"/>
            <w:tblLayout w:type="fixed"/>
            <w:tblLook w:val="0400" w:firstRow="0" w:lastRow="0" w:firstColumn="0" w:lastColumn="0" w:noHBand="0" w:noVBand="1"/>
          </w:tblPr>
          <w:tblGrid>
            <w:gridCol w:w="2723"/>
            <w:gridCol w:w="4920"/>
          </w:tblGrid>
          <w:tr w:rsidR="00C90A2F" w:rsidRPr="00C511E3" w:rsidTr="00C511E3">
            <w:trPr>
              <w:trHeight w:val="144"/>
            </w:trPr>
            <w:tc>
              <w:tcPr>
                <w:tcW w:w="2723" w:type="dxa"/>
                <w:shd w:val="clear" w:color="auto" w:fill="auto"/>
              </w:tcPr>
              <w:p w:rsidR="00C90A2F" w:rsidRPr="00C511E3" w:rsidRDefault="00C90A2F" w:rsidP="004401C8">
                <w:pPr>
                  <w:tabs>
                    <w:tab w:val="right" w:pos="8838"/>
                  </w:tabs>
                  <w:ind w:left="-264" w:right="-105" w:firstLine="195"/>
                  <w:rPr>
                    <w:rFonts w:ascii="Palatino Linotype" w:eastAsia="Palatino Linotype" w:hAnsi="Palatino Linotype" w:cs="Palatino Linotype"/>
                    <w:b/>
                  </w:rPr>
                </w:pPr>
                <w:r w:rsidRPr="00C511E3">
                  <w:rPr>
                    <w:rFonts w:ascii="Palatino Linotype" w:eastAsia="Palatino Linotype" w:hAnsi="Palatino Linotype" w:cs="Palatino Linotype"/>
                    <w:b/>
                  </w:rPr>
                  <w:t>Recurso de Revisión:</w:t>
                </w:r>
              </w:p>
            </w:tc>
            <w:tc>
              <w:tcPr>
                <w:tcW w:w="4920" w:type="dxa"/>
                <w:shd w:val="clear" w:color="auto" w:fill="auto"/>
              </w:tcPr>
              <w:p w:rsidR="00C90A2F" w:rsidRPr="00C511E3" w:rsidRDefault="00C90A2F" w:rsidP="003A1F84">
                <w:pPr>
                  <w:tabs>
                    <w:tab w:val="right" w:pos="8838"/>
                  </w:tabs>
                  <w:ind w:right="-1552"/>
                  <w:rPr>
                    <w:rFonts w:ascii="Palatino Linotype" w:eastAsia="Palatino Linotype" w:hAnsi="Palatino Linotype" w:cs="Palatino Linotype"/>
                  </w:rPr>
                </w:pPr>
                <w:r w:rsidRPr="00C511E3">
                  <w:rPr>
                    <w:rFonts w:ascii="Palatino Linotype" w:eastAsia="Palatino Linotype" w:hAnsi="Palatino Linotype" w:cs="Palatino Linotype"/>
                  </w:rPr>
                  <w:t>02178/INFOEM/IP/RR/2025</w:t>
                </w:r>
              </w:p>
            </w:tc>
          </w:tr>
          <w:tr w:rsidR="00C90A2F" w:rsidRPr="00C511E3" w:rsidTr="00C511E3">
            <w:trPr>
              <w:trHeight w:val="144"/>
            </w:trPr>
            <w:tc>
              <w:tcPr>
                <w:tcW w:w="2723" w:type="dxa"/>
                <w:shd w:val="clear" w:color="auto" w:fill="auto"/>
              </w:tcPr>
              <w:p w:rsidR="00C90A2F" w:rsidRPr="00C511E3" w:rsidRDefault="00C90A2F" w:rsidP="004401C8">
                <w:pPr>
                  <w:tabs>
                    <w:tab w:val="right" w:pos="8838"/>
                  </w:tabs>
                  <w:ind w:left="-74" w:right="-105"/>
                  <w:rPr>
                    <w:rFonts w:ascii="Palatino Linotype" w:eastAsia="Palatino Linotype" w:hAnsi="Palatino Linotype" w:cs="Palatino Linotype"/>
                    <w:b/>
                  </w:rPr>
                </w:pPr>
                <w:r w:rsidRPr="00C511E3">
                  <w:rPr>
                    <w:rFonts w:ascii="Palatino Linotype" w:eastAsia="Palatino Linotype" w:hAnsi="Palatino Linotype" w:cs="Palatino Linotype"/>
                    <w:b/>
                  </w:rPr>
                  <w:t>Recurrente:</w:t>
                </w:r>
              </w:p>
            </w:tc>
            <w:tc>
              <w:tcPr>
                <w:tcW w:w="4920" w:type="dxa"/>
                <w:shd w:val="clear" w:color="auto" w:fill="auto"/>
              </w:tcPr>
              <w:p w:rsidR="00C90A2F" w:rsidRPr="00C511E3" w:rsidRDefault="00A3790F" w:rsidP="004401C8">
                <w:pPr>
                  <w:tabs>
                    <w:tab w:val="left" w:pos="3122"/>
                    <w:tab w:val="right" w:pos="8838"/>
                  </w:tabs>
                  <w:ind w:right="-1552"/>
                  <w:rPr>
                    <w:rFonts w:ascii="Palatino Linotype" w:eastAsia="Palatino Linotype" w:hAnsi="Palatino Linotype" w:cs="Palatino Linotype"/>
                  </w:rPr>
                </w:pPr>
                <w:r>
                  <w:rPr>
                    <w:rFonts w:ascii="Palatino Linotype" w:eastAsia="Palatino Linotype" w:hAnsi="Palatino Linotype" w:cs="Palatino Linotype"/>
                  </w:rPr>
                  <w:t>XXXX</w:t>
                </w:r>
              </w:p>
            </w:tc>
          </w:tr>
          <w:tr w:rsidR="00C90A2F" w:rsidRPr="00C511E3" w:rsidTr="00C511E3">
            <w:trPr>
              <w:trHeight w:val="80"/>
            </w:trPr>
            <w:tc>
              <w:tcPr>
                <w:tcW w:w="2723" w:type="dxa"/>
                <w:shd w:val="clear" w:color="auto" w:fill="auto"/>
              </w:tcPr>
              <w:p w:rsidR="00C90A2F" w:rsidRPr="00C511E3" w:rsidRDefault="00C90A2F" w:rsidP="004401C8">
                <w:pPr>
                  <w:tabs>
                    <w:tab w:val="right" w:pos="8838"/>
                  </w:tabs>
                  <w:ind w:left="-74" w:right="-105"/>
                  <w:rPr>
                    <w:rFonts w:ascii="Palatino Linotype" w:eastAsia="Palatino Linotype" w:hAnsi="Palatino Linotype" w:cs="Palatino Linotype"/>
                    <w:b/>
                  </w:rPr>
                </w:pPr>
                <w:r w:rsidRPr="00C511E3">
                  <w:rPr>
                    <w:rFonts w:ascii="Palatino Linotype" w:eastAsia="Palatino Linotype" w:hAnsi="Palatino Linotype" w:cs="Palatino Linotype"/>
                    <w:b/>
                  </w:rPr>
                  <w:t>Sujeto Obligado:</w:t>
                </w:r>
              </w:p>
            </w:tc>
            <w:tc>
              <w:tcPr>
                <w:tcW w:w="4920" w:type="dxa"/>
                <w:shd w:val="clear" w:color="auto" w:fill="auto"/>
              </w:tcPr>
              <w:p w:rsidR="00C90A2F" w:rsidRPr="00C511E3" w:rsidRDefault="00C90A2F" w:rsidP="00F725EE">
                <w:pPr>
                  <w:tabs>
                    <w:tab w:val="left" w:pos="2834"/>
                    <w:tab w:val="right" w:pos="8838"/>
                  </w:tabs>
                  <w:ind w:right="-1552"/>
                  <w:rPr>
                    <w:rFonts w:ascii="Palatino Linotype" w:eastAsia="Palatino Linotype" w:hAnsi="Palatino Linotype" w:cs="Palatino Linotype"/>
                  </w:rPr>
                </w:pPr>
                <w:r w:rsidRPr="00C511E3">
                  <w:rPr>
                    <w:rFonts w:ascii="Palatino Linotype" w:eastAsia="Palatino Linotype" w:hAnsi="Palatino Linotype" w:cs="Palatino Linotype"/>
                  </w:rPr>
                  <w:t>Ayuntamiento Temamatla</w:t>
                </w:r>
              </w:p>
            </w:tc>
          </w:tr>
          <w:tr w:rsidR="00C90A2F" w:rsidRPr="00C511E3" w:rsidTr="00C511E3">
            <w:trPr>
              <w:trHeight w:val="283"/>
            </w:trPr>
            <w:tc>
              <w:tcPr>
                <w:tcW w:w="2723" w:type="dxa"/>
                <w:shd w:val="clear" w:color="auto" w:fill="auto"/>
              </w:tcPr>
              <w:p w:rsidR="00C90A2F" w:rsidRPr="00C511E3" w:rsidRDefault="00C90A2F" w:rsidP="004401C8">
                <w:pPr>
                  <w:tabs>
                    <w:tab w:val="right" w:pos="8838"/>
                  </w:tabs>
                  <w:ind w:right="-105"/>
                  <w:rPr>
                    <w:rFonts w:ascii="Palatino Linotype" w:eastAsia="Palatino Linotype" w:hAnsi="Palatino Linotype" w:cs="Palatino Linotype"/>
                    <w:b/>
                  </w:rPr>
                </w:pPr>
                <w:r w:rsidRPr="00C511E3">
                  <w:rPr>
                    <w:rFonts w:ascii="Palatino Linotype" w:eastAsia="Palatino Linotype" w:hAnsi="Palatino Linotype" w:cs="Palatino Linotype"/>
                    <w:b/>
                  </w:rPr>
                  <w:t>Comisionada ponente:</w:t>
                </w:r>
              </w:p>
            </w:tc>
            <w:tc>
              <w:tcPr>
                <w:tcW w:w="4920" w:type="dxa"/>
                <w:shd w:val="clear" w:color="auto" w:fill="auto"/>
              </w:tcPr>
              <w:p w:rsidR="00C90A2F" w:rsidRPr="00C511E3" w:rsidRDefault="00C90A2F" w:rsidP="004401C8">
                <w:pPr>
                  <w:tabs>
                    <w:tab w:val="right" w:pos="8838"/>
                  </w:tabs>
                  <w:ind w:right="-1552"/>
                  <w:rPr>
                    <w:rFonts w:ascii="Palatino Linotype" w:eastAsia="Palatino Linotype" w:hAnsi="Palatino Linotype" w:cs="Palatino Linotype"/>
                  </w:rPr>
                </w:pPr>
                <w:r w:rsidRPr="00C511E3">
                  <w:rPr>
                    <w:rFonts w:ascii="Palatino Linotype" w:eastAsia="Palatino Linotype" w:hAnsi="Palatino Linotype" w:cs="Palatino Linotype"/>
                  </w:rPr>
                  <w:t>María del Rosario Mejía Ayala</w:t>
                </w:r>
              </w:p>
              <w:p w:rsidR="00C90A2F" w:rsidRPr="00C511E3" w:rsidRDefault="00C90A2F" w:rsidP="004401C8">
                <w:pPr>
                  <w:tabs>
                    <w:tab w:val="right" w:pos="8838"/>
                  </w:tabs>
                  <w:ind w:right="-1552"/>
                  <w:rPr>
                    <w:rFonts w:ascii="Palatino Linotype" w:eastAsia="Palatino Linotype" w:hAnsi="Palatino Linotype" w:cs="Palatino Linotype"/>
                  </w:rPr>
                </w:pPr>
              </w:p>
            </w:tc>
          </w:tr>
        </w:tbl>
        <w:p w:rsidR="00C90A2F" w:rsidRDefault="00C90A2F">
          <w:pPr>
            <w:tabs>
              <w:tab w:val="right" w:pos="8838"/>
            </w:tabs>
            <w:ind w:left="-28"/>
            <w:jc w:val="both"/>
            <w:rPr>
              <w:rFonts w:ascii="Arial" w:eastAsia="Arial" w:hAnsi="Arial" w:cs="Arial"/>
              <w:b/>
              <w:sz w:val="22"/>
              <w:szCs w:val="22"/>
            </w:rPr>
          </w:pPr>
        </w:p>
      </w:tc>
    </w:tr>
  </w:tbl>
  <w:p w:rsidR="00C90A2F" w:rsidRDefault="009B4F79">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68E"/>
    <w:multiLevelType w:val="hybridMultilevel"/>
    <w:tmpl w:val="4EF463E4"/>
    <w:lvl w:ilvl="0" w:tplc="E2BE5898">
      <w:start w:val="1"/>
      <w:numFmt w:val="lowerLetter"/>
      <w:lvlText w:val="%1)"/>
      <w:lvlJc w:val="left"/>
      <w:pPr>
        <w:ind w:left="1069" w:hanging="360"/>
      </w:pPr>
      <w:rPr>
        <w:rFonts w:hint="default"/>
      </w:rPr>
    </w:lvl>
    <w:lvl w:ilvl="1" w:tplc="DB1C5A80">
      <w:start w:val="1"/>
      <w:numFmt w:val="lowerLetter"/>
      <w:lvlText w:val="%2)"/>
      <w:lvlJc w:val="left"/>
      <w:pPr>
        <w:ind w:left="1789" w:hanging="360"/>
      </w:pPr>
      <w:rPr>
        <w:rFonts w:eastAsia="Calibri" w:hint="default"/>
        <w:i w:val="0"/>
        <w:u w:val="none"/>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7E62363"/>
    <w:multiLevelType w:val="multilevel"/>
    <w:tmpl w:val="A5808C9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 w15:restartNumberingAfterBreak="0">
    <w:nsid w:val="0A905BCE"/>
    <w:multiLevelType w:val="hybridMultilevel"/>
    <w:tmpl w:val="91863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B6500F"/>
    <w:multiLevelType w:val="hybridMultilevel"/>
    <w:tmpl w:val="23864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55F78"/>
    <w:multiLevelType w:val="hybridMultilevel"/>
    <w:tmpl w:val="97D0A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992483"/>
    <w:multiLevelType w:val="multilevel"/>
    <w:tmpl w:val="E14A59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384755"/>
    <w:multiLevelType w:val="multilevel"/>
    <w:tmpl w:val="9BFE07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39176D"/>
    <w:multiLevelType w:val="hybridMultilevel"/>
    <w:tmpl w:val="D3CCC1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422093"/>
    <w:multiLevelType w:val="hybridMultilevel"/>
    <w:tmpl w:val="A314A7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DE58F3"/>
    <w:multiLevelType w:val="hybridMultilevel"/>
    <w:tmpl w:val="34448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B213A74"/>
    <w:multiLevelType w:val="multilevel"/>
    <w:tmpl w:val="7928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927D1D"/>
    <w:multiLevelType w:val="hybridMultilevel"/>
    <w:tmpl w:val="5068212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2EF40F66"/>
    <w:multiLevelType w:val="hybridMultilevel"/>
    <w:tmpl w:val="E460E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F325D1E"/>
    <w:multiLevelType w:val="multilevel"/>
    <w:tmpl w:val="3F005E6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8F73FC"/>
    <w:multiLevelType w:val="multilevel"/>
    <w:tmpl w:val="CD38828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AF4D13"/>
    <w:multiLevelType w:val="multilevel"/>
    <w:tmpl w:val="21BEFE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560839D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20B7BEC"/>
    <w:multiLevelType w:val="hybridMultilevel"/>
    <w:tmpl w:val="AA7E3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90B08FE"/>
    <w:multiLevelType w:val="hybridMultilevel"/>
    <w:tmpl w:val="65525C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D74F29"/>
    <w:multiLevelType w:val="multilevel"/>
    <w:tmpl w:val="34646F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406718"/>
    <w:multiLevelType w:val="multilevel"/>
    <w:tmpl w:val="8D020E60"/>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AF071A"/>
    <w:multiLevelType w:val="multilevel"/>
    <w:tmpl w:val="4D9A91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692663"/>
    <w:multiLevelType w:val="multilevel"/>
    <w:tmpl w:val="BBB4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6D22AA"/>
    <w:multiLevelType w:val="multilevel"/>
    <w:tmpl w:val="3EC431A6"/>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35"/>
  </w:num>
  <w:num w:numId="3">
    <w:abstractNumId w:val="9"/>
  </w:num>
  <w:num w:numId="4">
    <w:abstractNumId w:val="21"/>
  </w:num>
  <w:num w:numId="5">
    <w:abstractNumId w:val="6"/>
  </w:num>
  <w:num w:numId="6">
    <w:abstractNumId w:val="34"/>
  </w:num>
  <w:num w:numId="7">
    <w:abstractNumId w:val="26"/>
  </w:num>
  <w:num w:numId="8">
    <w:abstractNumId w:val="23"/>
  </w:num>
  <w:num w:numId="9">
    <w:abstractNumId w:val="22"/>
  </w:num>
  <w:num w:numId="10">
    <w:abstractNumId w:val="8"/>
  </w:num>
  <w:num w:numId="11">
    <w:abstractNumId w:val="2"/>
  </w:num>
  <w:num w:numId="12">
    <w:abstractNumId w:val="28"/>
  </w:num>
  <w:num w:numId="13">
    <w:abstractNumId w:val="7"/>
  </w:num>
  <w:num w:numId="14">
    <w:abstractNumId w:val="4"/>
  </w:num>
  <w:num w:numId="15">
    <w:abstractNumId w:val="12"/>
  </w:num>
  <w:num w:numId="16">
    <w:abstractNumId w:val="24"/>
  </w:num>
  <w:num w:numId="17">
    <w:abstractNumId w:val="25"/>
  </w:num>
  <w:num w:numId="18">
    <w:abstractNumId w:val="11"/>
  </w:num>
  <w:num w:numId="19">
    <w:abstractNumId w:val="10"/>
  </w:num>
  <w:num w:numId="20">
    <w:abstractNumId w:val="13"/>
  </w:num>
  <w:num w:numId="21">
    <w:abstractNumId w:val="29"/>
  </w:num>
  <w:num w:numId="22">
    <w:abstractNumId w:val="17"/>
  </w:num>
  <w:num w:numId="23">
    <w:abstractNumId w:val="31"/>
  </w:num>
  <w:num w:numId="24">
    <w:abstractNumId w:val="27"/>
  </w:num>
  <w:num w:numId="25">
    <w:abstractNumId w:val="5"/>
  </w:num>
  <w:num w:numId="26">
    <w:abstractNumId w:val="32"/>
  </w:num>
  <w:num w:numId="27">
    <w:abstractNumId w:val="20"/>
  </w:num>
  <w:num w:numId="28">
    <w:abstractNumId w:val="0"/>
  </w:num>
  <w:num w:numId="29">
    <w:abstractNumId w:val="33"/>
  </w:num>
  <w:num w:numId="30">
    <w:abstractNumId w:val="14"/>
  </w:num>
  <w:num w:numId="31">
    <w:abstractNumId w:val="1"/>
  </w:num>
  <w:num w:numId="32">
    <w:abstractNumId w:val="15"/>
  </w:num>
  <w:num w:numId="33">
    <w:abstractNumId w:val="16"/>
  </w:num>
  <w:num w:numId="34">
    <w:abstractNumId w:val="30"/>
  </w:num>
  <w:num w:numId="35">
    <w:abstractNumId w:val="19"/>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86"/>
    <w:rsid w:val="00004493"/>
    <w:rsid w:val="000067CB"/>
    <w:rsid w:val="00021087"/>
    <w:rsid w:val="00041C32"/>
    <w:rsid w:val="00042FAE"/>
    <w:rsid w:val="00055A1A"/>
    <w:rsid w:val="00060AE6"/>
    <w:rsid w:val="00071244"/>
    <w:rsid w:val="00073512"/>
    <w:rsid w:val="00083713"/>
    <w:rsid w:val="000A31EF"/>
    <w:rsid w:val="000A6B82"/>
    <w:rsid w:val="000C0976"/>
    <w:rsid w:val="000E2127"/>
    <w:rsid w:val="00105645"/>
    <w:rsid w:val="00111C7B"/>
    <w:rsid w:val="00131575"/>
    <w:rsid w:val="00143950"/>
    <w:rsid w:val="00145D84"/>
    <w:rsid w:val="00154636"/>
    <w:rsid w:val="001A1015"/>
    <w:rsid w:val="001A4969"/>
    <w:rsid w:val="001B6FA3"/>
    <w:rsid w:val="001E0A15"/>
    <w:rsid w:val="001E3125"/>
    <w:rsid w:val="001E3608"/>
    <w:rsid w:val="002141B0"/>
    <w:rsid w:val="00233EC9"/>
    <w:rsid w:val="00244DA9"/>
    <w:rsid w:val="00246FC0"/>
    <w:rsid w:val="00251F21"/>
    <w:rsid w:val="002748F7"/>
    <w:rsid w:val="00286163"/>
    <w:rsid w:val="002B0131"/>
    <w:rsid w:val="002C3B1F"/>
    <w:rsid w:val="002C7271"/>
    <w:rsid w:val="002D2693"/>
    <w:rsid w:val="00302FE8"/>
    <w:rsid w:val="00305C25"/>
    <w:rsid w:val="00327CB5"/>
    <w:rsid w:val="00327D76"/>
    <w:rsid w:val="0033488B"/>
    <w:rsid w:val="00350878"/>
    <w:rsid w:val="003843C2"/>
    <w:rsid w:val="003A1F84"/>
    <w:rsid w:val="003A2DC2"/>
    <w:rsid w:val="003D39FD"/>
    <w:rsid w:val="00403346"/>
    <w:rsid w:val="00406EF9"/>
    <w:rsid w:val="00415A07"/>
    <w:rsid w:val="004401C8"/>
    <w:rsid w:val="004414BC"/>
    <w:rsid w:val="004512E5"/>
    <w:rsid w:val="0045484A"/>
    <w:rsid w:val="00475288"/>
    <w:rsid w:val="00497527"/>
    <w:rsid w:val="004B09C2"/>
    <w:rsid w:val="004C2409"/>
    <w:rsid w:val="004D20C3"/>
    <w:rsid w:val="004D4CAA"/>
    <w:rsid w:val="004E66BD"/>
    <w:rsid w:val="004E7B76"/>
    <w:rsid w:val="004F5574"/>
    <w:rsid w:val="00503E63"/>
    <w:rsid w:val="0051644E"/>
    <w:rsid w:val="00556935"/>
    <w:rsid w:val="005626F4"/>
    <w:rsid w:val="00571F2A"/>
    <w:rsid w:val="00581411"/>
    <w:rsid w:val="005C232D"/>
    <w:rsid w:val="005C260A"/>
    <w:rsid w:val="005C361C"/>
    <w:rsid w:val="00600A77"/>
    <w:rsid w:val="00613DF7"/>
    <w:rsid w:val="00647AFA"/>
    <w:rsid w:val="00651426"/>
    <w:rsid w:val="00663C8A"/>
    <w:rsid w:val="0066562E"/>
    <w:rsid w:val="006769AF"/>
    <w:rsid w:val="006800B9"/>
    <w:rsid w:val="00681958"/>
    <w:rsid w:val="00683BF5"/>
    <w:rsid w:val="00696FA3"/>
    <w:rsid w:val="006977DF"/>
    <w:rsid w:val="006A7385"/>
    <w:rsid w:val="006B7FF0"/>
    <w:rsid w:val="006C7FB2"/>
    <w:rsid w:val="006D0C1D"/>
    <w:rsid w:val="006E5F99"/>
    <w:rsid w:val="00702785"/>
    <w:rsid w:val="00702E47"/>
    <w:rsid w:val="007322F6"/>
    <w:rsid w:val="00735470"/>
    <w:rsid w:val="00771438"/>
    <w:rsid w:val="007B4642"/>
    <w:rsid w:val="00827BFE"/>
    <w:rsid w:val="00831332"/>
    <w:rsid w:val="00850EB3"/>
    <w:rsid w:val="0086645D"/>
    <w:rsid w:val="00887213"/>
    <w:rsid w:val="008A4128"/>
    <w:rsid w:val="008A7695"/>
    <w:rsid w:val="008B2665"/>
    <w:rsid w:val="008B68CE"/>
    <w:rsid w:val="008D5425"/>
    <w:rsid w:val="008D6B9E"/>
    <w:rsid w:val="009036DA"/>
    <w:rsid w:val="009060A0"/>
    <w:rsid w:val="0090631B"/>
    <w:rsid w:val="009144F5"/>
    <w:rsid w:val="00956C4F"/>
    <w:rsid w:val="009669CB"/>
    <w:rsid w:val="009A278E"/>
    <w:rsid w:val="009A316C"/>
    <w:rsid w:val="009B4F79"/>
    <w:rsid w:val="009B7760"/>
    <w:rsid w:val="009C5E65"/>
    <w:rsid w:val="00A22674"/>
    <w:rsid w:val="00A270A3"/>
    <w:rsid w:val="00A30F8D"/>
    <w:rsid w:val="00A3790F"/>
    <w:rsid w:val="00A41231"/>
    <w:rsid w:val="00A42556"/>
    <w:rsid w:val="00A54ACB"/>
    <w:rsid w:val="00A64061"/>
    <w:rsid w:val="00A6501F"/>
    <w:rsid w:val="00A807B4"/>
    <w:rsid w:val="00A83CED"/>
    <w:rsid w:val="00AA0813"/>
    <w:rsid w:val="00AA23EF"/>
    <w:rsid w:val="00AA6962"/>
    <w:rsid w:val="00AB686B"/>
    <w:rsid w:val="00AC4D72"/>
    <w:rsid w:val="00AD7AF8"/>
    <w:rsid w:val="00AE262A"/>
    <w:rsid w:val="00AF2038"/>
    <w:rsid w:val="00AF2A58"/>
    <w:rsid w:val="00B06C82"/>
    <w:rsid w:val="00B11C03"/>
    <w:rsid w:val="00B620ED"/>
    <w:rsid w:val="00B81ACA"/>
    <w:rsid w:val="00B82092"/>
    <w:rsid w:val="00B932E5"/>
    <w:rsid w:val="00B9401A"/>
    <w:rsid w:val="00BD000C"/>
    <w:rsid w:val="00BD0386"/>
    <w:rsid w:val="00BE003B"/>
    <w:rsid w:val="00BE4003"/>
    <w:rsid w:val="00BF2E1D"/>
    <w:rsid w:val="00C07A2E"/>
    <w:rsid w:val="00C511E3"/>
    <w:rsid w:val="00C61F17"/>
    <w:rsid w:val="00C806D4"/>
    <w:rsid w:val="00C8189A"/>
    <w:rsid w:val="00C82ED1"/>
    <w:rsid w:val="00C90A2F"/>
    <w:rsid w:val="00CB6ECF"/>
    <w:rsid w:val="00D03786"/>
    <w:rsid w:val="00D063C3"/>
    <w:rsid w:val="00D74408"/>
    <w:rsid w:val="00D77678"/>
    <w:rsid w:val="00D831BA"/>
    <w:rsid w:val="00D84840"/>
    <w:rsid w:val="00D850B4"/>
    <w:rsid w:val="00D857BB"/>
    <w:rsid w:val="00DD5D0C"/>
    <w:rsid w:val="00DE095B"/>
    <w:rsid w:val="00DE3D77"/>
    <w:rsid w:val="00E03B14"/>
    <w:rsid w:val="00E17201"/>
    <w:rsid w:val="00E5153F"/>
    <w:rsid w:val="00E94D86"/>
    <w:rsid w:val="00E94DFC"/>
    <w:rsid w:val="00EC45F6"/>
    <w:rsid w:val="00EC4928"/>
    <w:rsid w:val="00EE5302"/>
    <w:rsid w:val="00EF5C15"/>
    <w:rsid w:val="00F002A6"/>
    <w:rsid w:val="00F01E50"/>
    <w:rsid w:val="00F10800"/>
    <w:rsid w:val="00F130E0"/>
    <w:rsid w:val="00F32383"/>
    <w:rsid w:val="00F46C8E"/>
    <w:rsid w:val="00F5723F"/>
    <w:rsid w:val="00F703A3"/>
    <w:rsid w:val="00F725EE"/>
    <w:rsid w:val="00FA59C9"/>
    <w:rsid w:val="00FC50EC"/>
    <w:rsid w:val="00FC7F8F"/>
    <w:rsid w:val="00FD12F2"/>
    <w:rsid w:val="00FD2459"/>
    <w:rsid w:val="00FD7A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6498ABD-94B4-4EEC-98A2-D0C50C17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906027">
      <w:bodyDiv w:val="1"/>
      <w:marLeft w:val="0"/>
      <w:marRight w:val="0"/>
      <w:marTop w:val="0"/>
      <w:marBottom w:val="0"/>
      <w:divBdr>
        <w:top w:val="none" w:sz="0" w:space="0" w:color="auto"/>
        <w:left w:val="none" w:sz="0" w:space="0" w:color="auto"/>
        <w:bottom w:val="none" w:sz="0" w:space="0" w:color="auto"/>
        <w:right w:val="none" w:sz="0" w:space="0" w:color="auto"/>
      </w:divBdr>
    </w:div>
    <w:div w:id="1241863263">
      <w:bodyDiv w:val="1"/>
      <w:marLeft w:val="0"/>
      <w:marRight w:val="0"/>
      <w:marTop w:val="0"/>
      <w:marBottom w:val="0"/>
      <w:divBdr>
        <w:top w:val="none" w:sz="0" w:space="0" w:color="auto"/>
        <w:left w:val="none" w:sz="0" w:space="0" w:color="auto"/>
        <w:bottom w:val="none" w:sz="0" w:space="0" w:color="auto"/>
        <w:right w:val="none" w:sz="0" w:space="0" w:color="auto"/>
      </w:divBdr>
    </w:div>
    <w:div w:id="1564558815">
      <w:bodyDiv w:val="1"/>
      <w:marLeft w:val="0"/>
      <w:marRight w:val="0"/>
      <w:marTop w:val="0"/>
      <w:marBottom w:val="0"/>
      <w:divBdr>
        <w:top w:val="none" w:sz="0" w:space="0" w:color="auto"/>
        <w:left w:val="none" w:sz="0" w:space="0" w:color="auto"/>
        <w:bottom w:val="none" w:sz="0" w:space="0" w:color="auto"/>
        <w:right w:val="none" w:sz="0" w:space="0" w:color="auto"/>
      </w:divBdr>
    </w:div>
    <w:div w:id="1644894978">
      <w:bodyDiv w:val="1"/>
      <w:marLeft w:val="0"/>
      <w:marRight w:val="0"/>
      <w:marTop w:val="0"/>
      <w:marBottom w:val="0"/>
      <w:divBdr>
        <w:top w:val="none" w:sz="0" w:space="0" w:color="auto"/>
        <w:left w:val="none" w:sz="0" w:space="0" w:color="auto"/>
        <w:bottom w:val="none" w:sz="0" w:space="0" w:color="auto"/>
        <w:right w:val="none" w:sz="0" w:space="0" w:color="auto"/>
      </w:divBdr>
    </w:div>
    <w:div w:id="1849754771">
      <w:bodyDiv w:val="1"/>
      <w:marLeft w:val="0"/>
      <w:marRight w:val="0"/>
      <w:marTop w:val="0"/>
      <w:marBottom w:val="0"/>
      <w:divBdr>
        <w:top w:val="none" w:sz="0" w:space="0" w:color="auto"/>
        <w:left w:val="none" w:sz="0" w:space="0" w:color="auto"/>
        <w:bottom w:val="none" w:sz="0" w:space="0" w:color="auto"/>
        <w:right w:val="none" w:sz="0" w:space="0" w:color="auto"/>
      </w:divBdr>
    </w:div>
    <w:div w:id="1989049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58511.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e6ks4f2mhNuWpQ3GfcRWGbCdTg==">CgMxLjAyCWguM3pueXNoNzIJaC4zZHk2dmttMghoLmdqZGd4czIJaC4zMGowemxsMghoLnR5amN3dDIJaC4xdDNoNXNmMgloLjFmb2I5dGU4AHIhMTR3MDl2bHZHS3lndWdreWcxTVhydzN3b3lza1gycGFl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4985</Words>
  <Characters>27422</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5</cp:revision>
  <cp:lastPrinted>2025-05-12T16:09:00Z</cp:lastPrinted>
  <dcterms:created xsi:type="dcterms:W3CDTF">2025-04-30T20:19:00Z</dcterms:created>
  <dcterms:modified xsi:type="dcterms:W3CDTF">2025-05-12T19:33:00Z</dcterms:modified>
</cp:coreProperties>
</file>