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5EFE" w:rsidRPr="00BB4B02" w:rsidRDefault="00EB48A6" w:rsidP="00BB4B02">
      <w:pPr>
        <w:spacing w:line="360" w:lineRule="auto"/>
        <w:ind w:right="-2"/>
        <w:jc w:val="both"/>
        <w:rPr>
          <w:rFonts w:ascii="Palatino Linotype" w:eastAsia="Palatino Linotype" w:hAnsi="Palatino Linotype" w:cs="Palatino Linotype"/>
          <w:b/>
          <w:bCs/>
          <w:color w:val="000000" w:themeColor="text1"/>
        </w:rPr>
      </w:pPr>
      <w:bookmarkStart w:id="0" w:name="_GoBack"/>
      <w:bookmarkEnd w:id="0"/>
      <w:r w:rsidRPr="00BB4B02">
        <w:rPr>
          <w:rFonts w:ascii="Palatino Linotype" w:eastAsia="Palatino Linotype" w:hAnsi="Palatino Linotype" w:cs="Palatino Linotype"/>
          <w:color w:val="000000" w:themeColor="text1"/>
        </w:rPr>
        <w:t>Resolución del Pleno del Instituto de Transparencia, Acceso a la Información Pública y Protección de Datos Personales del Estado de México y Municipios, con domicilio en Metepec, Estado de México; de</w:t>
      </w:r>
      <w:r w:rsidR="00E71F64">
        <w:rPr>
          <w:rFonts w:ascii="Palatino Linotype" w:eastAsia="Palatino Linotype" w:hAnsi="Palatino Linotype" w:cs="Palatino Linotype"/>
          <w:color w:val="000000" w:themeColor="text1"/>
        </w:rPr>
        <w:t xml:space="preserve"> fecha</w:t>
      </w:r>
      <w:r w:rsidRPr="00BB4B02">
        <w:rPr>
          <w:rFonts w:ascii="Palatino Linotype" w:eastAsia="Palatino Linotype" w:hAnsi="Palatino Linotype" w:cs="Palatino Linotype"/>
          <w:color w:val="000000" w:themeColor="text1"/>
        </w:rPr>
        <w:t xml:space="preserve"> </w:t>
      </w:r>
      <w:r w:rsidRPr="00BB4B02">
        <w:rPr>
          <w:rFonts w:ascii="Palatino Linotype" w:eastAsia="Palatino Linotype" w:hAnsi="Palatino Linotype" w:cs="Palatino Linotype"/>
          <w:b/>
          <w:bCs/>
          <w:color w:val="000000" w:themeColor="text1"/>
        </w:rPr>
        <w:t xml:space="preserve">diez </w:t>
      </w:r>
      <w:r w:rsidR="00E71F64">
        <w:rPr>
          <w:rFonts w:ascii="Palatino Linotype" w:eastAsia="Palatino Linotype" w:hAnsi="Palatino Linotype" w:cs="Palatino Linotype"/>
          <w:b/>
          <w:bCs/>
          <w:color w:val="000000" w:themeColor="text1"/>
        </w:rPr>
        <w:t xml:space="preserve">(10) </w:t>
      </w:r>
      <w:r w:rsidRPr="00BB4B02">
        <w:rPr>
          <w:rFonts w:ascii="Palatino Linotype" w:eastAsia="Palatino Linotype" w:hAnsi="Palatino Linotype" w:cs="Palatino Linotype"/>
          <w:b/>
          <w:bCs/>
          <w:color w:val="000000" w:themeColor="text1"/>
        </w:rPr>
        <w:t>de diciembre de dos mil veinticinco.</w:t>
      </w:r>
    </w:p>
    <w:p w:rsidR="00565EFE" w:rsidRPr="00BB4B02" w:rsidRDefault="00565EFE" w:rsidP="00BB4B02">
      <w:pPr>
        <w:spacing w:line="360" w:lineRule="auto"/>
        <w:ind w:right="-2"/>
        <w:jc w:val="both"/>
        <w:rPr>
          <w:rFonts w:ascii="Palatino Linotype" w:eastAsia="Palatino Linotype" w:hAnsi="Palatino Linotype" w:cs="Palatino Linotype"/>
          <w:color w:val="000000" w:themeColor="text1"/>
        </w:rPr>
      </w:pPr>
    </w:p>
    <w:p w:rsidR="00565EFE" w:rsidRPr="00BB4B02" w:rsidRDefault="00EB48A6" w:rsidP="00BB4B02">
      <w:pPr>
        <w:spacing w:line="360" w:lineRule="auto"/>
        <w:ind w:right="-2"/>
        <w:jc w:val="both"/>
        <w:rPr>
          <w:rFonts w:ascii="Palatino Linotype" w:eastAsia="Palatino Linotype" w:hAnsi="Palatino Linotype" w:cs="Palatino Linotype"/>
          <w:color w:val="000000" w:themeColor="text1"/>
        </w:rPr>
      </w:pPr>
      <w:bookmarkStart w:id="1" w:name="_heading=h.ro6epwxwwcj5" w:colFirst="0" w:colLast="0"/>
      <w:bookmarkEnd w:id="1"/>
      <w:r w:rsidRPr="00BB4B02">
        <w:rPr>
          <w:rFonts w:ascii="Palatino Linotype" w:eastAsia="Palatino Linotype" w:hAnsi="Palatino Linotype" w:cs="Palatino Linotype"/>
          <w:b/>
          <w:bCs/>
          <w:color w:val="000000" w:themeColor="text1"/>
        </w:rPr>
        <w:t>VISTO</w:t>
      </w:r>
      <w:r w:rsidRPr="00BB4B02">
        <w:rPr>
          <w:rFonts w:ascii="Palatino Linotype" w:eastAsia="Palatino Linotype" w:hAnsi="Palatino Linotype" w:cs="Palatino Linotype"/>
          <w:color w:val="000000" w:themeColor="text1"/>
        </w:rPr>
        <w:t xml:space="preserve"> el expediente electrónico formado con motivo del recurso de </w:t>
      </w:r>
      <w:r w:rsidR="00BB4B02" w:rsidRPr="00BB4B02">
        <w:rPr>
          <w:rFonts w:ascii="Palatino Linotype" w:eastAsia="Palatino Linotype" w:hAnsi="Palatino Linotype" w:cs="Palatino Linotype"/>
          <w:color w:val="000000" w:themeColor="text1"/>
        </w:rPr>
        <w:t xml:space="preserve">revisión </w:t>
      </w:r>
      <w:r w:rsidR="00BB4B02" w:rsidRPr="00BB4B02">
        <w:rPr>
          <w:rFonts w:ascii="Palatino Linotype" w:eastAsia="Palatino Linotype" w:hAnsi="Palatino Linotype" w:cs="Palatino Linotype"/>
          <w:b/>
          <w:bCs/>
          <w:color w:val="000000" w:themeColor="text1"/>
        </w:rPr>
        <w:t>06028</w:t>
      </w:r>
      <w:r w:rsidRPr="00BB4B02">
        <w:rPr>
          <w:rFonts w:ascii="Palatino Linotype" w:eastAsia="Palatino Linotype" w:hAnsi="Palatino Linotype" w:cs="Palatino Linotype"/>
          <w:b/>
          <w:bCs/>
          <w:color w:val="000000" w:themeColor="text1"/>
        </w:rPr>
        <w:t>/INFOEM/IP/RR/2025</w:t>
      </w:r>
      <w:r w:rsidRPr="00BB4B02">
        <w:rPr>
          <w:rFonts w:ascii="Palatino Linotype" w:eastAsia="Palatino Linotype" w:hAnsi="Palatino Linotype" w:cs="Palatino Linotype"/>
          <w:color w:val="000000" w:themeColor="text1"/>
        </w:rPr>
        <w:t>,</w:t>
      </w:r>
      <w:r w:rsidRPr="00BB4B02">
        <w:rPr>
          <w:rFonts w:ascii="Palatino Linotype" w:eastAsia="Palatino Linotype" w:hAnsi="Palatino Linotype" w:cs="Palatino Linotype"/>
          <w:b/>
          <w:bCs/>
          <w:color w:val="000000" w:themeColor="text1"/>
        </w:rPr>
        <w:t xml:space="preserve"> </w:t>
      </w:r>
      <w:r w:rsidRPr="00BB4B02">
        <w:rPr>
          <w:rFonts w:ascii="Palatino Linotype" w:eastAsia="Palatino Linotype" w:hAnsi="Palatino Linotype" w:cs="Palatino Linotype"/>
          <w:color w:val="000000" w:themeColor="text1"/>
        </w:rPr>
        <w:t xml:space="preserve">promovido por </w:t>
      </w:r>
      <w:r w:rsidR="000F70C5">
        <w:rPr>
          <w:rFonts w:ascii="Palatino Linotype" w:eastAsia="Palatino Linotype" w:hAnsi="Palatino Linotype" w:cs="Palatino Linotype"/>
          <w:b/>
          <w:bCs/>
          <w:color w:val="000000" w:themeColor="text1"/>
        </w:rPr>
        <w:t>XXXX</w:t>
      </w:r>
      <w:r w:rsidRPr="00BB4B02">
        <w:rPr>
          <w:rFonts w:ascii="Palatino Linotype" w:eastAsia="Palatino Linotype" w:hAnsi="Palatino Linotype" w:cs="Palatino Linotype"/>
          <w:color w:val="000000" w:themeColor="text1"/>
        </w:rPr>
        <w:t xml:space="preserve">, y a quien en lo sucesivo se le identificará como </w:t>
      </w:r>
      <w:r w:rsidRPr="00BB4B02">
        <w:rPr>
          <w:rFonts w:ascii="Palatino Linotype" w:eastAsia="Palatino Linotype" w:hAnsi="Palatino Linotype" w:cs="Palatino Linotype"/>
          <w:b/>
          <w:bCs/>
          <w:color w:val="000000" w:themeColor="text1"/>
        </w:rPr>
        <w:t>EL RECURRENTE</w:t>
      </w:r>
      <w:r w:rsidRPr="00BB4B02">
        <w:rPr>
          <w:rFonts w:ascii="Palatino Linotype" w:eastAsia="Palatino Linotype" w:hAnsi="Palatino Linotype" w:cs="Palatino Linotype"/>
          <w:color w:val="000000" w:themeColor="text1"/>
        </w:rPr>
        <w:t xml:space="preserve">, en contra de la respuesta del </w:t>
      </w:r>
      <w:r w:rsidRPr="00BB4B02">
        <w:rPr>
          <w:rFonts w:ascii="Palatino Linotype" w:eastAsia="Palatino Linotype" w:hAnsi="Palatino Linotype" w:cs="Palatino Linotype"/>
          <w:b/>
          <w:bCs/>
          <w:color w:val="000000" w:themeColor="text1"/>
        </w:rPr>
        <w:t xml:space="preserve">Organismo Público Descentralizado de Agua Potable Alcantarillado y Saneamiento de Chimalhuacán </w:t>
      </w:r>
      <w:r w:rsidRPr="00BB4B02">
        <w:rPr>
          <w:rFonts w:ascii="Palatino Linotype" w:eastAsia="Palatino Linotype" w:hAnsi="Palatino Linotype" w:cs="Palatino Linotype"/>
          <w:color w:val="000000" w:themeColor="text1"/>
        </w:rPr>
        <w:t>en lo sucesivo el</w:t>
      </w:r>
      <w:r w:rsidRPr="00BB4B02">
        <w:rPr>
          <w:rFonts w:ascii="Palatino Linotype" w:eastAsia="Palatino Linotype" w:hAnsi="Palatino Linotype" w:cs="Palatino Linotype"/>
          <w:b/>
          <w:bCs/>
          <w:color w:val="000000" w:themeColor="text1"/>
        </w:rPr>
        <w:t xml:space="preserve"> SUJETO OBLIGADO</w:t>
      </w:r>
      <w:r w:rsidRPr="00BB4B02">
        <w:rPr>
          <w:rFonts w:ascii="Palatino Linotype" w:eastAsia="Palatino Linotype" w:hAnsi="Palatino Linotype" w:cs="Palatino Linotype"/>
          <w:color w:val="000000" w:themeColor="text1"/>
        </w:rPr>
        <w:t>, se procede a dictar la presente resolución, con base en los siguientes:</w:t>
      </w:r>
    </w:p>
    <w:p w:rsidR="00565EFE" w:rsidRPr="00BB4B02" w:rsidRDefault="00565EFE" w:rsidP="00BB4B02">
      <w:pPr>
        <w:spacing w:line="360" w:lineRule="auto"/>
        <w:ind w:right="-2"/>
        <w:jc w:val="both"/>
        <w:rPr>
          <w:rFonts w:ascii="Palatino Linotype" w:eastAsia="Palatino Linotype" w:hAnsi="Palatino Linotype" w:cs="Palatino Linotype"/>
          <w:color w:val="000000" w:themeColor="text1"/>
        </w:rPr>
      </w:pPr>
    </w:p>
    <w:p w:rsidR="00565EFE" w:rsidRDefault="00EB48A6" w:rsidP="00BB4B02">
      <w:pPr>
        <w:pStyle w:val="Ttulo1"/>
        <w:spacing w:before="0" w:line="360" w:lineRule="auto"/>
        <w:ind w:right="-2"/>
        <w:jc w:val="center"/>
        <w:rPr>
          <w:color w:val="000000" w:themeColor="text1"/>
        </w:rPr>
      </w:pPr>
      <w:bookmarkStart w:id="2" w:name="_heading=h.nckktu4vov72" w:colFirst="0" w:colLast="0"/>
      <w:bookmarkEnd w:id="2"/>
      <w:r w:rsidRPr="00BB4B02">
        <w:rPr>
          <w:color w:val="000000" w:themeColor="text1"/>
        </w:rPr>
        <w:t>A</w:t>
      </w:r>
      <w:r w:rsidR="00E71F64">
        <w:rPr>
          <w:color w:val="000000" w:themeColor="text1"/>
        </w:rPr>
        <w:t xml:space="preserve"> </w:t>
      </w:r>
      <w:r w:rsidRPr="00BB4B02">
        <w:rPr>
          <w:color w:val="000000" w:themeColor="text1"/>
        </w:rPr>
        <w:t>N</w:t>
      </w:r>
      <w:r w:rsidR="00E71F64">
        <w:rPr>
          <w:color w:val="000000" w:themeColor="text1"/>
        </w:rPr>
        <w:t xml:space="preserve"> </w:t>
      </w:r>
      <w:r w:rsidRPr="00BB4B02">
        <w:rPr>
          <w:color w:val="000000" w:themeColor="text1"/>
        </w:rPr>
        <w:t>T</w:t>
      </w:r>
      <w:r w:rsidR="00E71F64">
        <w:rPr>
          <w:color w:val="000000" w:themeColor="text1"/>
        </w:rPr>
        <w:t xml:space="preserve"> </w:t>
      </w:r>
      <w:r w:rsidRPr="00BB4B02">
        <w:rPr>
          <w:color w:val="000000" w:themeColor="text1"/>
        </w:rPr>
        <w:t>E</w:t>
      </w:r>
      <w:r w:rsidR="00E71F64">
        <w:rPr>
          <w:color w:val="000000" w:themeColor="text1"/>
        </w:rPr>
        <w:t xml:space="preserve"> </w:t>
      </w:r>
      <w:r w:rsidRPr="00BB4B02">
        <w:rPr>
          <w:color w:val="000000" w:themeColor="text1"/>
        </w:rPr>
        <w:t>C</w:t>
      </w:r>
      <w:r w:rsidR="00E71F64">
        <w:rPr>
          <w:color w:val="000000" w:themeColor="text1"/>
        </w:rPr>
        <w:t xml:space="preserve"> </w:t>
      </w:r>
      <w:r w:rsidRPr="00BB4B02">
        <w:rPr>
          <w:color w:val="000000" w:themeColor="text1"/>
        </w:rPr>
        <w:t>E</w:t>
      </w:r>
      <w:r w:rsidR="00E71F64">
        <w:rPr>
          <w:color w:val="000000" w:themeColor="text1"/>
        </w:rPr>
        <w:t xml:space="preserve"> </w:t>
      </w:r>
      <w:r w:rsidRPr="00BB4B02">
        <w:rPr>
          <w:color w:val="000000" w:themeColor="text1"/>
        </w:rPr>
        <w:t>D</w:t>
      </w:r>
      <w:r w:rsidR="00E71F64">
        <w:rPr>
          <w:color w:val="000000" w:themeColor="text1"/>
        </w:rPr>
        <w:t xml:space="preserve"> </w:t>
      </w:r>
      <w:r w:rsidRPr="00BB4B02">
        <w:rPr>
          <w:color w:val="000000" w:themeColor="text1"/>
        </w:rPr>
        <w:t>E</w:t>
      </w:r>
      <w:r w:rsidR="00E71F64">
        <w:rPr>
          <w:color w:val="000000" w:themeColor="text1"/>
        </w:rPr>
        <w:t xml:space="preserve"> </w:t>
      </w:r>
      <w:r w:rsidRPr="00BB4B02">
        <w:rPr>
          <w:color w:val="000000" w:themeColor="text1"/>
        </w:rPr>
        <w:t>N</w:t>
      </w:r>
      <w:r w:rsidR="00E71F64">
        <w:rPr>
          <w:color w:val="000000" w:themeColor="text1"/>
        </w:rPr>
        <w:t xml:space="preserve"> </w:t>
      </w:r>
      <w:r w:rsidRPr="00BB4B02">
        <w:rPr>
          <w:color w:val="000000" w:themeColor="text1"/>
        </w:rPr>
        <w:t>T</w:t>
      </w:r>
      <w:r w:rsidR="00E71F64">
        <w:rPr>
          <w:color w:val="000000" w:themeColor="text1"/>
        </w:rPr>
        <w:t xml:space="preserve"> </w:t>
      </w:r>
      <w:r w:rsidRPr="00BB4B02">
        <w:rPr>
          <w:color w:val="000000" w:themeColor="text1"/>
        </w:rPr>
        <w:t>E</w:t>
      </w:r>
      <w:r w:rsidR="00E71F64">
        <w:rPr>
          <w:color w:val="000000" w:themeColor="text1"/>
        </w:rPr>
        <w:t xml:space="preserve"> </w:t>
      </w:r>
      <w:r w:rsidRPr="00BB4B02">
        <w:rPr>
          <w:color w:val="000000" w:themeColor="text1"/>
        </w:rPr>
        <w:t>S</w:t>
      </w:r>
    </w:p>
    <w:p w:rsidR="00E71F64" w:rsidRPr="00E71F64" w:rsidRDefault="00E71F64" w:rsidP="00E71F64"/>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 xml:space="preserve">El </w:t>
      </w:r>
      <w:r w:rsidRPr="00BB4B02">
        <w:rPr>
          <w:rFonts w:ascii="Palatino Linotype" w:eastAsia="Palatino Linotype" w:hAnsi="Palatino Linotype" w:cs="Palatino Linotype"/>
          <w:b/>
          <w:bCs/>
          <w:color w:val="000000" w:themeColor="text1"/>
        </w:rPr>
        <w:t xml:space="preserve">veintitrés de abril de dos mil veinticinco, </w:t>
      </w:r>
      <w:r w:rsidRPr="00BB4B02">
        <w:rPr>
          <w:rFonts w:ascii="Palatino Linotype" w:eastAsia="Palatino Linotype" w:hAnsi="Palatino Linotype" w:cs="Palatino Linotype"/>
          <w:color w:val="000000" w:themeColor="text1"/>
        </w:rPr>
        <w:t xml:space="preserve">se presentó ante el </w:t>
      </w:r>
      <w:r w:rsidRPr="00BB4B02">
        <w:rPr>
          <w:rFonts w:ascii="Palatino Linotype" w:eastAsia="Palatino Linotype" w:hAnsi="Palatino Linotype" w:cs="Palatino Linotype"/>
          <w:b/>
          <w:bCs/>
          <w:color w:val="000000" w:themeColor="text1"/>
        </w:rPr>
        <w:t>SUJETO OBLIGADO</w:t>
      </w:r>
      <w:r w:rsidRPr="00BB4B02">
        <w:rPr>
          <w:rFonts w:ascii="Palatino Linotype" w:eastAsia="Palatino Linotype" w:hAnsi="Palatino Linotype" w:cs="Palatino Linotype"/>
          <w:color w:val="000000" w:themeColor="text1"/>
        </w:rPr>
        <w:t xml:space="preserve"> vía SAIMEX, la solicitud de información pública registrada con el número</w:t>
      </w:r>
      <w:r w:rsidRPr="00BB4B02">
        <w:rPr>
          <w:rFonts w:ascii="Palatino Linotype" w:eastAsia="Palatino Linotype" w:hAnsi="Palatino Linotype" w:cs="Palatino Linotype"/>
          <w:b/>
          <w:bCs/>
          <w:color w:val="000000" w:themeColor="text1"/>
        </w:rPr>
        <w:t xml:space="preserve"> 00011/OASCHIMAL/IP/2025; </w:t>
      </w:r>
      <w:r w:rsidR="00E71F64">
        <w:rPr>
          <w:rFonts w:ascii="Palatino Linotype" w:eastAsia="Palatino Linotype" w:hAnsi="Palatino Linotype" w:cs="Palatino Linotype"/>
          <w:color w:val="000000" w:themeColor="text1"/>
        </w:rPr>
        <w:t>en la que</w:t>
      </w:r>
      <w:r w:rsidRPr="00BB4B02">
        <w:rPr>
          <w:rFonts w:ascii="Palatino Linotype" w:eastAsia="Palatino Linotype" w:hAnsi="Palatino Linotype" w:cs="Palatino Linotype"/>
          <w:color w:val="000000" w:themeColor="text1"/>
        </w:rPr>
        <w:t xml:space="preserve"> se solicitó la siguiente información:</w:t>
      </w:r>
    </w:p>
    <w:p w:rsidR="00BB4B02" w:rsidRDefault="00BB4B02" w:rsidP="00BB4B02">
      <w:pPr>
        <w:pBdr>
          <w:top w:val="nil"/>
          <w:left w:val="nil"/>
          <w:bottom w:val="nil"/>
          <w:right w:val="nil"/>
          <w:between w:val="nil"/>
        </w:pBdr>
        <w:ind w:right="-2"/>
        <w:jc w:val="both"/>
        <w:rPr>
          <w:rFonts w:ascii="Palatino Linotype" w:eastAsia="Palatino Linotype" w:hAnsi="Palatino Linotype" w:cs="Palatino Linotype"/>
          <w:i/>
          <w:iCs/>
          <w:color w:val="000000" w:themeColor="text1"/>
        </w:rPr>
      </w:pPr>
    </w:p>
    <w:p w:rsidR="00565EFE" w:rsidRPr="00BB4B02" w:rsidRDefault="00EB48A6" w:rsidP="00BB4B02">
      <w:pPr>
        <w:pBdr>
          <w:top w:val="nil"/>
          <w:left w:val="nil"/>
          <w:bottom w:val="nil"/>
          <w:right w:val="nil"/>
          <w:between w:val="nil"/>
        </w:pBdr>
        <w:ind w:right="-2"/>
        <w:jc w:val="both"/>
        <w:rPr>
          <w:rFonts w:ascii="Palatino Linotype" w:eastAsia="Palatino Linotype" w:hAnsi="Palatino Linotype" w:cs="Palatino Linotype"/>
          <w:i/>
          <w:iCs/>
          <w:color w:val="000000" w:themeColor="text1"/>
        </w:rPr>
      </w:pPr>
      <w:r w:rsidRPr="00BB4B02">
        <w:rPr>
          <w:rFonts w:ascii="Palatino Linotype" w:eastAsia="Palatino Linotype" w:hAnsi="Palatino Linotype" w:cs="Palatino Linotype"/>
          <w:i/>
          <w:iCs/>
          <w:color w:val="000000" w:themeColor="text1"/>
        </w:rPr>
        <w:t xml:space="preserve">“Con base en Con base en el Artículo 52 de la Ley del Agua para el Estado de México y Municipios, que establece que los prestadores de servicios deberán contar con: Manuales de operación actualizados, Catastro técnico actualizado de redes de agua potable, drenaje y alcantarillado, e Inventario completo de la infraestructura hidráulica a su cargo, y conforme a los principios de transparencia, eficacia institucional y derecho a un medio ambiente sano contenidos en los artículos 6 y 7 de la misma ley, solicito la siguiente información: Catastro técnico actualizado de la infraestructura hidráulica del la colonia 17 de marzo incluyendo: Redes de agua potable, Redes de drenaje y alcantarillado, Localización y estado funcional de pozos, tanques, estaciones de bombeo y válvulas, Año de construcción y última rehabilitación por tramo. Inventario físico de infraestructura hidráulica bajo control del organismo operador municipal o la CAEM, con detalle de: Número total de instalaciones hidráulicas, Estado </w:t>
      </w:r>
      <w:r w:rsidRPr="00BB4B02">
        <w:rPr>
          <w:rFonts w:ascii="Palatino Linotype" w:eastAsia="Palatino Linotype" w:hAnsi="Palatino Linotype" w:cs="Palatino Linotype"/>
          <w:i/>
          <w:iCs/>
          <w:color w:val="000000" w:themeColor="text1"/>
        </w:rPr>
        <w:lastRenderedPageBreak/>
        <w:t>operativo de cada componente (óptimo, en reparación, fuera de servicio), Cobertura por colonia o zona. Manuales de operación vigentes del organismo operador o sistema municipal de agua potable y saneamiento, conforme lo dispone la ley en su artículo 52. Planes o proyectos de actualización del catastro hidráulico, si el municipio no cuenta actualmente con uno operativo o si el existente fue elaborado hace más de cinco años. o EN SU CASO, LA DECLARATORIA DE INEXISTENCIA DE ESTA INFORMACIÓN.” (Sic</w:t>
      </w:r>
      <w:r w:rsidRPr="00BB4B02">
        <w:rPr>
          <w:rFonts w:ascii="Palatino Linotype" w:eastAsia="Palatino Linotype" w:hAnsi="Palatino Linotype" w:cs="Palatino Linotype"/>
          <w:color w:val="000000" w:themeColor="text1"/>
        </w:rPr>
        <w:t>)</w:t>
      </w:r>
    </w:p>
    <w:p w:rsidR="00565EFE" w:rsidRPr="00BB4B02" w:rsidRDefault="00565EFE" w:rsidP="00BB4B02">
      <w:pPr>
        <w:pBdr>
          <w:top w:val="nil"/>
          <w:left w:val="nil"/>
          <w:bottom w:val="nil"/>
          <w:right w:val="nil"/>
          <w:between w:val="nil"/>
        </w:pBdr>
        <w:ind w:right="-2"/>
        <w:jc w:val="both"/>
        <w:rPr>
          <w:rFonts w:ascii="Palatino Linotype" w:eastAsia="Palatino Linotype" w:hAnsi="Palatino Linotype" w:cs="Palatino Linotype"/>
          <w:color w:val="000000" w:themeColor="text1"/>
        </w:rPr>
      </w:pPr>
    </w:p>
    <w:p w:rsidR="00565EFE" w:rsidRPr="00BB4B02" w:rsidRDefault="00EB48A6" w:rsidP="00E71F64">
      <w:pPr>
        <w:numPr>
          <w:ilvl w:val="0"/>
          <w:numId w:val="2"/>
        </w:numPr>
        <w:pBdr>
          <w:top w:val="nil"/>
          <w:left w:val="nil"/>
          <w:bottom w:val="nil"/>
          <w:right w:val="nil"/>
          <w:between w:val="nil"/>
        </w:pBdr>
        <w:ind w:left="0" w:right="-2" w:firstLine="0"/>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 xml:space="preserve">Se eligió como modalidad de entrega de la información: A través del </w:t>
      </w:r>
      <w:r w:rsidRPr="00BB4B02">
        <w:rPr>
          <w:rFonts w:ascii="Palatino Linotype" w:eastAsia="Palatino Linotype" w:hAnsi="Palatino Linotype" w:cs="Palatino Linotype"/>
          <w:b/>
          <w:bCs/>
          <w:color w:val="000000" w:themeColor="text1"/>
        </w:rPr>
        <w:t>SAIMEX.</w:t>
      </w:r>
    </w:p>
    <w:p w:rsidR="00565EFE" w:rsidRPr="00BB4B02" w:rsidRDefault="00565EFE" w:rsidP="00BB4B02">
      <w:pPr>
        <w:spacing w:line="360" w:lineRule="auto"/>
        <w:ind w:right="-2"/>
        <w:jc w:val="both"/>
        <w:rPr>
          <w:rFonts w:ascii="Palatino Linotype" w:eastAsia="Palatino Linotype" w:hAnsi="Palatino Linotype" w:cs="Palatino Linotype"/>
          <w:color w:val="000000" w:themeColor="text1"/>
        </w:rPr>
      </w:pP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b/>
          <w:bCs/>
          <w:color w:val="000000" w:themeColor="text1"/>
        </w:rPr>
      </w:pPr>
      <w:r w:rsidRPr="00BB4B02">
        <w:rPr>
          <w:rFonts w:ascii="Palatino Linotype" w:eastAsia="Palatino Linotype" w:hAnsi="Palatino Linotype" w:cs="Palatino Linotype"/>
          <w:color w:val="000000" w:themeColor="text1"/>
        </w:rPr>
        <w:t xml:space="preserve">El </w:t>
      </w:r>
      <w:r w:rsidRPr="00BB4B02">
        <w:rPr>
          <w:rFonts w:ascii="Palatino Linotype" w:eastAsia="Palatino Linotype" w:hAnsi="Palatino Linotype" w:cs="Palatino Linotype"/>
          <w:b/>
          <w:bCs/>
          <w:color w:val="000000" w:themeColor="text1"/>
        </w:rPr>
        <w:t xml:space="preserve">diez de julio de dos mil veinticinco, el SUJETO OBLIGADO, </w:t>
      </w:r>
      <w:r w:rsidRPr="00BB4B02">
        <w:rPr>
          <w:rFonts w:ascii="Palatino Linotype" w:eastAsia="Palatino Linotype" w:hAnsi="Palatino Linotype" w:cs="Palatino Linotype"/>
          <w:color w:val="000000" w:themeColor="text1"/>
        </w:rPr>
        <w:t>dio respuesta a través de los siguientes archivos:</w:t>
      </w:r>
    </w:p>
    <w:p w:rsidR="00565EFE" w:rsidRPr="00BB4B02" w:rsidRDefault="00EB48A6" w:rsidP="00E71F64">
      <w:pPr>
        <w:numPr>
          <w:ilvl w:val="0"/>
          <w:numId w:val="4"/>
        </w:numPr>
        <w:pBdr>
          <w:top w:val="nil"/>
          <w:left w:val="nil"/>
          <w:bottom w:val="nil"/>
          <w:right w:val="nil"/>
          <w:between w:val="nil"/>
        </w:pBdr>
        <w:spacing w:line="276" w:lineRule="auto"/>
        <w:ind w:left="0" w:right="-2" w:firstLine="0"/>
        <w:jc w:val="both"/>
        <w:rPr>
          <w:rFonts w:ascii="Palatino Linotype" w:eastAsia="Palatino Linotype" w:hAnsi="Palatino Linotype" w:cs="Palatino Linotype"/>
          <w:b/>
          <w:bCs/>
          <w:i/>
          <w:iCs/>
          <w:color w:val="000000" w:themeColor="text1"/>
        </w:rPr>
      </w:pPr>
      <w:r w:rsidRPr="00BB4B02">
        <w:rPr>
          <w:rFonts w:ascii="Palatino Linotype" w:eastAsia="Palatino Linotype" w:hAnsi="Palatino Linotype" w:cs="Palatino Linotype"/>
          <w:b/>
          <w:bCs/>
          <w:i/>
          <w:iCs/>
          <w:color w:val="000000" w:themeColor="text1"/>
        </w:rPr>
        <w:t>RESPUESTA DEL S.P.H. AL C. SOLICITANTE.pdf</w:t>
      </w:r>
    </w:p>
    <w:p w:rsidR="00565EFE" w:rsidRDefault="00EB48A6" w:rsidP="00BB4B02">
      <w:pPr>
        <w:spacing w:line="276" w:lineRule="auto"/>
        <w:ind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 xml:space="preserve">Oficio firmado por DIRECTOR DE OPERACIÓN, CONSTRUCCIÓN Y MANTENIMIENTO DEL ORGANISMO DESCENTRALIZADO DE AGUA POTABLE, ALCANTARILLADO Y SANEAMIENTO DE CHIMALHUACÁN, por el que informó lo siguiente: </w:t>
      </w:r>
    </w:p>
    <w:p w:rsidR="00BB4B02" w:rsidRPr="00BB4B02" w:rsidRDefault="00BB4B02" w:rsidP="00BB4B02">
      <w:pPr>
        <w:spacing w:line="276" w:lineRule="auto"/>
        <w:ind w:right="-2"/>
        <w:jc w:val="both"/>
        <w:rPr>
          <w:rFonts w:ascii="Palatino Linotype" w:eastAsia="Palatino Linotype" w:hAnsi="Palatino Linotype" w:cs="Palatino Linotype"/>
          <w:color w:val="000000" w:themeColor="text1"/>
        </w:rPr>
      </w:pPr>
    </w:p>
    <w:p w:rsidR="00565EFE" w:rsidRPr="00BB4B02" w:rsidRDefault="00EB48A6" w:rsidP="00BB4B02">
      <w:pPr>
        <w:spacing w:line="276" w:lineRule="auto"/>
        <w:ind w:right="-2"/>
        <w:jc w:val="both"/>
        <w:rPr>
          <w:rFonts w:ascii="Palatino Linotype" w:eastAsia="Palatino Linotype" w:hAnsi="Palatino Linotype" w:cs="Palatino Linotype"/>
          <w:i/>
          <w:iCs/>
          <w:color w:val="000000" w:themeColor="text1"/>
        </w:rPr>
      </w:pPr>
      <w:r w:rsidRPr="00BB4B02">
        <w:rPr>
          <w:rFonts w:ascii="Palatino Linotype" w:eastAsia="Palatino Linotype" w:hAnsi="Palatino Linotype" w:cs="Palatino Linotype"/>
          <w:i/>
          <w:iCs/>
          <w:color w:val="000000" w:themeColor="text1"/>
        </w:rPr>
        <w:t>Es de referir que esta Dirección de Operación, Construcción y Mantenimiento informa que la entrega de información, correspondiente a:</w:t>
      </w:r>
    </w:p>
    <w:p w:rsidR="00565EFE" w:rsidRPr="00BB4B02" w:rsidRDefault="00EB48A6" w:rsidP="00BB4B02">
      <w:pPr>
        <w:spacing w:line="276" w:lineRule="auto"/>
        <w:ind w:right="-2"/>
        <w:jc w:val="both"/>
        <w:rPr>
          <w:rFonts w:ascii="Palatino Linotype" w:eastAsia="Palatino Linotype" w:hAnsi="Palatino Linotype" w:cs="Palatino Linotype"/>
          <w:i/>
          <w:iCs/>
          <w:color w:val="000000" w:themeColor="text1"/>
        </w:rPr>
      </w:pPr>
      <w:r w:rsidRPr="00BB4B02">
        <w:rPr>
          <w:rFonts w:ascii="Palatino Linotype" w:eastAsia="Palatino Linotype" w:hAnsi="Palatino Linotype" w:cs="Palatino Linotype"/>
          <w:i/>
          <w:iCs/>
          <w:color w:val="000000" w:themeColor="text1"/>
        </w:rPr>
        <w:t xml:space="preserve">a) Catastro técnico actualizado de la infraestructura hidráulica de la colonia 17 de marzo incluyendo: (redes de agua potable, redes de drenaje y alcantarillado, localización de las estaciones de kombeo y válvulas) </w:t>
      </w:r>
    </w:p>
    <w:p w:rsidR="00565EFE" w:rsidRPr="00BB4B02" w:rsidRDefault="00565EFE" w:rsidP="00BB4B02">
      <w:pPr>
        <w:spacing w:line="276" w:lineRule="auto"/>
        <w:ind w:right="-2"/>
        <w:jc w:val="both"/>
        <w:rPr>
          <w:rFonts w:ascii="Palatino Linotype" w:eastAsia="Palatino Linotype" w:hAnsi="Palatino Linotype" w:cs="Palatino Linotype"/>
          <w:i/>
          <w:iCs/>
          <w:color w:val="000000" w:themeColor="text1"/>
        </w:rPr>
      </w:pPr>
    </w:p>
    <w:p w:rsidR="00565EFE" w:rsidRPr="00BB4B02" w:rsidRDefault="00EB48A6" w:rsidP="00BB4B02">
      <w:pPr>
        <w:spacing w:line="276" w:lineRule="auto"/>
        <w:ind w:right="-2"/>
        <w:jc w:val="both"/>
        <w:rPr>
          <w:rFonts w:ascii="Palatino Linotype" w:eastAsia="Palatino Linotype" w:hAnsi="Palatino Linotype" w:cs="Palatino Linotype"/>
          <w:i/>
          <w:iCs/>
          <w:color w:val="000000" w:themeColor="text1"/>
        </w:rPr>
      </w:pPr>
      <w:r w:rsidRPr="00BB4B02">
        <w:rPr>
          <w:rFonts w:ascii="Palatino Linotype" w:eastAsia="Palatino Linotype" w:hAnsi="Palatino Linotype" w:cs="Palatino Linotype"/>
          <w:i/>
          <w:iCs/>
          <w:color w:val="000000" w:themeColor="text1"/>
        </w:rPr>
        <w:t xml:space="preserve">b) Inventario físico de infraestructura hidráulica bajo control del organismo operador municipal o la CAEM, con detalle de: (Número total de instalaciones hidráulicas. cobertura por color.ia o zona). </w:t>
      </w:r>
    </w:p>
    <w:p w:rsidR="00565EFE" w:rsidRPr="00BB4B02" w:rsidRDefault="00565EFE" w:rsidP="00BB4B02">
      <w:pPr>
        <w:spacing w:line="276" w:lineRule="auto"/>
        <w:ind w:right="-2"/>
        <w:jc w:val="both"/>
        <w:rPr>
          <w:rFonts w:ascii="Palatino Linotype" w:eastAsia="Palatino Linotype" w:hAnsi="Palatino Linotype" w:cs="Palatino Linotype"/>
          <w:i/>
          <w:iCs/>
          <w:color w:val="000000" w:themeColor="text1"/>
        </w:rPr>
      </w:pPr>
    </w:p>
    <w:p w:rsidR="00565EFE" w:rsidRPr="00BB4B02" w:rsidRDefault="00EB48A6" w:rsidP="00BB4B02">
      <w:pPr>
        <w:spacing w:line="276" w:lineRule="auto"/>
        <w:ind w:right="-2"/>
        <w:jc w:val="both"/>
        <w:rPr>
          <w:rFonts w:ascii="Palatino Linotype" w:eastAsia="Palatino Linotype" w:hAnsi="Palatino Linotype" w:cs="Palatino Linotype"/>
          <w:i/>
          <w:iCs/>
          <w:color w:val="000000" w:themeColor="text1"/>
        </w:rPr>
      </w:pPr>
      <w:r w:rsidRPr="00BB4B02">
        <w:rPr>
          <w:rFonts w:ascii="Palatino Linotype" w:eastAsia="Palatino Linotype" w:hAnsi="Palatino Linotype" w:cs="Palatino Linotype"/>
          <w:i/>
          <w:iCs/>
          <w:color w:val="000000" w:themeColor="text1"/>
        </w:rPr>
        <w:t>c) Planes o proyectos de actualización del catastro hidráulico</w:t>
      </w:r>
    </w:p>
    <w:p w:rsidR="00565EFE" w:rsidRPr="00BB4B02" w:rsidRDefault="00565EFE" w:rsidP="00BB4B02">
      <w:pPr>
        <w:spacing w:line="276" w:lineRule="auto"/>
        <w:ind w:right="-2"/>
        <w:jc w:val="both"/>
        <w:rPr>
          <w:rFonts w:ascii="Palatino Linotype" w:eastAsia="Palatino Linotype" w:hAnsi="Palatino Linotype" w:cs="Palatino Linotype"/>
          <w:i/>
          <w:iCs/>
          <w:color w:val="000000" w:themeColor="text1"/>
        </w:rPr>
      </w:pPr>
    </w:p>
    <w:p w:rsidR="00565EFE" w:rsidRPr="00BB4B02" w:rsidRDefault="00EB48A6" w:rsidP="00BB4B02">
      <w:pPr>
        <w:spacing w:line="276" w:lineRule="auto"/>
        <w:ind w:right="-2"/>
        <w:jc w:val="both"/>
        <w:rPr>
          <w:rFonts w:ascii="Palatino Linotype" w:eastAsia="Palatino Linotype" w:hAnsi="Palatino Linotype" w:cs="Palatino Linotype"/>
          <w:i/>
          <w:iCs/>
          <w:color w:val="000000" w:themeColor="text1"/>
        </w:rPr>
      </w:pPr>
      <w:r w:rsidRPr="00BB4B02">
        <w:rPr>
          <w:rFonts w:ascii="Palatino Linotype" w:eastAsia="Palatino Linotype" w:hAnsi="Palatino Linotype" w:cs="Palatino Linotype"/>
          <w:i/>
          <w:iCs/>
          <w:color w:val="000000" w:themeColor="text1"/>
        </w:rPr>
        <w:t xml:space="preserve">Generaría un </w:t>
      </w:r>
      <w:r w:rsidRPr="00BB4B02">
        <w:rPr>
          <w:rFonts w:ascii="Palatino Linotype" w:eastAsia="Palatino Linotype" w:hAnsi="Palatino Linotype" w:cs="Palatino Linotype"/>
          <w:b/>
          <w:bCs/>
          <w:i/>
          <w:iCs/>
          <w:color w:val="000000" w:themeColor="text1"/>
        </w:rPr>
        <w:t>RIESGO DE PERJUICIO</w:t>
      </w:r>
      <w:r w:rsidRPr="00BB4B02">
        <w:rPr>
          <w:rFonts w:ascii="Palatino Linotype" w:eastAsia="Palatino Linotype" w:hAnsi="Palatino Linotype" w:cs="Palatino Linotype"/>
          <w:i/>
          <w:iCs/>
          <w:color w:val="000000" w:themeColor="text1"/>
        </w:rPr>
        <w:t xml:space="preserve"> ya que la divulgación podría generar una probabilidad de daño para la infraestructura pública y la seguridad de los ciudadanos, debido a los siguientes factores: </w:t>
      </w:r>
    </w:p>
    <w:p w:rsidR="00565EFE" w:rsidRPr="00BB4B02" w:rsidRDefault="00EB48A6" w:rsidP="00E71F64">
      <w:pPr>
        <w:numPr>
          <w:ilvl w:val="0"/>
          <w:numId w:val="4"/>
        </w:numPr>
        <w:pBdr>
          <w:top w:val="nil"/>
          <w:left w:val="nil"/>
          <w:bottom w:val="nil"/>
          <w:right w:val="nil"/>
          <w:between w:val="nil"/>
        </w:pBdr>
        <w:spacing w:line="276" w:lineRule="auto"/>
        <w:ind w:left="0" w:right="-2" w:firstLine="0"/>
        <w:jc w:val="both"/>
        <w:rPr>
          <w:rFonts w:ascii="Palatino Linotype" w:eastAsia="Palatino Linotype" w:hAnsi="Palatino Linotype" w:cs="Palatino Linotype"/>
          <w:i/>
          <w:iCs/>
          <w:color w:val="000000" w:themeColor="text1"/>
        </w:rPr>
      </w:pPr>
      <w:r w:rsidRPr="00BB4B02">
        <w:rPr>
          <w:rFonts w:ascii="Palatino Linotype" w:eastAsia="Palatino Linotype" w:hAnsi="Palatino Linotype" w:cs="Palatino Linotype"/>
          <w:i/>
          <w:iCs/>
          <w:color w:val="000000" w:themeColor="text1"/>
        </w:rPr>
        <w:lastRenderedPageBreak/>
        <w:t xml:space="preserve">Facilitación de conexiones clandestinas: Al conocer la ubicación exacta de las redes. personas ajenas a la administración pública podrían realizar conexiones ilegales, afectando la distribución del servicio y generando pérdidas económicas para el Estado. </w:t>
      </w:r>
    </w:p>
    <w:p w:rsidR="00565EFE" w:rsidRPr="00BB4B02" w:rsidRDefault="00EB48A6" w:rsidP="00E71F64">
      <w:pPr>
        <w:numPr>
          <w:ilvl w:val="0"/>
          <w:numId w:val="4"/>
        </w:numPr>
        <w:pBdr>
          <w:top w:val="nil"/>
          <w:left w:val="nil"/>
          <w:bottom w:val="nil"/>
          <w:right w:val="nil"/>
          <w:between w:val="nil"/>
        </w:pBdr>
        <w:spacing w:line="276" w:lineRule="auto"/>
        <w:ind w:left="0" w:right="-2" w:firstLine="0"/>
        <w:jc w:val="both"/>
        <w:rPr>
          <w:rFonts w:ascii="Palatino Linotype" w:eastAsia="Palatino Linotype" w:hAnsi="Palatino Linotype" w:cs="Palatino Linotype"/>
          <w:i/>
          <w:iCs/>
          <w:color w:val="000000" w:themeColor="text1"/>
        </w:rPr>
      </w:pPr>
      <w:r w:rsidRPr="00BB4B02">
        <w:rPr>
          <w:rFonts w:ascii="Palatino Linotype" w:eastAsia="Palatino Linotype" w:hAnsi="Palatino Linotype" w:cs="Palatino Linotype"/>
          <w:i/>
          <w:iCs/>
          <w:color w:val="000000" w:themeColor="text1"/>
        </w:rPr>
        <w:t xml:space="preserve">Riesgo de sabotaje o daño a la infraestructura: La información detallada sobre la ubicación y características de las redes podría ser utilizada para interferir o dañar el sistema de abastecimiento de agua y drenaje, afectando el bienestar de la población. Este organismo presentado diferentes casos, en los cuales, personas ajenas al mismo, han ubicado las válvulas y sistemas de bombeo, manipulando los sistemas y dañando el correcto funcionamiento del abastecimiento del vital líquido, perjudicando a la población y a este Organismo. </w:t>
      </w:r>
    </w:p>
    <w:p w:rsidR="00565EFE" w:rsidRPr="00BB4B02" w:rsidRDefault="00EB48A6" w:rsidP="00E71F64">
      <w:pPr>
        <w:numPr>
          <w:ilvl w:val="0"/>
          <w:numId w:val="4"/>
        </w:numPr>
        <w:pBdr>
          <w:top w:val="nil"/>
          <w:left w:val="nil"/>
          <w:bottom w:val="nil"/>
          <w:right w:val="nil"/>
          <w:between w:val="nil"/>
        </w:pBdr>
        <w:spacing w:after="160" w:line="276" w:lineRule="auto"/>
        <w:ind w:left="0" w:right="-2" w:firstLine="0"/>
        <w:jc w:val="both"/>
        <w:rPr>
          <w:rFonts w:ascii="Palatino Linotype" w:eastAsia="Palatino Linotype" w:hAnsi="Palatino Linotype" w:cs="Palatino Linotype"/>
          <w:i/>
          <w:iCs/>
          <w:color w:val="000000" w:themeColor="text1"/>
        </w:rPr>
      </w:pPr>
      <w:r w:rsidRPr="00BB4B02">
        <w:rPr>
          <w:rFonts w:ascii="Palatino Linotype" w:eastAsia="Palatino Linotype" w:hAnsi="Palatino Linotype" w:cs="Palatino Linotype"/>
          <w:i/>
          <w:iCs/>
          <w:color w:val="000000" w:themeColor="text1"/>
        </w:rPr>
        <w:t>Impacto en la seguridad pública: La alteración de las redes de agua potable y drenaje podría derivar en problemas sanitarios y ambientales, afectando la salud de los ciudadanos y generando costos adicionales para su reparación.</w:t>
      </w:r>
    </w:p>
    <w:p w:rsidR="00565EFE" w:rsidRPr="00BB4B02" w:rsidRDefault="00EB48A6" w:rsidP="00BB4B02">
      <w:pPr>
        <w:spacing w:line="276" w:lineRule="auto"/>
        <w:ind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w:t>
      </w:r>
    </w:p>
    <w:p w:rsidR="00565EFE" w:rsidRPr="00BB4B02" w:rsidRDefault="00EB48A6" w:rsidP="00BB4B02">
      <w:pPr>
        <w:spacing w:line="276" w:lineRule="auto"/>
        <w:ind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 xml:space="preserve">En consecuencia de lo anterior, se reserva la información por un periodo de 5 años. </w:t>
      </w:r>
    </w:p>
    <w:p w:rsidR="00565EFE" w:rsidRPr="00BB4B02" w:rsidRDefault="00565EFE" w:rsidP="00BB4B02">
      <w:pPr>
        <w:spacing w:line="276" w:lineRule="auto"/>
        <w:ind w:right="-2"/>
        <w:jc w:val="both"/>
        <w:rPr>
          <w:rFonts w:ascii="Palatino Linotype" w:eastAsia="Palatino Linotype" w:hAnsi="Palatino Linotype" w:cs="Palatino Linotype"/>
          <w:color w:val="000000" w:themeColor="text1"/>
        </w:rPr>
      </w:pPr>
    </w:p>
    <w:p w:rsidR="00565EFE" w:rsidRPr="00BB4B02" w:rsidRDefault="00EB48A6" w:rsidP="00BB4B02">
      <w:pPr>
        <w:spacing w:line="276" w:lineRule="auto"/>
        <w:ind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Respecto:</w:t>
      </w:r>
    </w:p>
    <w:p w:rsidR="00565EFE" w:rsidRPr="00BB4B02" w:rsidRDefault="00EB48A6" w:rsidP="00BB4B02">
      <w:pPr>
        <w:spacing w:line="276" w:lineRule="auto"/>
        <w:ind w:right="-2"/>
        <w:jc w:val="both"/>
        <w:rPr>
          <w:rFonts w:ascii="Palatino Linotype" w:eastAsia="Palatino Linotype" w:hAnsi="Palatino Linotype" w:cs="Palatino Linotype"/>
          <w:b/>
          <w:bCs/>
          <w:i/>
          <w:iCs/>
          <w:color w:val="000000" w:themeColor="text1"/>
        </w:rPr>
      </w:pPr>
      <w:r w:rsidRPr="00BB4B02">
        <w:rPr>
          <w:rFonts w:ascii="Palatino Linotype" w:eastAsia="Palatino Linotype" w:hAnsi="Palatino Linotype" w:cs="Palatino Linotype"/>
          <w:b/>
          <w:bCs/>
          <w:i/>
          <w:iCs/>
          <w:color w:val="000000" w:themeColor="text1"/>
        </w:rPr>
        <w:t xml:space="preserve">LOCALIZACIÓN Y ESTADO FUNCIONAL DE POZOS Y TANQUES. </w:t>
      </w:r>
    </w:p>
    <w:p w:rsidR="00565EFE" w:rsidRPr="00BB4B02" w:rsidRDefault="00EB48A6" w:rsidP="00BB4B02">
      <w:pPr>
        <w:spacing w:line="276" w:lineRule="auto"/>
        <w:ind w:right="-2"/>
        <w:jc w:val="both"/>
        <w:rPr>
          <w:rFonts w:ascii="Palatino Linotype" w:eastAsia="Palatino Linotype" w:hAnsi="Palatino Linotype" w:cs="Palatino Linotype"/>
          <w:i/>
          <w:iCs/>
          <w:color w:val="000000" w:themeColor="text1"/>
        </w:rPr>
      </w:pPr>
      <w:r w:rsidRPr="00BB4B02">
        <w:rPr>
          <w:rFonts w:ascii="Palatino Linotype" w:eastAsia="Palatino Linotype" w:hAnsi="Palatino Linotype" w:cs="Palatino Linotype"/>
          <w:i/>
          <w:iCs/>
          <w:color w:val="000000" w:themeColor="text1"/>
        </w:rPr>
        <w:t>De igual modo, se hace del conocimiento que, referente al "Estado operativo de cada componente (óptimo, en reparación, fuera de servicio)", se da respuesta con la siguiente información de la localización y estado funcional de cada componente, ya que esta dirección, entiende el mismo concepto por igual.</w:t>
      </w:r>
    </w:p>
    <w:p w:rsidR="00565EFE" w:rsidRPr="00BB4B02" w:rsidRDefault="00EB48A6" w:rsidP="00BB4B02">
      <w:pPr>
        <w:spacing w:line="276" w:lineRule="auto"/>
        <w:ind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Remite localización de pozos y tanques.</w:t>
      </w:r>
    </w:p>
    <w:p w:rsidR="00565EFE" w:rsidRPr="00BB4B02" w:rsidRDefault="00565EFE" w:rsidP="00BB4B02">
      <w:pPr>
        <w:spacing w:line="276" w:lineRule="auto"/>
        <w:ind w:right="-2"/>
        <w:jc w:val="both"/>
        <w:rPr>
          <w:rFonts w:ascii="Palatino Linotype" w:eastAsia="Palatino Linotype" w:hAnsi="Palatino Linotype" w:cs="Palatino Linotype"/>
          <w:color w:val="000000" w:themeColor="text1"/>
        </w:rPr>
      </w:pPr>
    </w:p>
    <w:p w:rsidR="00565EFE" w:rsidRPr="00BB4B02" w:rsidRDefault="00EB48A6" w:rsidP="00BB4B02">
      <w:pPr>
        <w:spacing w:line="276" w:lineRule="auto"/>
        <w:ind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Respecto:</w:t>
      </w:r>
    </w:p>
    <w:p w:rsidR="00565EFE" w:rsidRPr="00BB4B02" w:rsidRDefault="00EB48A6" w:rsidP="00E71F64">
      <w:pPr>
        <w:numPr>
          <w:ilvl w:val="0"/>
          <w:numId w:val="5"/>
        </w:numPr>
        <w:pBdr>
          <w:top w:val="nil"/>
          <w:left w:val="nil"/>
          <w:bottom w:val="nil"/>
          <w:right w:val="nil"/>
          <w:between w:val="nil"/>
        </w:pBdr>
        <w:spacing w:after="160" w:line="276" w:lineRule="auto"/>
        <w:ind w:left="0" w:right="-2" w:firstLine="0"/>
        <w:jc w:val="both"/>
        <w:rPr>
          <w:rFonts w:ascii="Palatino Linotype" w:eastAsia="Palatino Linotype" w:hAnsi="Palatino Linotype" w:cs="Palatino Linotype"/>
          <w:b/>
          <w:bCs/>
          <w:i/>
          <w:iCs/>
          <w:color w:val="000000" w:themeColor="text1"/>
        </w:rPr>
      </w:pPr>
      <w:r w:rsidRPr="00BB4B02">
        <w:rPr>
          <w:rFonts w:ascii="Palatino Linotype" w:eastAsia="Palatino Linotype" w:hAnsi="Palatino Linotype" w:cs="Palatino Linotype"/>
          <w:b/>
          <w:bCs/>
          <w:i/>
          <w:iCs/>
          <w:color w:val="000000" w:themeColor="text1"/>
        </w:rPr>
        <w:t xml:space="preserve">Año de construcción de la infraestructura hidráulica y última rehabilitación por tramo de la colonia 17 de marzo. </w:t>
      </w:r>
    </w:p>
    <w:p w:rsidR="00565EFE" w:rsidRPr="00BB4B02" w:rsidRDefault="00EB48A6" w:rsidP="00BB4B02">
      <w:pPr>
        <w:spacing w:line="276" w:lineRule="auto"/>
        <w:ind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 xml:space="preserve">Se desconoce el año de construcción de la infraestructura hidráulica, sin embargo, se han realizado trabajos correctivos a la red hidráulica a los tramos de C. Meteyecaxtla esquina con </w:t>
      </w:r>
      <w:r w:rsidRPr="00BB4B02">
        <w:rPr>
          <w:rFonts w:ascii="Palatino Linotype" w:eastAsia="Palatino Linotype" w:hAnsi="Palatino Linotype" w:cs="Palatino Linotype"/>
          <w:color w:val="000000" w:themeColor="text1"/>
        </w:rPr>
        <w:lastRenderedPageBreak/>
        <w:t xml:space="preserve">Nogales; C. Zopilote Mojado esquina c. San Juan; C. Mujeres llustres y C. Toluca; C. Nogales; C. Lázaro Cárdenas; C, Toluca esquina con Cda Toluca; C. Palmas: C. Cuernavaca. </w:t>
      </w:r>
    </w:p>
    <w:p w:rsidR="00565EFE" w:rsidRPr="00BB4B02" w:rsidRDefault="00565EFE" w:rsidP="00BB4B02">
      <w:pPr>
        <w:spacing w:line="276" w:lineRule="auto"/>
        <w:ind w:right="-2"/>
        <w:jc w:val="both"/>
        <w:rPr>
          <w:rFonts w:ascii="Palatino Linotype" w:eastAsia="Palatino Linotype" w:hAnsi="Palatino Linotype" w:cs="Palatino Linotype"/>
          <w:b/>
          <w:bCs/>
          <w:i/>
          <w:iCs/>
          <w:color w:val="000000" w:themeColor="text1"/>
        </w:rPr>
      </w:pPr>
    </w:p>
    <w:p w:rsidR="00565EFE" w:rsidRPr="00BB4B02" w:rsidRDefault="00EB48A6" w:rsidP="00E71F64">
      <w:pPr>
        <w:numPr>
          <w:ilvl w:val="0"/>
          <w:numId w:val="5"/>
        </w:numPr>
        <w:pBdr>
          <w:top w:val="nil"/>
          <w:left w:val="nil"/>
          <w:bottom w:val="nil"/>
          <w:right w:val="nil"/>
          <w:between w:val="nil"/>
        </w:pBdr>
        <w:spacing w:after="160" w:line="276" w:lineRule="auto"/>
        <w:ind w:left="0" w:right="-2" w:firstLine="0"/>
        <w:jc w:val="both"/>
        <w:rPr>
          <w:rFonts w:ascii="Palatino Linotype" w:eastAsia="Palatino Linotype" w:hAnsi="Palatino Linotype" w:cs="Palatino Linotype"/>
          <w:b/>
          <w:bCs/>
          <w:color w:val="000000" w:themeColor="text1"/>
        </w:rPr>
      </w:pPr>
      <w:r w:rsidRPr="00BB4B02">
        <w:rPr>
          <w:rFonts w:ascii="Palatino Linotype" w:eastAsia="Palatino Linotype" w:hAnsi="Palatino Linotype" w:cs="Palatino Linotype"/>
          <w:b/>
          <w:bCs/>
          <w:i/>
          <w:iCs/>
          <w:color w:val="000000" w:themeColor="text1"/>
        </w:rPr>
        <w:t>MANUALES DE OPERACIÓN,</w:t>
      </w:r>
      <w:r w:rsidRPr="00BB4B02">
        <w:rPr>
          <w:rFonts w:ascii="Palatino Linotype" w:eastAsia="Palatino Linotype" w:hAnsi="Palatino Linotype" w:cs="Palatino Linotype"/>
          <w:color w:val="000000" w:themeColor="text1"/>
        </w:rPr>
        <w:t xml:space="preserve"> los cuales se encuentran actualmente en </w:t>
      </w:r>
      <w:r w:rsidRPr="00BB4B02">
        <w:rPr>
          <w:rFonts w:ascii="Palatino Linotype" w:eastAsia="Palatino Linotype" w:hAnsi="Palatino Linotype" w:cs="Palatino Linotype"/>
          <w:b/>
          <w:bCs/>
          <w:color w:val="000000" w:themeColor="text1"/>
        </w:rPr>
        <w:t xml:space="preserve">proceso de actualización. </w:t>
      </w:r>
    </w:p>
    <w:p w:rsidR="00565EFE" w:rsidRPr="00BB4B02" w:rsidRDefault="00EB48A6" w:rsidP="00BB4B02">
      <w:pPr>
        <w:spacing w:line="276" w:lineRule="auto"/>
        <w:ind w:right="-2"/>
        <w:jc w:val="both"/>
        <w:rPr>
          <w:rFonts w:ascii="Palatino Linotype" w:eastAsia="Palatino Linotype" w:hAnsi="Palatino Linotype" w:cs="Palatino Linotype"/>
          <w:i/>
          <w:iCs/>
          <w:color w:val="000000" w:themeColor="text1"/>
        </w:rPr>
      </w:pPr>
      <w:r w:rsidRPr="00BB4B02">
        <w:rPr>
          <w:rFonts w:ascii="Palatino Linotype" w:eastAsia="Palatino Linotype" w:hAnsi="Palatino Linotype" w:cs="Palatino Linotype"/>
          <w:i/>
          <w:iCs/>
          <w:color w:val="000000" w:themeColor="text1"/>
        </w:rPr>
        <w:t>Dicha información está disponible conforme a los registros técnicos y operativos con los que cuenta esta institución.</w:t>
      </w:r>
    </w:p>
    <w:p w:rsidR="00565EFE" w:rsidRPr="00BB4B02" w:rsidRDefault="00EB48A6" w:rsidP="00BB4B02">
      <w:pPr>
        <w:spacing w:line="276" w:lineRule="auto"/>
        <w:ind w:right="-2"/>
        <w:jc w:val="both"/>
        <w:rPr>
          <w:rFonts w:ascii="Palatino Linotype" w:eastAsia="Palatino Linotype" w:hAnsi="Palatino Linotype" w:cs="Palatino Linotype"/>
          <w:i/>
          <w:iCs/>
          <w:color w:val="000000" w:themeColor="text1"/>
        </w:rPr>
      </w:pPr>
      <w:r w:rsidRPr="00BB4B02">
        <w:rPr>
          <w:rFonts w:ascii="Palatino Linotype" w:eastAsia="Palatino Linotype" w:hAnsi="Palatino Linotype" w:cs="Palatino Linotype"/>
          <w:i/>
          <w:iCs/>
          <w:color w:val="000000" w:themeColor="text1"/>
        </w:rPr>
        <w:t>Es importante mencionar que las autoridades correspondientes están trabajando en la planificación y ejecución de medidas que permitan la ampliación y modernización de la infraestructura hidráulica en base al crecimiento poblacional, para garantizar el suministro eficiente a todos los sectores del municipio.</w:t>
      </w:r>
    </w:p>
    <w:p w:rsidR="00565EFE" w:rsidRPr="00BB4B02" w:rsidRDefault="00565EFE" w:rsidP="00BB4B02">
      <w:pPr>
        <w:spacing w:line="276" w:lineRule="auto"/>
        <w:ind w:right="-2"/>
        <w:jc w:val="both"/>
        <w:rPr>
          <w:rFonts w:ascii="Palatino Linotype" w:eastAsia="Palatino Linotype" w:hAnsi="Palatino Linotype" w:cs="Palatino Linotype"/>
          <w:color w:val="000000" w:themeColor="text1"/>
        </w:rPr>
      </w:pPr>
    </w:p>
    <w:p w:rsidR="00565EFE" w:rsidRPr="00BB4B02" w:rsidRDefault="00EB48A6" w:rsidP="00E71F64">
      <w:pPr>
        <w:numPr>
          <w:ilvl w:val="0"/>
          <w:numId w:val="4"/>
        </w:numPr>
        <w:pBdr>
          <w:top w:val="nil"/>
          <w:left w:val="nil"/>
          <w:bottom w:val="nil"/>
          <w:right w:val="nil"/>
          <w:between w:val="nil"/>
        </w:pBdr>
        <w:spacing w:after="160" w:line="276" w:lineRule="auto"/>
        <w:ind w:left="0" w:right="-2" w:firstLine="0"/>
        <w:jc w:val="both"/>
        <w:rPr>
          <w:rFonts w:ascii="Palatino Linotype" w:eastAsia="Palatino Linotype" w:hAnsi="Palatino Linotype" w:cs="Palatino Linotype"/>
          <w:b/>
          <w:bCs/>
          <w:i/>
          <w:iCs/>
          <w:color w:val="000000" w:themeColor="text1"/>
        </w:rPr>
      </w:pPr>
      <w:r w:rsidRPr="00BB4B02">
        <w:rPr>
          <w:rFonts w:ascii="Palatino Linotype" w:eastAsia="Palatino Linotype" w:hAnsi="Palatino Linotype" w:cs="Palatino Linotype"/>
          <w:b/>
          <w:bCs/>
          <w:i/>
          <w:iCs/>
          <w:color w:val="000000" w:themeColor="text1"/>
        </w:rPr>
        <w:t>CUARTA SESION EXTRAORDINARIA.pdf:</w:t>
      </w:r>
    </w:p>
    <w:p w:rsidR="00565EFE" w:rsidRPr="00BB4B02" w:rsidRDefault="00EB48A6" w:rsidP="00BB4B02">
      <w:pPr>
        <w:spacing w:line="276" w:lineRule="auto"/>
        <w:ind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ACTA DE LA CUARTA SESIÓN EXTRAORDINARIA DEL COMITÉ DE TRANSPARENCIA 2025 DEL ORGANISMO DESCENTRALIZADO DE AGUA POTABLE ALCANTARILLADO Y SANEAMIENTO (O.D.A.P.A.S.) DEL MUNICIPIO DE CHIMALHUACÁN 2025-2027, a efecto de llevar a cabo el análisis, discusión y en su caso la aprobación o revocación de la propuesta de clasificación considerada como reservada, de la solicitud de información con número de folio 00011/OASCHIMAL/IP/2025 recibida a través del Sistema de Acceso a la Información Mexiquense (SAIMEХ).</w:t>
      </w:r>
    </w:p>
    <w:p w:rsidR="00565EFE" w:rsidRPr="00BB4B02" w:rsidRDefault="00565EFE" w:rsidP="00BB4B02">
      <w:pPr>
        <w:spacing w:line="276" w:lineRule="auto"/>
        <w:ind w:right="-2"/>
        <w:jc w:val="both"/>
        <w:rPr>
          <w:rFonts w:ascii="Palatino Linotype" w:eastAsia="Palatino Linotype" w:hAnsi="Palatino Linotype" w:cs="Palatino Linotype"/>
          <w:color w:val="000000" w:themeColor="text1"/>
        </w:rPr>
      </w:pPr>
    </w:p>
    <w:p w:rsidR="00565EFE" w:rsidRPr="00BB4B02" w:rsidRDefault="00EB48A6" w:rsidP="00E71F64">
      <w:pPr>
        <w:numPr>
          <w:ilvl w:val="0"/>
          <w:numId w:val="4"/>
        </w:numPr>
        <w:pBdr>
          <w:top w:val="nil"/>
          <w:left w:val="nil"/>
          <w:bottom w:val="nil"/>
          <w:right w:val="nil"/>
          <w:between w:val="nil"/>
        </w:pBdr>
        <w:spacing w:after="160" w:line="276" w:lineRule="auto"/>
        <w:ind w:left="0" w:right="-2" w:firstLine="0"/>
        <w:jc w:val="both"/>
        <w:rPr>
          <w:rFonts w:ascii="Palatino Linotype" w:eastAsia="Palatino Linotype" w:hAnsi="Palatino Linotype" w:cs="Palatino Linotype"/>
          <w:b/>
          <w:bCs/>
          <w:i/>
          <w:iCs/>
          <w:color w:val="000000" w:themeColor="text1"/>
        </w:rPr>
      </w:pPr>
      <w:r w:rsidRPr="00BB4B02">
        <w:rPr>
          <w:rFonts w:ascii="Palatino Linotype" w:eastAsia="Palatino Linotype" w:hAnsi="Palatino Linotype" w:cs="Palatino Linotype"/>
          <w:b/>
          <w:bCs/>
          <w:i/>
          <w:iCs/>
          <w:color w:val="000000" w:themeColor="text1"/>
        </w:rPr>
        <w:t>RESPUESTA AL C. SOLICITANTE.pdf:</w:t>
      </w:r>
    </w:p>
    <w:p w:rsidR="00565EFE" w:rsidRPr="00BB4B02" w:rsidRDefault="00EB48A6" w:rsidP="00BB4B02">
      <w:pPr>
        <w:spacing w:line="276" w:lineRule="auto"/>
        <w:ind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NO. OFICIO: UT/ODAPAS/0107/2025, firmado por el TITULAR DE LA UNIDAD DE TRANSPARENCIA O.D.A.P.A.S. CHIMALHUACÁN, por el que informó lo siguiente:</w:t>
      </w:r>
    </w:p>
    <w:p w:rsidR="00565EFE" w:rsidRPr="00BB4B02" w:rsidRDefault="00EB48A6" w:rsidP="00BB4B02">
      <w:pPr>
        <w:spacing w:line="276" w:lineRule="auto"/>
        <w:ind w:right="-2"/>
        <w:jc w:val="both"/>
        <w:rPr>
          <w:rFonts w:ascii="Palatino Linotype" w:eastAsia="Palatino Linotype" w:hAnsi="Palatino Linotype" w:cs="Palatino Linotype"/>
          <w:i/>
          <w:iCs/>
          <w:color w:val="000000" w:themeColor="text1"/>
        </w:rPr>
      </w:pPr>
      <w:r w:rsidRPr="00BB4B02">
        <w:rPr>
          <w:rFonts w:ascii="Palatino Linotype" w:eastAsia="Palatino Linotype" w:hAnsi="Palatino Linotype" w:cs="Palatino Linotype"/>
          <w:i/>
          <w:iCs/>
          <w:color w:val="000000" w:themeColor="text1"/>
        </w:rPr>
        <w:t xml:space="preserve">Por lo antes expuesto, tengo a bien informarle que, el servidor público habilitado C. Misael Miguel Pedro, director de Operación, Construcción y Mantenimiento, por medio de una prueba de daño, considero una reserva de información, para el cual, el Comité de Transparencia de este Organismo, sesionó y llevando a cabo la discusión entre los integrantes del mismo, con fundamento en el artículo </w:t>
      </w:r>
      <w:r w:rsidRPr="00BB4B02">
        <w:rPr>
          <w:rFonts w:ascii="Palatino Linotype" w:eastAsia="Palatino Linotype" w:hAnsi="Palatino Linotype" w:cs="Palatino Linotype"/>
          <w:i/>
          <w:iCs/>
          <w:color w:val="000000" w:themeColor="text1"/>
        </w:rPr>
        <w:lastRenderedPageBreak/>
        <w:t>19, fracción II de la Ley de Transparencia y Acceso a la Información Pública del Estado de México y Municipios, en el cual, el comité cuenta con las facultades para aprobar, revocar, confirmar o modificar las respuestas presentadas por los servidores públicos habilitados para dar atención a las solicitudes de información. Bajo la Cuarta Sesión Extraordinaria 2025, el Comité de Transparencia de este sujeto obligado, aprobó la CLASIFICACIÓN DE LA INFORMACIÓN CONSIDERADA COMO RESERVADA, puntualizando a los siguientes numerales: a) Catastro técnico actualizado de la infraestructura hidráulica del la colonia 17 de marzo incluyendo: (redes de agua potable, redes de drenaje y alcantarillado, localización de las estaciones de bombeo y válvulas). b) Inventario físico de infraestructura hidráulica bajo control del organismo operador municipal o la CAEM, con detalle de: (Número total de instalaciones hidráulicas, cobertura por colonia o zona). d) Planes o proyectos de actualización del catastro hidráulico.</w:t>
      </w:r>
    </w:p>
    <w:p w:rsidR="00565EFE" w:rsidRPr="00BB4B02" w:rsidRDefault="00565EFE" w:rsidP="00BB4B02">
      <w:pPr>
        <w:spacing w:line="276" w:lineRule="auto"/>
        <w:ind w:right="-2"/>
        <w:jc w:val="both"/>
        <w:rPr>
          <w:rFonts w:ascii="Palatino Linotype" w:eastAsia="Palatino Linotype" w:hAnsi="Palatino Linotype" w:cs="Palatino Linotype"/>
          <w:i/>
          <w:iCs/>
          <w:color w:val="000000" w:themeColor="text1"/>
        </w:rPr>
      </w:pPr>
    </w:p>
    <w:p w:rsidR="00565EFE" w:rsidRPr="00BB4B02" w:rsidRDefault="00EB48A6" w:rsidP="00BB4B02">
      <w:pPr>
        <w:spacing w:line="276" w:lineRule="auto"/>
        <w:ind w:right="-2"/>
        <w:jc w:val="both"/>
        <w:rPr>
          <w:rFonts w:ascii="Palatino Linotype" w:eastAsia="Palatino Linotype" w:hAnsi="Palatino Linotype" w:cs="Palatino Linotype"/>
          <w:i/>
          <w:iCs/>
          <w:color w:val="000000" w:themeColor="text1"/>
        </w:rPr>
      </w:pPr>
      <w:r w:rsidRPr="00BB4B02">
        <w:rPr>
          <w:rFonts w:ascii="Palatino Linotype" w:eastAsia="Palatino Linotype" w:hAnsi="Palatino Linotype" w:cs="Palatino Linotype"/>
          <w:i/>
          <w:iCs/>
          <w:color w:val="000000" w:themeColor="text1"/>
        </w:rPr>
        <w:t>…a djuntando en formato PDF la documentación solicitada del departamento con las facultades para atender la misma, así como la Acta de la Cuarta Sesión Extraordinaria del Comité de Transparencia 2025, en el cual, se aprobó la clasificación de la información considerada como reservada, referente a los numerales antes mencionados.</w:t>
      </w:r>
    </w:p>
    <w:p w:rsidR="00565EFE" w:rsidRPr="00BB4B02" w:rsidRDefault="00565EFE" w:rsidP="00BB4B02">
      <w:pPr>
        <w:spacing w:line="276" w:lineRule="auto"/>
        <w:ind w:right="-2"/>
        <w:jc w:val="both"/>
        <w:rPr>
          <w:rFonts w:ascii="Palatino Linotype" w:eastAsia="Palatino Linotype" w:hAnsi="Palatino Linotype" w:cs="Palatino Linotype"/>
          <w:i/>
          <w:iCs/>
          <w:color w:val="000000" w:themeColor="text1"/>
        </w:rPr>
      </w:pPr>
    </w:p>
    <w:p w:rsidR="00565EFE" w:rsidRPr="00BB4B02" w:rsidRDefault="00EB48A6" w:rsidP="00BB4B02">
      <w:pPr>
        <w:spacing w:line="276" w:lineRule="auto"/>
        <w:ind w:right="-2"/>
        <w:jc w:val="both"/>
        <w:rPr>
          <w:rFonts w:ascii="Palatino Linotype" w:eastAsia="Palatino Linotype" w:hAnsi="Palatino Linotype" w:cs="Palatino Linotype"/>
          <w:i/>
          <w:iCs/>
          <w:color w:val="000000" w:themeColor="text1"/>
        </w:rPr>
      </w:pPr>
      <w:r w:rsidRPr="00BB4B02">
        <w:rPr>
          <w:rFonts w:ascii="Palatino Linotype" w:eastAsia="Palatino Linotype" w:hAnsi="Palatino Linotype" w:cs="Palatino Linotype"/>
          <w:i/>
          <w:iCs/>
          <w:color w:val="000000" w:themeColor="text1"/>
        </w:rPr>
        <w:t>…</w:t>
      </w:r>
    </w:p>
    <w:p w:rsidR="00565EFE" w:rsidRPr="00BB4B02" w:rsidRDefault="00565EFE" w:rsidP="00BB4B02">
      <w:pPr>
        <w:spacing w:line="276" w:lineRule="auto"/>
        <w:ind w:right="-2"/>
        <w:jc w:val="both"/>
        <w:rPr>
          <w:rFonts w:ascii="Palatino Linotype" w:eastAsia="Palatino Linotype" w:hAnsi="Palatino Linotype" w:cs="Palatino Linotype"/>
          <w:i/>
          <w:iCs/>
          <w:color w:val="000000" w:themeColor="text1"/>
        </w:rPr>
      </w:pPr>
    </w:p>
    <w:p w:rsidR="00565EFE" w:rsidRPr="00BB4B02" w:rsidRDefault="00EB48A6" w:rsidP="00BB4B02">
      <w:pPr>
        <w:spacing w:line="276" w:lineRule="auto"/>
        <w:ind w:right="-2"/>
        <w:jc w:val="both"/>
        <w:rPr>
          <w:rFonts w:ascii="Palatino Linotype" w:eastAsia="Palatino Linotype" w:hAnsi="Palatino Linotype" w:cs="Palatino Linotype"/>
          <w:i/>
          <w:iCs/>
          <w:color w:val="000000" w:themeColor="text1"/>
        </w:rPr>
      </w:pPr>
      <w:r w:rsidRPr="00BB4B02">
        <w:rPr>
          <w:rFonts w:ascii="Palatino Linotype" w:eastAsia="Palatino Linotype" w:hAnsi="Palatino Linotype" w:cs="Palatino Linotype"/>
          <w:i/>
          <w:iCs/>
          <w:color w:val="000000" w:themeColor="text1"/>
        </w:rPr>
        <w:t xml:space="preserve">A su vez, en referencia a los numerales siguientes, se adjunta a la presente la información solicitada: </w:t>
      </w:r>
    </w:p>
    <w:p w:rsidR="00565EFE" w:rsidRPr="00BB4B02" w:rsidRDefault="00565EFE" w:rsidP="00BB4B02">
      <w:pPr>
        <w:spacing w:line="276" w:lineRule="auto"/>
        <w:ind w:right="-2"/>
        <w:jc w:val="both"/>
        <w:rPr>
          <w:rFonts w:ascii="Palatino Linotype" w:eastAsia="Palatino Linotype" w:hAnsi="Palatino Linotype" w:cs="Palatino Linotype"/>
          <w:i/>
          <w:iCs/>
          <w:color w:val="000000" w:themeColor="text1"/>
        </w:rPr>
      </w:pPr>
    </w:p>
    <w:p w:rsidR="00565EFE" w:rsidRPr="00BB4B02" w:rsidRDefault="00EB48A6" w:rsidP="00BB4B02">
      <w:pPr>
        <w:spacing w:line="276" w:lineRule="auto"/>
        <w:ind w:right="-2"/>
        <w:jc w:val="both"/>
        <w:rPr>
          <w:rFonts w:ascii="Palatino Linotype" w:eastAsia="Palatino Linotype" w:hAnsi="Palatino Linotype" w:cs="Palatino Linotype"/>
          <w:i/>
          <w:iCs/>
          <w:color w:val="000000" w:themeColor="text1"/>
        </w:rPr>
      </w:pPr>
      <w:r w:rsidRPr="00BB4B02">
        <w:rPr>
          <w:rFonts w:ascii="Palatino Linotype" w:eastAsia="Palatino Linotype" w:hAnsi="Palatino Linotype" w:cs="Palatino Linotype"/>
          <w:i/>
          <w:iCs/>
          <w:color w:val="000000" w:themeColor="text1"/>
        </w:rPr>
        <w:t>a) Catastro técnico actualizado de la infraestructura hidráulica del la colonia 17 de marzo incluyendo:</w:t>
      </w:r>
    </w:p>
    <w:p w:rsidR="00565EFE" w:rsidRPr="00BB4B02" w:rsidRDefault="00565EFE" w:rsidP="00BB4B02">
      <w:pPr>
        <w:spacing w:line="276" w:lineRule="auto"/>
        <w:ind w:right="-2"/>
        <w:jc w:val="both"/>
        <w:rPr>
          <w:rFonts w:ascii="Palatino Linotype" w:eastAsia="Palatino Linotype" w:hAnsi="Palatino Linotype" w:cs="Palatino Linotype"/>
          <w:i/>
          <w:iCs/>
          <w:color w:val="000000" w:themeColor="text1"/>
        </w:rPr>
      </w:pPr>
    </w:p>
    <w:p w:rsidR="00565EFE" w:rsidRPr="00BB4B02" w:rsidRDefault="00EB48A6" w:rsidP="00BB4B02">
      <w:pPr>
        <w:spacing w:line="276" w:lineRule="auto"/>
        <w:ind w:right="-2"/>
        <w:jc w:val="both"/>
        <w:rPr>
          <w:rFonts w:ascii="Palatino Linotype" w:eastAsia="Palatino Linotype" w:hAnsi="Palatino Linotype" w:cs="Palatino Linotype"/>
          <w:i/>
          <w:iCs/>
          <w:color w:val="000000" w:themeColor="text1"/>
        </w:rPr>
      </w:pPr>
      <w:r w:rsidRPr="00BB4B02">
        <w:rPr>
          <w:rFonts w:ascii="Palatino Linotype" w:eastAsia="Palatino Linotype" w:hAnsi="Palatino Linotype" w:cs="Palatino Linotype"/>
          <w:i/>
          <w:iCs/>
          <w:color w:val="000000" w:themeColor="text1"/>
        </w:rPr>
        <w:t xml:space="preserve"> 3) Localización y estado funcional de pozos y tanques. </w:t>
      </w:r>
    </w:p>
    <w:p w:rsidR="00565EFE" w:rsidRPr="00BB4B02" w:rsidRDefault="00565EFE" w:rsidP="00BB4B02">
      <w:pPr>
        <w:spacing w:line="276" w:lineRule="auto"/>
        <w:ind w:right="-2"/>
        <w:jc w:val="both"/>
        <w:rPr>
          <w:rFonts w:ascii="Palatino Linotype" w:eastAsia="Palatino Linotype" w:hAnsi="Palatino Linotype" w:cs="Palatino Linotype"/>
          <w:i/>
          <w:iCs/>
          <w:color w:val="000000" w:themeColor="text1"/>
        </w:rPr>
      </w:pPr>
    </w:p>
    <w:p w:rsidR="00565EFE" w:rsidRPr="00BB4B02" w:rsidRDefault="00EB48A6" w:rsidP="00BB4B02">
      <w:pPr>
        <w:spacing w:line="276" w:lineRule="auto"/>
        <w:ind w:right="-2"/>
        <w:jc w:val="both"/>
        <w:rPr>
          <w:rFonts w:ascii="Palatino Linotype" w:eastAsia="Palatino Linotype" w:hAnsi="Palatino Linotype" w:cs="Palatino Linotype"/>
          <w:i/>
          <w:iCs/>
          <w:color w:val="000000" w:themeColor="text1"/>
        </w:rPr>
      </w:pPr>
      <w:r w:rsidRPr="00BB4B02">
        <w:rPr>
          <w:rFonts w:ascii="Palatino Linotype" w:eastAsia="Palatino Linotype" w:hAnsi="Palatino Linotype" w:cs="Palatino Linotype"/>
          <w:i/>
          <w:iCs/>
          <w:color w:val="000000" w:themeColor="text1"/>
        </w:rPr>
        <w:t>4) Año de construcción y última rehabilitación por tramo.</w:t>
      </w:r>
    </w:p>
    <w:p w:rsidR="00565EFE" w:rsidRPr="00BB4B02" w:rsidRDefault="00565EFE" w:rsidP="00BB4B02">
      <w:pPr>
        <w:spacing w:line="276" w:lineRule="auto"/>
        <w:ind w:right="-2"/>
        <w:jc w:val="both"/>
        <w:rPr>
          <w:rFonts w:ascii="Palatino Linotype" w:eastAsia="Palatino Linotype" w:hAnsi="Palatino Linotype" w:cs="Palatino Linotype"/>
          <w:i/>
          <w:iCs/>
          <w:color w:val="000000" w:themeColor="text1"/>
        </w:rPr>
      </w:pPr>
    </w:p>
    <w:p w:rsidR="00565EFE" w:rsidRPr="00BB4B02" w:rsidRDefault="00EB48A6" w:rsidP="00BB4B02">
      <w:pPr>
        <w:spacing w:line="276" w:lineRule="auto"/>
        <w:ind w:right="-2"/>
        <w:jc w:val="both"/>
        <w:rPr>
          <w:rFonts w:ascii="Palatino Linotype" w:eastAsia="Palatino Linotype" w:hAnsi="Palatino Linotype" w:cs="Palatino Linotype"/>
          <w:i/>
          <w:iCs/>
          <w:color w:val="000000" w:themeColor="text1"/>
        </w:rPr>
      </w:pPr>
      <w:r w:rsidRPr="00BB4B02">
        <w:rPr>
          <w:rFonts w:ascii="Palatino Linotype" w:eastAsia="Palatino Linotype" w:hAnsi="Palatino Linotype" w:cs="Palatino Linotype"/>
          <w:i/>
          <w:iCs/>
          <w:color w:val="000000" w:themeColor="text1"/>
        </w:rPr>
        <w:t>b) Inventario físico de infraestructura hidráulica bajo control del organismo operador municipal o la CAEM, con detalle de:</w:t>
      </w:r>
    </w:p>
    <w:p w:rsidR="00565EFE" w:rsidRPr="00BB4B02" w:rsidRDefault="00565EFE" w:rsidP="00BB4B02">
      <w:pPr>
        <w:spacing w:line="276" w:lineRule="auto"/>
        <w:ind w:right="-2"/>
        <w:jc w:val="both"/>
        <w:rPr>
          <w:rFonts w:ascii="Palatino Linotype" w:eastAsia="Palatino Linotype" w:hAnsi="Palatino Linotype" w:cs="Palatino Linotype"/>
          <w:i/>
          <w:iCs/>
          <w:color w:val="000000" w:themeColor="text1"/>
        </w:rPr>
      </w:pPr>
    </w:p>
    <w:p w:rsidR="00565EFE" w:rsidRPr="00BB4B02" w:rsidRDefault="00EB48A6" w:rsidP="00BB4B02">
      <w:pPr>
        <w:spacing w:line="276" w:lineRule="auto"/>
        <w:ind w:right="-2" w:firstLine="708"/>
        <w:jc w:val="both"/>
        <w:rPr>
          <w:rFonts w:ascii="Palatino Linotype" w:eastAsia="Palatino Linotype" w:hAnsi="Palatino Linotype" w:cs="Palatino Linotype"/>
          <w:i/>
          <w:iCs/>
          <w:color w:val="000000" w:themeColor="text1"/>
        </w:rPr>
      </w:pPr>
      <w:r w:rsidRPr="00BB4B02">
        <w:rPr>
          <w:rFonts w:ascii="Palatino Linotype" w:eastAsia="Palatino Linotype" w:hAnsi="Palatino Linotype" w:cs="Palatino Linotype"/>
          <w:i/>
          <w:iCs/>
          <w:color w:val="000000" w:themeColor="text1"/>
        </w:rPr>
        <w:lastRenderedPageBreak/>
        <w:t>2) Estado operativo de cada componente (óptimo, en reparación, fuera de servicio),</w:t>
      </w:r>
    </w:p>
    <w:p w:rsidR="00565EFE" w:rsidRPr="00BB4B02" w:rsidRDefault="00EB48A6" w:rsidP="00BB4B02">
      <w:pPr>
        <w:spacing w:line="276" w:lineRule="auto"/>
        <w:ind w:right="-2" w:firstLine="708"/>
        <w:jc w:val="both"/>
        <w:rPr>
          <w:rFonts w:ascii="Palatino Linotype" w:eastAsia="Palatino Linotype" w:hAnsi="Palatino Linotype" w:cs="Palatino Linotype"/>
          <w:i/>
          <w:iCs/>
          <w:color w:val="000000" w:themeColor="text1"/>
        </w:rPr>
      </w:pPr>
      <w:r w:rsidRPr="00BB4B02">
        <w:rPr>
          <w:rFonts w:ascii="Palatino Linotype" w:eastAsia="Palatino Linotype" w:hAnsi="Palatino Linotype" w:cs="Palatino Linotype"/>
          <w:i/>
          <w:iCs/>
          <w:color w:val="000000" w:themeColor="text1"/>
        </w:rPr>
        <w:t>c) Manuales de operación vigentes del organismo operador o sistema municipal de agua potable y saneamiento, conforme lo dispone la ley en su artículo 52.</w:t>
      </w:r>
    </w:p>
    <w:p w:rsidR="00565EFE" w:rsidRPr="00BB4B02" w:rsidRDefault="00565EFE" w:rsidP="00BB4B02">
      <w:pPr>
        <w:spacing w:line="276" w:lineRule="auto"/>
        <w:ind w:right="-2"/>
        <w:jc w:val="both"/>
        <w:rPr>
          <w:rFonts w:ascii="Palatino Linotype" w:eastAsia="Palatino Linotype" w:hAnsi="Palatino Linotype" w:cs="Palatino Linotype"/>
          <w:color w:val="000000" w:themeColor="text1"/>
        </w:rPr>
      </w:pPr>
    </w:p>
    <w:p w:rsidR="00565EFE" w:rsidRPr="00BB4B02" w:rsidRDefault="00EB48A6" w:rsidP="00E71F64">
      <w:pPr>
        <w:numPr>
          <w:ilvl w:val="0"/>
          <w:numId w:val="4"/>
        </w:numPr>
        <w:pBdr>
          <w:top w:val="nil"/>
          <w:left w:val="nil"/>
          <w:bottom w:val="nil"/>
          <w:right w:val="nil"/>
          <w:between w:val="nil"/>
        </w:pBdr>
        <w:spacing w:after="160" w:line="276" w:lineRule="auto"/>
        <w:ind w:left="0" w:right="-2" w:firstLine="0"/>
        <w:jc w:val="both"/>
        <w:rPr>
          <w:rFonts w:ascii="Palatino Linotype" w:eastAsia="Palatino Linotype" w:hAnsi="Palatino Linotype" w:cs="Palatino Linotype"/>
          <w:b/>
          <w:bCs/>
          <w:i/>
          <w:iCs/>
          <w:color w:val="000000" w:themeColor="text1"/>
        </w:rPr>
      </w:pPr>
      <w:r w:rsidRPr="00BB4B02">
        <w:rPr>
          <w:rFonts w:ascii="Palatino Linotype" w:eastAsia="Palatino Linotype" w:hAnsi="Palatino Linotype" w:cs="Palatino Linotype"/>
          <w:b/>
          <w:bCs/>
          <w:i/>
          <w:iCs/>
          <w:color w:val="000000" w:themeColor="text1"/>
        </w:rPr>
        <w:t>NO.pdf</w:t>
      </w:r>
    </w:p>
    <w:p w:rsidR="00565EFE" w:rsidRPr="00BB4B02" w:rsidRDefault="00EB48A6" w:rsidP="00BB4B02">
      <w:pPr>
        <w:spacing w:line="276" w:lineRule="auto"/>
        <w:ind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Ubicación, localización, C.P. y Funcionamiento de tanque o pozos.</w:t>
      </w:r>
    </w:p>
    <w:p w:rsidR="00565EFE" w:rsidRPr="00BB4B02" w:rsidRDefault="00565EFE" w:rsidP="00BB4B02">
      <w:pPr>
        <w:spacing w:line="276" w:lineRule="auto"/>
        <w:ind w:right="-2"/>
        <w:jc w:val="both"/>
        <w:rPr>
          <w:rFonts w:ascii="Palatino Linotype" w:eastAsia="Palatino Linotype" w:hAnsi="Palatino Linotype" w:cs="Palatino Linotype"/>
          <w:b/>
          <w:bCs/>
          <w:color w:val="000000" w:themeColor="text1"/>
        </w:rPr>
      </w:pP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i/>
          <w:iCs/>
          <w:color w:val="000000" w:themeColor="text1"/>
        </w:rPr>
      </w:pPr>
      <w:r w:rsidRPr="00BB4B02">
        <w:rPr>
          <w:rFonts w:ascii="Palatino Linotype" w:eastAsia="Palatino Linotype" w:hAnsi="Palatino Linotype" w:cs="Palatino Linotype"/>
          <w:color w:val="000000" w:themeColor="text1"/>
        </w:rPr>
        <w:t xml:space="preserve">Inconforme con lo anterior, el </w:t>
      </w:r>
      <w:r w:rsidRPr="00BB4B02">
        <w:rPr>
          <w:rFonts w:ascii="Palatino Linotype" w:eastAsia="Palatino Linotype" w:hAnsi="Palatino Linotype" w:cs="Palatino Linotype"/>
          <w:b/>
          <w:bCs/>
          <w:color w:val="000000" w:themeColor="text1"/>
        </w:rPr>
        <w:t>PARTICULAR</w:t>
      </w:r>
      <w:r w:rsidRPr="00BB4B02">
        <w:rPr>
          <w:rFonts w:ascii="Palatino Linotype" w:eastAsia="Palatino Linotype" w:hAnsi="Palatino Linotype" w:cs="Palatino Linotype"/>
          <w:color w:val="000000" w:themeColor="text1"/>
        </w:rPr>
        <w:t xml:space="preserve"> en fecha </w:t>
      </w:r>
      <w:r w:rsidRPr="00BB4B02">
        <w:rPr>
          <w:rFonts w:ascii="Palatino Linotype" w:eastAsia="Palatino Linotype" w:hAnsi="Palatino Linotype" w:cs="Palatino Linotype"/>
          <w:b/>
          <w:bCs/>
          <w:color w:val="000000" w:themeColor="text1"/>
        </w:rPr>
        <w:t xml:space="preserve">diez de julio de dos mil veinticinco, </w:t>
      </w:r>
      <w:r w:rsidRPr="00BB4B02">
        <w:rPr>
          <w:rFonts w:ascii="Palatino Linotype" w:eastAsia="Palatino Linotype" w:hAnsi="Palatino Linotype" w:cs="Palatino Linotype"/>
          <w:color w:val="000000" w:themeColor="text1"/>
        </w:rPr>
        <w:t>interpuso el recurso de revisión en contra de la respuesta, manifestando las siguientes razones o motivos de inconformidad:</w:t>
      </w:r>
    </w:p>
    <w:p w:rsidR="00565EFE" w:rsidRPr="00BB4B02" w:rsidRDefault="00565EFE" w:rsidP="00BB4B02">
      <w:pPr>
        <w:pBdr>
          <w:top w:val="nil"/>
          <w:left w:val="nil"/>
          <w:bottom w:val="nil"/>
          <w:right w:val="nil"/>
          <w:between w:val="nil"/>
        </w:pBdr>
        <w:tabs>
          <w:tab w:val="left" w:pos="0"/>
        </w:tabs>
        <w:ind w:right="-2"/>
        <w:jc w:val="both"/>
        <w:rPr>
          <w:rFonts w:ascii="Palatino Linotype" w:eastAsia="Palatino Linotype" w:hAnsi="Palatino Linotype" w:cs="Palatino Linotype"/>
          <w:i/>
          <w:iCs/>
          <w:color w:val="000000" w:themeColor="text1"/>
        </w:rPr>
      </w:pPr>
    </w:p>
    <w:p w:rsidR="00565EFE" w:rsidRPr="00BB4B02" w:rsidRDefault="00E71F64" w:rsidP="00E71F64">
      <w:pPr>
        <w:numPr>
          <w:ilvl w:val="0"/>
          <w:numId w:val="4"/>
        </w:numPr>
        <w:pBdr>
          <w:top w:val="nil"/>
          <w:left w:val="nil"/>
          <w:bottom w:val="nil"/>
          <w:right w:val="nil"/>
          <w:between w:val="nil"/>
        </w:pBdr>
        <w:spacing w:after="160" w:line="276" w:lineRule="auto"/>
        <w:ind w:left="0" w:right="-2" w:firstLine="0"/>
        <w:jc w:val="both"/>
        <w:rPr>
          <w:rFonts w:ascii="Palatino Linotype" w:eastAsia="Palatino Linotype" w:hAnsi="Palatino Linotype" w:cs="Palatino Linotype"/>
          <w:b/>
          <w:bCs/>
          <w:color w:val="000000" w:themeColor="text1"/>
        </w:rPr>
      </w:pPr>
      <w:r w:rsidRPr="00BB4B02">
        <w:rPr>
          <w:rFonts w:ascii="Palatino Linotype" w:eastAsia="Palatino Linotype" w:hAnsi="Palatino Linotype" w:cs="Palatino Linotype"/>
          <w:b/>
          <w:bCs/>
          <w:color w:val="000000" w:themeColor="text1"/>
        </w:rPr>
        <w:t>ACTO IMPUGNADO</w:t>
      </w:r>
      <w:r w:rsidR="00EB48A6" w:rsidRPr="00BB4B02">
        <w:rPr>
          <w:rFonts w:ascii="Palatino Linotype" w:eastAsia="Palatino Linotype" w:hAnsi="Palatino Linotype" w:cs="Palatino Linotype"/>
          <w:b/>
          <w:bCs/>
          <w:color w:val="000000" w:themeColor="text1"/>
        </w:rPr>
        <w:t>:</w:t>
      </w:r>
      <w:r w:rsidR="00EB48A6" w:rsidRPr="00BB4B02">
        <w:rPr>
          <w:rFonts w:ascii="Palatino Linotype" w:eastAsia="Palatino Linotype" w:hAnsi="Palatino Linotype" w:cs="Palatino Linotype"/>
          <w:color w:val="000000" w:themeColor="text1"/>
        </w:rPr>
        <w:t xml:space="preserve"> “</w:t>
      </w:r>
      <w:r w:rsidR="00EB48A6" w:rsidRPr="00BB4B02">
        <w:rPr>
          <w:rFonts w:ascii="Palatino Linotype" w:eastAsia="Palatino Linotype" w:hAnsi="Palatino Linotype" w:cs="Palatino Linotype"/>
          <w:i/>
          <w:iCs/>
          <w:color w:val="000000" w:themeColor="text1"/>
        </w:rPr>
        <w:t>La respuesta emitida mediante oficio UT/ODAPAS/0107/2025, en la que el sujeto obligado informa la clasificación como reservada de parte de la información solicitada en el folio 00011/OASCHIMAL/IP/2025, así como ell acuerdo adoptado por el Comité de Transparencia del ODAPAS Chimalhuacán en su Cuarta Sesión Extraordinaria celebrada el 19 de mayo de 2025, en la que se aprobó la reserva sin establecer individualización documental, sin definir el plazo de reserva y sin presentar una prueba de daño jurídicamente válida, conforme a los requisitos legales aplicables. Asimismo, se impugna la omisión en la entrega de versiones públicas parciales, la ausencia de motivación suficiente en el acta del Comité, y la utilización de una prueba de daño genérica que no permite verificar ni el perjuicio real alegado ni el cumplimiento del principio de proporcionalidad.”</w:t>
      </w:r>
    </w:p>
    <w:p w:rsidR="00565EFE" w:rsidRPr="00BB4B02" w:rsidRDefault="00565EFE" w:rsidP="00BB4B02">
      <w:pPr>
        <w:spacing w:line="276" w:lineRule="auto"/>
        <w:ind w:right="-2"/>
        <w:jc w:val="both"/>
        <w:rPr>
          <w:rFonts w:ascii="Palatino Linotype" w:eastAsia="Palatino Linotype" w:hAnsi="Palatino Linotype" w:cs="Palatino Linotype"/>
          <w:b/>
          <w:bCs/>
          <w:color w:val="000000" w:themeColor="text1"/>
        </w:rPr>
      </w:pPr>
    </w:p>
    <w:p w:rsidR="00565EFE" w:rsidRPr="00BB4B02" w:rsidRDefault="00E71F64" w:rsidP="00E71F64">
      <w:pPr>
        <w:numPr>
          <w:ilvl w:val="0"/>
          <w:numId w:val="4"/>
        </w:numPr>
        <w:pBdr>
          <w:top w:val="nil"/>
          <w:left w:val="nil"/>
          <w:bottom w:val="nil"/>
          <w:right w:val="nil"/>
          <w:between w:val="nil"/>
        </w:pBdr>
        <w:spacing w:after="160" w:line="276" w:lineRule="auto"/>
        <w:ind w:left="0" w:right="-2" w:firstLine="0"/>
        <w:jc w:val="both"/>
        <w:rPr>
          <w:rFonts w:ascii="Palatino Linotype" w:eastAsia="Palatino Linotype" w:hAnsi="Palatino Linotype" w:cs="Palatino Linotype"/>
          <w:i/>
          <w:iCs/>
          <w:color w:val="000000" w:themeColor="text1"/>
        </w:rPr>
      </w:pPr>
      <w:r w:rsidRPr="00BB4B02">
        <w:rPr>
          <w:rFonts w:ascii="Palatino Linotype" w:eastAsia="Palatino Linotype" w:hAnsi="Palatino Linotype" w:cs="Palatino Linotype"/>
          <w:b/>
          <w:bCs/>
          <w:color w:val="000000" w:themeColor="text1"/>
        </w:rPr>
        <w:t>RAZONES O MOTIVOS DE LA INCONFORMIDAD</w:t>
      </w:r>
      <w:r w:rsidR="00EB48A6" w:rsidRPr="00BB4B02">
        <w:rPr>
          <w:rFonts w:ascii="Palatino Linotype" w:eastAsia="Palatino Linotype" w:hAnsi="Palatino Linotype" w:cs="Palatino Linotype"/>
          <w:b/>
          <w:bCs/>
          <w:color w:val="000000" w:themeColor="text1"/>
        </w:rPr>
        <w:t>:”</w:t>
      </w:r>
      <w:r w:rsidR="00EB48A6" w:rsidRPr="00BB4B02">
        <w:rPr>
          <w:rFonts w:ascii="Palatino Linotype" w:eastAsia="Palatino Linotype" w:hAnsi="Palatino Linotype" w:cs="Palatino Linotype"/>
          <w:color w:val="000000" w:themeColor="text1"/>
        </w:rPr>
        <w:t xml:space="preserve"> </w:t>
      </w:r>
      <w:r w:rsidR="00EB48A6" w:rsidRPr="00BB4B02">
        <w:rPr>
          <w:rFonts w:ascii="Palatino Linotype" w:eastAsia="Palatino Linotype" w:hAnsi="Palatino Linotype" w:cs="Palatino Linotype"/>
          <w:i/>
          <w:iCs/>
          <w:color w:val="000000" w:themeColor="text1"/>
          <w:u w:val="single"/>
        </w:rPr>
        <w:t xml:space="preserve">Se impugna el acuerdo de clasificación de información como reservada emitido por el Comité de Transparencia del ODAPAS Chimalhuacán, </w:t>
      </w:r>
      <w:r w:rsidR="00EB48A6" w:rsidRPr="00BB4B02">
        <w:rPr>
          <w:rFonts w:ascii="Palatino Linotype" w:eastAsia="Palatino Linotype" w:hAnsi="Palatino Linotype" w:cs="Palatino Linotype"/>
          <w:i/>
          <w:iCs/>
          <w:color w:val="000000" w:themeColor="text1"/>
        </w:rPr>
        <w:t xml:space="preserve">por contravenir los principios de máxima publicidad, legalidad, motivación y proporcionalidad, previstos en la Constitución, la Ley General de Transparencia y la Ley de Transparencia del Estado de México, así como por contener una prueba de daño genérica, deficiente y </w:t>
      </w:r>
      <w:r w:rsidR="00EB48A6" w:rsidRPr="00BB4B02">
        <w:rPr>
          <w:rFonts w:ascii="Palatino Linotype" w:eastAsia="Palatino Linotype" w:hAnsi="Palatino Linotype" w:cs="Palatino Linotype"/>
          <w:i/>
          <w:iCs/>
          <w:color w:val="000000" w:themeColor="text1"/>
        </w:rPr>
        <w:lastRenderedPageBreak/>
        <w:t>jurídicamente ineficaz. RAZONES DE LA INCONFORMIDAD La prueba de daño carece de los elementos exigidos por el artículo 129 de la Ley local. No individualiza documentos, no precisa el tipo de riesgo ni acredita técnicamente el perjuicio invocado. Solo reproduce fórmulas legales sin justificación específica ni evidencia objetiva. No se estableció el plazo de reserva conforme al artículo 128 de la Ley estatal, requisito indispensable para cualquier clasificación válida. Se omitió realizar una ponderación del interés público entre el supuesto daño y el beneficio de conocer la información, como exige el artículo 20 de la Ley local y el principio de proporcionalidad. No se emitió una versión pública, violando lo dispuesto en el artículo 49 fracción VIII. Se reservan categorías completas de información sin aplicar el principio de divisibilidad. No se observó el principio de interpretación conforme ni el principio pro persona (artículo 8 de la Ley estatal), ni se atendió el deber reforzado de transparencia sobre temas de medio ambiente y recursos hídricos. La clasificación se realizó sin peritaje técnico, dictamen de seguridad pública o justificación fundada, lo cual convierte la reserva en un acto discrecional y no en una medida excepcional, como exige la doctrina interamericana (Corte IDH, Caso Almonacid Arellano vs. Chile, párrafo 121). PRETENSIÓN Solicito se revoque el acuerdo de clasificación adoptado por el Comité de Transparencia del ODAPAS Chimalhuacán en su Cuarta Sesión Extraordinaria de 2025, y en consecuencia se: Ordene la entrega de la información solicitada en versión pública debidamente testada si procede; Se elabore una prueba de daño fundada y motivada conforme al artículo 129 de la Ley local, en caso de que persista la pretensión de reserva; Se garantice el ejercicio pleno del derecho de acceso a la información conforme a los principios de máxima publicidad, legalidad y proporcionalidad. (El presente recurso se presenta, debido a que se presume que en los dos trienios de este gobierno, no se hizo ningún acto tendiente a cumplir con, contar con el catastro hídrico y a ello se debe el desabasto y daños a la infraestructura hídrica de la colonia 17 de marzo, por lo que se pide a este organismo solicitar los documentos directamente al obligado constitucional que es el Ayuntamiento Constitucional de Chimalhuacán y de comprobarse por este instituto la inexistencia de la información ordenar al sujeto obligado a reconocerlo en una declaratoria de inexistencia)”</w:t>
      </w:r>
    </w:p>
    <w:p w:rsidR="00565EFE" w:rsidRDefault="00565EFE" w:rsidP="00BB4B02">
      <w:pPr>
        <w:spacing w:line="360" w:lineRule="auto"/>
        <w:ind w:right="-2"/>
        <w:rPr>
          <w:rFonts w:ascii="Palatino Linotype" w:eastAsia="Palatino Linotype" w:hAnsi="Palatino Linotype" w:cs="Palatino Linotype"/>
          <w:i/>
          <w:iCs/>
          <w:color w:val="000000" w:themeColor="text1"/>
        </w:rPr>
      </w:pPr>
    </w:p>
    <w:p w:rsidR="00BB4B02" w:rsidRPr="00BB4B02" w:rsidRDefault="00BB4B02" w:rsidP="00BB4B02">
      <w:pPr>
        <w:spacing w:line="360" w:lineRule="auto"/>
        <w:ind w:right="-2"/>
        <w:rPr>
          <w:rFonts w:ascii="Palatino Linotype" w:eastAsia="Palatino Linotype" w:hAnsi="Palatino Linotype" w:cs="Palatino Linotype"/>
          <w:i/>
          <w:iCs/>
          <w:color w:val="000000" w:themeColor="text1"/>
        </w:rPr>
      </w:pPr>
    </w:p>
    <w:p w:rsidR="00565EFE" w:rsidRPr="00BB4B02" w:rsidRDefault="00565EFE" w:rsidP="00BB4B02">
      <w:pPr>
        <w:ind w:right="-2"/>
        <w:rPr>
          <w:rFonts w:ascii="Palatino Linotype" w:eastAsia="Palatino Linotype" w:hAnsi="Palatino Linotype" w:cs="Palatino Linotype"/>
          <w:color w:val="000000" w:themeColor="text1"/>
        </w:rPr>
      </w:pPr>
    </w:p>
    <w:p w:rsidR="00565EFE" w:rsidRPr="00BB4B02" w:rsidRDefault="00E71F64" w:rsidP="00BB4B02">
      <w:pPr>
        <w:numPr>
          <w:ilvl w:val="0"/>
          <w:numId w:val="1"/>
        </w:numPr>
        <w:spacing w:line="360" w:lineRule="auto"/>
        <w:ind w:left="0" w:right="-2"/>
        <w:jc w:val="both"/>
        <w:rPr>
          <w:rFonts w:ascii="Palatino Linotype" w:eastAsia="Palatino Linotype" w:hAnsi="Palatino Linotype" w:cs="Palatino Linotype"/>
          <w:i/>
          <w:iCs/>
          <w:color w:val="000000" w:themeColor="text1"/>
        </w:rPr>
      </w:pPr>
      <w:r>
        <w:rPr>
          <w:rFonts w:ascii="Palatino Linotype" w:eastAsia="Palatino Linotype" w:hAnsi="Palatino Linotype" w:cs="Palatino Linotype"/>
          <w:color w:val="000000" w:themeColor="text1"/>
        </w:rPr>
        <w:lastRenderedPageBreak/>
        <w:t>La Comisionada p</w:t>
      </w:r>
      <w:r w:rsidR="00EB48A6" w:rsidRPr="00BB4B02">
        <w:rPr>
          <w:rFonts w:ascii="Palatino Linotype" w:eastAsia="Palatino Linotype" w:hAnsi="Palatino Linotype" w:cs="Palatino Linotype"/>
          <w:color w:val="000000" w:themeColor="text1"/>
        </w:rPr>
        <w:t xml:space="preserve">onente con fundamento en lo dispuesto por el artículo 185 fracción II de la ley de la materia, a través del acuerdo de admisión notificado en fecha </w:t>
      </w:r>
      <w:r w:rsidR="00EB48A6" w:rsidRPr="00BB4B02">
        <w:rPr>
          <w:rFonts w:ascii="Palatino Linotype" w:eastAsia="Palatino Linotype" w:hAnsi="Palatino Linotype" w:cs="Palatino Linotype"/>
          <w:b/>
          <w:bCs/>
          <w:color w:val="000000" w:themeColor="text1"/>
        </w:rPr>
        <w:t>dos de junio de dos mil veinticinco</w:t>
      </w:r>
      <w:r w:rsidR="00EB48A6" w:rsidRPr="00BB4B02">
        <w:rPr>
          <w:rFonts w:ascii="Palatino Linotype" w:eastAsia="Palatino Linotype" w:hAnsi="Palatino Linotype" w:cs="Palatino Linotype"/>
          <w:color w:val="000000" w:themeColor="text1"/>
        </w:rPr>
        <w:t xml:space="preserve">, puso a disposición de las partes el expediente electrónico vía </w:t>
      </w:r>
      <w:r w:rsidR="00EB48A6" w:rsidRPr="00BB4B02">
        <w:rPr>
          <w:rFonts w:ascii="Palatino Linotype" w:eastAsia="Palatino Linotype" w:hAnsi="Palatino Linotype" w:cs="Palatino Linotype"/>
          <w:b/>
          <w:bCs/>
          <w:color w:val="000000" w:themeColor="text1"/>
        </w:rPr>
        <w:t xml:space="preserve">SAIMEX </w:t>
      </w:r>
      <w:r w:rsidR="00EB48A6" w:rsidRPr="00BB4B02">
        <w:rPr>
          <w:rFonts w:ascii="Palatino Linotype" w:eastAsia="Palatino Linotype" w:hAnsi="Palatino Linotype" w:cs="Palatino Linotype"/>
          <w:color w:val="000000" w:themeColor="text1"/>
        </w:rPr>
        <w:t xml:space="preserve">a efecto de que en un plazo máximo de siete días manifestaran lo que a su derecho conviniera, ofrecieran pruebas y alegatos según corresponda a los casos concretos, y el </w:t>
      </w:r>
      <w:r w:rsidR="00EB48A6" w:rsidRPr="00BB4B02">
        <w:rPr>
          <w:rFonts w:ascii="Palatino Linotype" w:eastAsia="Palatino Linotype" w:hAnsi="Palatino Linotype" w:cs="Palatino Linotype"/>
          <w:b/>
          <w:bCs/>
          <w:color w:val="000000" w:themeColor="text1"/>
        </w:rPr>
        <w:t>SUJETO OBLIGADO</w:t>
      </w:r>
      <w:r w:rsidR="00EB48A6" w:rsidRPr="00BB4B02">
        <w:rPr>
          <w:rFonts w:ascii="Palatino Linotype" w:eastAsia="Palatino Linotype" w:hAnsi="Palatino Linotype" w:cs="Palatino Linotype"/>
          <w:color w:val="000000" w:themeColor="text1"/>
        </w:rPr>
        <w:t xml:space="preserve"> presentará el Informe Justificado procedente.</w:t>
      </w:r>
    </w:p>
    <w:p w:rsidR="00565EFE" w:rsidRPr="00BB4B02" w:rsidRDefault="00565EFE" w:rsidP="00BB4B02">
      <w:pPr>
        <w:pBdr>
          <w:top w:val="nil"/>
          <w:left w:val="nil"/>
          <w:bottom w:val="nil"/>
          <w:right w:val="nil"/>
          <w:between w:val="nil"/>
        </w:pBdr>
        <w:spacing w:line="360" w:lineRule="auto"/>
        <w:ind w:right="-2"/>
        <w:jc w:val="both"/>
        <w:rPr>
          <w:rFonts w:ascii="Palatino Linotype" w:eastAsia="Palatino Linotype" w:hAnsi="Palatino Linotype" w:cs="Palatino Linotype"/>
          <w:i/>
          <w:iCs/>
          <w:color w:val="000000" w:themeColor="text1"/>
        </w:rPr>
      </w:pP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 xml:space="preserve">El </w:t>
      </w:r>
      <w:r w:rsidRPr="00BB4B02">
        <w:rPr>
          <w:rFonts w:ascii="Palatino Linotype" w:eastAsia="Palatino Linotype" w:hAnsi="Palatino Linotype" w:cs="Palatino Linotype"/>
          <w:b/>
          <w:bCs/>
          <w:color w:val="000000" w:themeColor="text1"/>
        </w:rPr>
        <w:t>SUJETO OBLIGADO</w:t>
      </w:r>
      <w:r w:rsidRPr="00BB4B02">
        <w:rPr>
          <w:rFonts w:ascii="Palatino Linotype" w:eastAsia="Palatino Linotype" w:hAnsi="Palatino Linotype" w:cs="Palatino Linotype"/>
          <w:color w:val="000000" w:themeColor="text1"/>
        </w:rPr>
        <w:t>, rindió el Informe Justificado correspondiente a través del archivo siguiente:</w:t>
      </w:r>
    </w:p>
    <w:p w:rsidR="00565EFE" w:rsidRPr="00BB4B02" w:rsidRDefault="00A5135A" w:rsidP="00E71F64">
      <w:pPr>
        <w:numPr>
          <w:ilvl w:val="0"/>
          <w:numId w:val="6"/>
        </w:numPr>
        <w:pBdr>
          <w:top w:val="nil"/>
          <w:left w:val="nil"/>
          <w:bottom w:val="nil"/>
          <w:right w:val="nil"/>
          <w:between w:val="nil"/>
        </w:pBdr>
        <w:spacing w:after="160" w:line="259" w:lineRule="auto"/>
        <w:ind w:left="0" w:right="-2" w:firstLine="0"/>
        <w:jc w:val="both"/>
        <w:rPr>
          <w:rFonts w:ascii="Palatino Linotype" w:eastAsia="Palatino Linotype" w:hAnsi="Palatino Linotype" w:cs="Palatino Linotype"/>
          <w:b/>
          <w:bCs/>
          <w:color w:val="000000" w:themeColor="text1"/>
        </w:rPr>
      </w:pPr>
      <w:hyperlink r:id="rId8">
        <w:r w:rsidR="00EB48A6" w:rsidRPr="00BB4B02">
          <w:rPr>
            <w:rFonts w:ascii="Palatino Linotype" w:eastAsia="Palatino Linotype" w:hAnsi="Palatino Linotype" w:cs="Palatino Linotype"/>
            <w:b/>
            <w:bCs/>
            <w:color w:val="000000" w:themeColor="text1"/>
          </w:rPr>
          <w:t>20250612165701.pdf</w:t>
        </w:r>
      </w:hyperlink>
    </w:p>
    <w:p w:rsidR="00565EFE" w:rsidRPr="00BB4B02" w:rsidRDefault="00EB48A6" w:rsidP="00BB4B02">
      <w:pPr>
        <w:ind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OFICIO NÚMERO: ODAPAS/DOCYM/0262/2025, firmado por el DIRECTOR DE OPERACIÓN, CONSTRUCCIÓN Y MANTENIMIENTO DEL ORGANISMO DESCENTRALIZADO DE AGUA POTABLE, ALCANTARILLADO Y SANEAMIENTO DE CHIMALHUACÁ, por el que informó lo siguiente:</w:t>
      </w:r>
    </w:p>
    <w:p w:rsidR="00565EFE" w:rsidRPr="00BB4B02" w:rsidRDefault="00565EFE" w:rsidP="00BB4B02">
      <w:pPr>
        <w:ind w:right="-2"/>
        <w:jc w:val="both"/>
        <w:rPr>
          <w:rFonts w:ascii="Palatino Linotype" w:eastAsia="Palatino Linotype" w:hAnsi="Palatino Linotype" w:cs="Palatino Linotype"/>
          <w:color w:val="000000" w:themeColor="text1"/>
        </w:rPr>
      </w:pPr>
    </w:p>
    <w:p w:rsidR="00565EFE" w:rsidRPr="00BB4B02" w:rsidRDefault="00EB48A6" w:rsidP="00BB4B02">
      <w:pPr>
        <w:ind w:right="-2"/>
        <w:jc w:val="both"/>
        <w:rPr>
          <w:rFonts w:ascii="Palatino Linotype" w:eastAsia="Palatino Linotype" w:hAnsi="Palatino Linotype" w:cs="Palatino Linotype"/>
          <w:i/>
          <w:iCs/>
          <w:color w:val="000000" w:themeColor="text1"/>
        </w:rPr>
      </w:pPr>
      <w:r w:rsidRPr="00BB4B02">
        <w:rPr>
          <w:rFonts w:ascii="Palatino Linotype" w:eastAsia="Palatino Linotype" w:hAnsi="Palatino Linotype" w:cs="Palatino Linotype"/>
          <w:i/>
          <w:iCs/>
          <w:color w:val="000000" w:themeColor="text1"/>
        </w:rPr>
        <w:t>“…tengo a bien informarle, que se atendieron todos los requerimientos solicitados, con apego a lo que establece la Ley de Transparencia y acceso a la información del Estado de México y municipios, dicha prueba de daño fue presentada con base jurídica solida como lo solicita el articulo 129 primer párrafo, fracción primera de la Ley de Transparencia y Acceso a la Información Pública de los Estados y Municipios, que a letra dice " En la aplicación de la prueba de daño, el sujeto obligado deberá precisar las razones objetivas por las que la apertura de la información generaría una afectación, justificando que:</w:t>
      </w:r>
    </w:p>
    <w:p w:rsidR="00565EFE" w:rsidRPr="00BB4B02" w:rsidRDefault="00565EFE" w:rsidP="00BB4B02">
      <w:pPr>
        <w:ind w:right="-2"/>
        <w:jc w:val="both"/>
        <w:rPr>
          <w:rFonts w:ascii="Palatino Linotype" w:eastAsia="Palatino Linotype" w:hAnsi="Palatino Linotype" w:cs="Palatino Linotype"/>
          <w:i/>
          <w:iCs/>
          <w:color w:val="000000" w:themeColor="text1"/>
        </w:rPr>
      </w:pPr>
    </w:p>
    <w:p w:rsidR="00565EFE" w:rsidRPr="00BB4B02" w:rsidRDefault="00EB48A6" w:rsidP="00BB4B02">
      <w:pPr>
        <w:ind w:right="-2"/>
        <w:jc w:val="both"/>
        <w:rPr>
          <w:rFonts w:ascii="Palatino Linotype" w:eastAsia="Palatino Linotype" w:hAnsi="Palatino Linotype" w:cs="Palatino Linotype"/>
          <w:i/>
          <w:iCs/>
          <w:color w:val="000000" w:themeColor="text1"/>
        </w:rPr>
      </w:pPr>
      <w:r w:rsidRPr="00BB4B02">
        <w:rPr>
          <w:rFonts w:ascii="Palatino Linotype" w:eastAsia="Palatino Linotype" w:hAnsi="Palatino Linotype" w:cs="Palatino Linotype"/>
          <w:i/>
          <w:iCs/>
          <w:color w:val="000000" w:themeColor="text1"/>
        </w:rPr>
        <w:t xml:space="preserve"> I. La divulgación de la información representa un riesgo real, demostrable e identificable del perjuicio significativo al interés público o a la seguridad pública; </w:t>
      </w:r>
    </w:p>
    <w:p w:rsidR="00565EFE" w:rsidRPr="00BB4B02" w:rsidRDefault="00EB48A6" w:rsidP="00BB4B02">
      <w:pPr>
        <w:ind w:right="-2"/>
        <w:jc w:val="both"/>
        <w:rPr>
          <w:rFonts w:ascii="Palatino Linotype" w:eastAsia="Palatino Linotype" w:hAnsi="Palatino Linotype" w:cs="Palatino Linotype"/>
          <w:i/>
          <w:iCs/>
          <w:color w:val="000000" w:themeColor="text1"/>
        </w:rPr>
      </w:pPr>
      <w:r w:rsidRPr="00BB4B02">
        <w:rPr>
          <w:rFonts w:ascii="Palatino Linotype" w:eastAsia="Palatino Linotype" w:hAnsi="Palatino Linotype" w:cs="Palatino Linotype"/>
          <w:i/>
          <w:iCs/>
          <w:color w:val="000000" w:themeColor="text1"/>
        </w:rPr>
        <w:t xml:space="preserve">Mismo que fue demostrable en lo justificaco en el escrito numeral ODAPAS/DOCYM/0224/2025, ya que la información solicitada con folio 00011/OASCHIMAL/IP/2025, podría generar un riesgo significativo para la infraestructura pública y la seguridad de los ciudadanos, debido a los siguientes factores: </w:t>
      </w:r>
    </w:p>
    <w:p w:rsidR="00565EFE" w:rsidRPr="00BB4B02" w:rsidRDefault="00EB48A6" w:rsidP="00BB4B02">
      <w:pPr>
        <w:ind w:right="-2"/>
        <w:jc w:val="both"/>
        <w:rPr>
          <w:rFonts w:ascii="Palatino Linotype" w:eastAsia="Palatino Linotype" w:hAnsi="Palatino Linotype" w:cs="Palatino Linotype"/>
          <w:i/>
          <w:iCs/>
          <w:color w:val="000000" w:themeColor="text1"/>
        </w:rPr>
      </w:pPr>
      <w:r w:rsidRPr="00BB4B02">
        <w:rPr>
          <w:rFonts w:ascii="Palatino Linotype" w:eastAsia="Palatino Linotype" w:hAnsi="Palatino Linotype" w:cs="Palatino Linotype"/>
          <w:i/>
          <w:iCs/>
          <w:color w:val="000000" w:themeColor="text1"/>
        </w:rPr>
        <w:lastRenderedPageBreak/>
        <w:t xml:space="preserve">Facilitación de conexiones clandestinas. </w:t>
      </w:r>
    </w:p>
    <w:p w:rsidR="00565EFE" w:rsidRPr="00BB4B02" w:rsidRDefault="00EB48A6" w:rsidP="00BB4B02">
      <w:pPr>
        <w:ind w:right="-2"/>
        <w:jc w:val="both"/>
        <w:rPr>
          <w:rFonts w:ascii="Palatino Linotype" w:eastAsia="Palatino Linotype" w:hAnsi="Palatino Linotype" w:cs="Palatino Linotype"/>
          <w:i/>
          <w:iCs/>
          <w:color w:val="000000" w:themeColor="text1"/>
        </w:rPr>
      </w:pPr>
      <w:r w:rsidRPr="00BB4B02">
        <w:rPr>
          <w:rFonts w:ascii="Palatino Linotype" w:eastAsia="Palatino Linotype" w:hAnsi="Palatino Linotype" w:cs="Palatino Linotype"/>
          <w:i/>
          <w:iCs/>
          <w:color w:val="000000" w:themeColor="text1"/>
        </w:rPr>
        <w:t xml:space="preserve">Riesgo de sabotaje o daño a la infraestructura. </w:t>
      </w:r>
    </w:p>
    <w:p w:rsidR="00565EFE" w:rsidRPr="00BB4B02" w:rsidRDefault="00EB48A6" w:rsidP="00BB4B02">
      <w:pPr>
        <w:ind w:right="-2"/>
        <w:jc w:val="both"/>
        <w:rPr>
          <w:rFonts w:ascii="Palatino Linotype" w:eastAsia="Palatino Linotype" w:hAnsi="Palatino Linotype" w:cs="Palatino Linotype"/>
          <w:i/>
          <w:iCs/>
          <w:color w:val="000000" w:themeColor="text1"/>
        </w:rPr>
      </w:pPr>
      <w:r w:rsidRPr="00BB4B02">
        <w:rPr>
          <w:rFonts w:ascii="Palatino Linotype" w:eastAsia="Palatino Linotype" w:hAnsi="Palatino Linotype" w:cs="Palatino Linotype"/>
          <w:i/>
          <w:iCs/>
          <w:color w:val="000000" w:themeColor="text1"/>
        </w:rPr>
        <w:t>Impacto en la seguridad pública.</w:t>
      </w:r>
    </w:p>
    <w:p w:rsidR="00565EFE" w:rsidRPr="00BB4B02" w:rsidRDefault="00565EFE" w:rsidP="00BB4B02">
      <w:pPr>
        <w:ind w:right="-2"/>
        <w:jc w:val="both"/>
        <w:rPr>
          <w:rFonts w:ascii="Palatino Linotype" w:eastAsia="Palatino Linotype" w:hAnsi="Palatino Linotype" w:cs="Palatino Linotype"/>
          <w:i/>
          <w:iCs/>
          <w:color w:val="000000" w:themeColor="text1"/>
        </w:rPr>
      </w:pPr>
    </w:p>
    <w:p w:rsidR="00565EFE" w:rsidRPr="00BB4B02" w:rsidRDefault="00EB48A6" w:rsidP="00BB4B02">
      <w:pPr>
        <w:ind w:right="-2"/>
        <w:jc w:val="both"/>
        <w:rPr>
          <w:rFonts w:ascii="Palatino Linotype" w:eastAsia="Palatino Linotype" w:hAnsi="Palatino Linotype" w:cs="Palatino Linotype"/>
          <w:i/>
          <w:iCs/>
          <w:color w:val="000000" w:themeColor="text1"/>
        </w:rPr>
      </w:pPr>
      <w:r w:rsidRPr="00BB4B02">
        <w:rPr>
          <w:rFonts w:ascii="Palatino Linotype" w:eastAsia="Palatino Linotype" w:hAnsi="Palatino Linotype" w:cs="Palatino Linotype"/>
          <w:i/>
          <w:iCs/>
          <w:color w:val="000000" w:themeColor="text1"/>
        </w:rPr>
        <w:t>Los hechos mencionados son demostrables debido a varias quejas presentadas ante este organismo, en donde precisan que personal ajeno a este organismo manipula las diversas válvulas de la zona 17 de Marzo, así como de otras colonias, provocando inestabilidad en el suministro de agua. Conforme a lo informado previamente, se hace de su conocimiento que la información solicitada ha sido reservada por motivos de seguridad pública, en estricto apego a lo dispuesto en el Artículo 101 y el Artículo 113, fracción primera de la Ley de Transparencia y Acceso a la Información Pública. Dicha determinación se basa en la necesidad de proteger la infraestructura y el bienestar de la  ciudadanía, evitando riesgos que pudieran derivar de la divulgación de información sensible.</w:t>
      </w:r>
    </w:p>
    <w:p w:rsidR="00565EFE" w:rsidRPr="00BB4B02" w:rsidRDefault="00EB48A6" w:rsidP="00BB4B02">
      <w:pPr>
        <w:ind w:right="-2"/>
        <w:jc w:val="both"/>
        <w:rPr>
          <w:rFonts w:ascii="Palatino Linotype" w:eastAsia="Palatino Linotype" w:hAnsi="Palatino Linotype" w:cs="Palatino Linotype"/>
          <w:i/>
          <w:iCs/>
          <w:color w:val="000000" w:themeColor="text1"/>
        </w:rPr>
      </w:pPr>
      <w:r w:rsidRPr="00BB4B02">
        <w:rPr>
          <w:rFonts w:ascii="Palatino Linotype" w:eastAsia="Palatino Linotype" w:hAnsi="Palatino Linotype" w:cs="Palatino Linotype"/>
          <w:i/>
          <w:iCs/>
          <w:color w:val="000000" w:themeColor="text1"/>
        </w:rPr>
        <w:t xml:space="preserve">La reserva se fundamenta en criterios jurídicos sólidos que garantizan la adecuada protección del interés público y la seguridad institucional. </w:t>
      </w:r>
    </w:p>
    <w:p w:rsidR="00565EFE" w:rsidRPr="00BB4B02" w:rsidRDefault="00565EFE" w:rsidP="00BB4B02">
      <w:pPr>
        <w:ind w:right="-2"/>
        <w:jc w:val="both"/>
        <w:rPr>
          <w:rFonts w:ascii="Palatino Linotype" w:eastAsia="Palatino Linotype" w:hAnsi="Palatino Linotype" w:cs="Palatino Linotype"/>
          <w:i/>
          <w:iCs/>
          <w:color w:val="000000" w:themeColor="text1"/>
        </w:rPr>
      </w:pPr>
    </w:p>
    <w:p w:rsidR="00565EFE" w:rsidRPr="00BB4B02" w:rsidRDefault="00EB48A6" w:rsidP="00BB4B02">
      <w:pPr>
        <w:ind w:right="-2"/>
        <w:jc w:val="both"/>
        <w:rPr>
          <w:rFonts w:ascii="Palatino Linotype" w:eastAsia="Palatino Linotype" w:hAnsi="Palatino Linotype" w:cs="Palatino Linotype"/>
          <w:i/>
          <w:iCs/>
          <w:color w:val="000000" w:themeColor="text1"/>
        </w:rPr>
      </w:pPr>
      <w:r w:rsidRPr="00BB4B02">
        <w:rPr>
          <w:rFonts w:ascii="Palatino Linotype" w:eastAsia="Palatino Linotype" w:hAnsi="Palatino Linotype" w:cs="Palatino Linotype"/>
          <w:i/>
          <w:iCs/>
          <w:color w:val="000000" w:themeColor="text1"/>
        </w:rPr>
        <w:t>Por lo anterior, se confirma que el procedimiento se realizó conforme a la normativa vigente, observando el cumplimiento de los principios de legalidad, necesidad y proporcionalidad establecidos en la Ley.”</w:t>
      </w:r>
    </w:p>
    <w:p w:rsidR="00565EFE" w:rsidRDefault="00565EFE" w:rsidP="00BB4B02">
      <w:pPr>
        <w:ind w:right="-2"/>
        <w:jc w:val="both"/>
        <w:rPr>
          <w:rFonts w:ascii="Palatino Linotype" w:eastAsia="Palatino Linotype" w:hAnsi="Palatino Linotype" w:cs="Palatino Linotype"/>
          <w:b/>
          <w:bCs/>
          <w:color w:val="000000" w:themeColor="text1"/>
        </w:rPr>
      </w:pPr>
    </w:p>
    <w:p w:rsidR="00E71F64" w:rsidRPr="00BB4B02" w:rsidRDefault="00E71F64" w:rsidP="00BB4B02">
      <w:pPr>
        <w:ind w:right="-2"/>
        <w:jc w:val="both"/>
        <w:rPr>
          <w:rFonts w:ascii="Palatino Linotype" w:eastAsia="Palatino Linotype" w:hAnsi="Palatino Linotype" w:cs="Palatino Linotype"/>
          <w:b/>
          <w:bCs/>
          <w:color w:val="000000" w:themeColor="text1"/>
        </w:rPr>
      </w:pP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color w:val="000000" w:themeColor="text1"/>
        </w:rPr>
      </w:pPr>
      <w:bookmarkStart w:id="3" w:name="_heading=h.ywscjthkx977" w:colFirst="0" w:colLast="0"/>
      <w:bookmarkEnd w:id="3"/>
      <w:r w:rsidRPr="00BB4B02">
        <w:rPr>
          <w:rFonts w:ascii="Palatino Linotype" w:eastAsia="Palatino Linotype" w:hAnsi="Palatino Linotype" w:cs="Palatino Linotype"/>
          <w:color w:val="000000" w:themeColor="text1"/>
        </w:rPr>
        <w:t>El</w:t>
      </w:r>
      <w:r w:rsidRPr="00BB4B02">
        <w:rPr>
          <w:rFonts w:ascii="Palatino Linotype" w:eastAsia="Palatino Linotype" w:hAnsi="Palatino Linotype" w:cs="Palatino Linotype"/>
          <w:b/>
          <w:bCs/>
          <w:color w:val="000000" w:themeColor="text1"/>
        </w:rPr>
        <w:t xml:space="preserve"> PARTICULAR </w:t>
      </w:r>
      <w:r w:rsidRPr="00BB4B02">
        <w:rPr>
          <w:rFonts w:ascii="Palatino Linotype" w:eastAsia="Palatino Linotype" w:hAnsi="Palatino Linotype" w:cs="Palatino Linotype"/>
          <w:color w:val="000000" w:themeColor="text1"/>
        </w:rPr>
        <w:t>no realizó manifestaciones conforme a su derecho conviniera y asistiera.</w:t>
      </w:r>
    </w:p>
    <w:p w:rsidR="00565EFE" w:rsidRPr="00BB4B02" w:rsidRDefault="00565EFE" w:rsidP="00BB4B02">
      <w:pPr>
        <w:spacing w:line="360" w:lineRule="auto"/>
        <w:ind w:right="-2"/>
        <w:jc w:val="both"/>
        <w:rPr>
          <w:rFonts w:ascii="Palatino Linotype" w:eastAsia="Palatino Linotype" w:hAnsi="Palatino Linotype" w:cs="Palatino Linotype"/>
          <w:color w:val="000000" w:themeColor="text1"/>
        </w:rPr>
      </w:pP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 xml:space="preserve">El </w:t>
      </w:r>
      <w:r w:rsidRPr="00BB4B02">
        <w:rPr>
          <w:rFonts w:ascii="Palatino Linotype" w:eastAsia="Palatino Linotype" w:hAnsi="Palatino Linotype" w:cs="Palatino Linotype"/>
          <w:b/>
          <w:bCs/>
          <w:color w:val="000000" w:themeColor="text1"/>
        </w:rPr>
        <w:t>primero de diciembre de dos mil veinticinco</w:t>
      </w:r>
      <w:r w:rsidRPr="00BB4B02">
        <w:rPr>
          <w:rFonts w:ascii="Palatino Linotype" w:eastAsia="Palatino Linotype" w:hAnsi="Palatino Linotype" w:cs="Palatino Linotype"/>
          <w:color w:val="000000" w:themeColor="text1"/>
        </w:rPr>
        <w:t xml:space="preserve">, se notificó el acuerdo mediante el cual se aprobó la ampliación de plazo para emitir resolución. </w:t>
      </w:r>
    </w:p>
    <w:p w:rsidR="00565EFE" w:rsidRPr="00BB4B02" w:rsidRDefault="00565EFE" w:rsidP="00BB4B02">
      <w:pPr>
        <w:spacing w:line="360" w:lineRule="auto"/>
        <w:ind w:right="-2"/>
        <w:jc w:val="both"/>
        <w:rPr>
          <w:rFonts w:ascii="Palatino Linotype" w:eastAsia="Palatino Linotype" w:hAnsi="Palatino Linotype" w:cs="Palatino Linotype"/>
          <w:color w:val="000000" w:themeColor="text1"/>
        </w:rPr>
      </w:pP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b/>
          <w:bCs/>
          <w:color w:val="000000" w:themeColor="text1"/>
        </w:rPr>
      </w:pPr>
      <w:r w:rsidRPr="00BB4B02">
        <w:rPr>
          <w:rFonts w:ascii="Palatino Linotype" w:eastAsia="Palatino Linotype" w:hAnsi="Palatino Linotype" w:cs="Palatino Linotype"/>
          <w:color w:val="000000" w:themeColor="text1"/>
        </w:rPr>
        <w:t xml:space="preserve">Finalmente, mediante acuerdo de </w:t>
      </w:r>
      <w:r w:rsidRPr="00BB4B02">
        <w:rPr>
          <w:rFonts w:ascii="Palatino Linotype" w:eastAsia="Palatino Linotype" w:hAnsi="Palatino Linotype" w:cs="Palatino Linotype"/>
          <w:b/>
          <w:bCs/>
          <w:color w:val="000000" w:themeColor="text1"/>
        </w:rPr>
        <w:t>ocho de diciembre de dos mil veinticinco</w:t>
      </w:r>
      <w:r w:rsidRPr="00BB4B02">
        <w:rPr>
          <w:rFonts w:ascii="Palatino Linotype" w:eastAsia="Palatino Linotype" w:hAnsi="Palatino Linotype" w:cs="Palatino Linotype"/>
          <w:color w:val="000000" w:themeColor="text1"/>
        </w:rPr>
        <w:t>, se  decretó el cierre de instrucción, por lo que no habiendo más que hacer constar, y</w:t>
      </w:r>
      <w:r w:rsidR="000F70C5">
        <w:rPr>
          <w:rFonts w:ascii="Palatino Linotype" w:eastAsia="Palatino Linotype" w:hAnsi="Palatino Linotype" w:cs="Palatino Linotype"/>
          <w:color w:val="000000" w:themeColor="text1"/>
        </w:rPr>
        <w:t xml:space="preserve"> ---------------</w:t>
      </w:r>
    </w:p>
    <w:p w:rsidR="00565EFE" w:rsidRPr="00BB4B02" w:rsidRDefault="00565EFE" w:rsidP="00BB4B02">
      <w:pPr>
        <w:pBdr>
          <w:top w:val="nil"/>
          <w:left w:val="nil"/>
          <w:bottom w:val="nil"/>
          <w:right w:val="nil"/>
          <w:between w:val="nil"/>
        </w:pBdr>
        <w:spacing w:line="360" w:lineRule="auto"/>
        <w:ind w:right="-2"/>
        <w:jc w:val="both"/>
        <w:rPr>
          <w:rFonts w:ascii="Palatino Linotype" w:eastAsia="Palatino Linotype" w:hAnsi="Palatino Linotype" w:cs="Palatino Linotype"/>
          <w:b/>
          <w:bCs/>
          <w:color w:val="000000" w:themeColor="text1"/>
        </w:rPr>
      </w:pPr>
    </w:p>
    <w:p w:rsidR="00565EFE" w:rsidRPr="00BB4B02" w:rsidRDefault="00EB48A6" w:rsidP="00BB4B02">
      <w:pPr>
        <w:pStyle w:val="Ttulo1"/>
        <w:spacing w:before="0" w:line="360" w:lineRule="auto"/>
        <w:ind w:right="-2"/>
        <w:jc w:val="center"/>
        <w:rPr>
          <w:color w:val="000000" w:themeColor="text1"/>
        </w:rPr>
      </w:pPr>
      <w:bookmarkStart w:id="4" w:name="_heading=h.b5vdv33cp52o" w:colFirst="0" w:colLast="0"/>
      <w:bookmarkEnd w:id="4"/>
      <w:r w:rsidRPr="00BB4B02">
        <w:rPr>
          <w:color w:val="000000" w:themeColor="text1"/>
        </w:rPr>
        <w:lastRenderedPageBreak/>
        <w:t>C</w:t>
      </w:r>
      <w:r w:rsidR="00E71F64">
        <w:rPr>
          <w:color w:val="000000" w:themeColor="text1"/>
        </w:rPr>
        <w:t xml:space="preserve"> </w:t>
      </w:r>
      <w:r w:rsidRPr="00BB4B02">
        <w:rPr>
          <w:color w:val="000000" w:themeColor="text1"/>
        </w:rPr>
        <w:t>O</w:t>
      </w:r>
      <w:r w:rsidR="00E71F64">
        <w:rPr>
          <w:color w:val="000000" w:themeColor="text1"/>
        </w:rPr>
        <w:t xml:space="preserve"> </w:t>
      </w:r>
      <w:r w:rsidRPr="00BB4B02">
        <w:rPr>
          <w:color w:val="000000" w:themeColor="text1"/>
        </w:rPr>
        <w:t>N</w:t>
      </w:r>
      <w:r w:rsidR="00E71F64">
        <w:rPr>
          <w:color w:val="000000" w:themeColor="text1"/>
        </w:rPr>
        <w:t xml:space="preserve"> </w:t>
      </w:r>
      <w:r w:rsidRPr="00BB4B02">
        <w:rPr>
          <w:color w:val="000000" w:themeColor="text1"/>
        </w:rPr>
        <w:t>S</w:t>
      </w:r>
      <w:r w:rsidR="00E71F64">
        <w:rPr>
          <w:color w:val="000000" w:themeColor="text1"/>
        </w:rPr>
        <w:t xml:space="preserve"> </w:t>
      </w:r>
      <w:r w:rsidRPr="00BB4B02">
        <w:rPr>
          <w:color w:val="000000" w:themeColor="text1"/>
        </w:rPr>
        <w:t>I</w:t>
      </w:r>
      <w:r w:rsidR="00E71F64">
        <w:rPr>
          <w:color w:val="000000" w:themeColor="text1"/>
        </w:rPr>
        <w:t xml:space="preserve"> </w:t>
      </w:r>
      <w:r w:rsidRPr="00BB4B02">
        <w:rPr>
          <w:color w:val="000000" w:themeColor="text1"/>
        </w:rPr>
        <w:t>D</w:t>
      </w:r>
      <w:r w:rsidR="00E71F64">
        <w:rPr>
          <w:color w:val="000000" w:themeColor="text1"/>
        </w:rPr>
        <w:t xml:space="preserve"> </w:t>
      </w:r>
      <w:r w:rsidRPr="00BB4B02">
        <w:rPr>
          <w:color w:val="000000" w:themeColor="text1"/>
        </w:rPr>
        <w:t>E</w:t>
      </w:r>
      <w:r w:rsidR="00E71F64">
        <w:rPr>
          <w:color w:val="000000" w:themeColor="text1"/>
        </w:rPr>
        <w:t xml:space="preserve"> </w:t>
      </w:r>
      <w:r w:rsidRPr="00BB4B02">
        <w:rPr>
          <w:color w:val="000000" w:themeColor="text1"/>
        </w:rPr>
        <w:t>R</w:t>
      </w:r>
      <w:r w:rsidR="00E71F64">
        <w:rPr>
          <w:color w:val="000000" w:themeColor="text1"/>
        </w:rPr>
        <w:t xml:space="preserve"> </w:t>
      </w:r>
      <w:r w:rsidRPr="00BB4B02">
        <w:rPr>
          <w:color w:val="000000" w:themeColor="text1"/>
        </w:rPr>
        <w:t>A</w:t>
      </w:r>
      <w:r w:rsidR="00E71F64">
        <w:rPr>
          <w:color w:val="000000" w:themeColor="text1"/>
        </w:rPr>
        <w:t xml:space="preserve"> </w:t>
      </w:r>
      <w:r w:rsidRPr="00BB4B02">
        <w:rPr>
          <w:color w:val="000000" w:themeColor="text1"/>
        </w:rPr>
        <w:t>N</w:t>
      </w:r>
      <w:r w:rsidR="00E71F64">
        <w:rPr>
          <w:color w:val="000000" w:themeColor="text1"/>
        </w:rPr>
        <w:t xml:space="preserve"> </w:t>
      </w:r>
      <w:r w:rsidRPr="00BB4B02">
        <w:rPr>
          <w:color w:val="000000" w:themeColor="text1"/>
        </w:rPr>
        <w:t>D</w:t>
      </w:r>
      <w:r w:rsidR="00E71F64">
        <w:rPr>
          <w:color w:val="000000" w:themeColor="text1"/>
        </w:rPr>
        <w:t xml:space="preserve"> </w:t>
      </w:r>
      <w:r w:rsidRPr="00BB4B02">
        <w:rPr>
          <w:color w:val="000000" w:themeColor="text1"/>
        </w:rPr>
        <w:t>O</w:t>
      </w:r>
    </w:p>
    <w:p w:rsidR="00565EFE" w:rsidRPr="00BB4B02" w:rsidRDefault="00565EFE" w:rsidP="00BB4B02">
      <w:pPr>
        <w:spacing w:line="360" w:lineRule="auto"/>
        <w:ind w:right="-2"/>
        <w:rPr>
          <w:rFonts w:ascii="Palatino Linotype" w:eastAsia="Palatino Linotype" w:hAnsi="Palatino Linotype" w:cs="Palatino Linotype"/>
          <w:color w:val="000000" w:themeColor="text1"/>
        </w:rPr>
      </w:pPr>
    </w:p>
    <w:p w:rsidR="00565EFE" w:rsidRPr="00BB4B02" w:rsidRDefault="00EB48A6" w:rsidP="00BB4B02">
      <w:pPr>
        <w:pStyle w:val="Ttulo1"/>
        <w:spacing w:before="0" w:line="360" w:lineRule="auto"/>
        <w:ind w:right="-2"/>
        <w:rPr>
          <w:b w:val="0"/>
          <w:bCs w:val="0"/>
          <w:color w:val="000000" w:themeColor="text1"/>
        </w:rPr>
      </w:pPr>
      <w:bookmarkStart w:id="5" w:name="_heading=h.9ig9zmshll7q" w:colFirst="0" w:colLast="0"/>
      <w:bookmarkEnd w:id="5"/>
      <w:r w:rsidRPr="00BB4B02">
        <w:rPr>
          <w:color w:val="000000" w:themeColor="text1"/>
        </w:rPr>
        <w:t>PRIMERO. De la competencia</w:t>
      </w: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565EFE" w:rsidRPr="00BB4B02" w:rsidRDefault="00565EFE" w:rsidP="00BB4B02">
      <w:pPr>
        <w:spacing w:line="360" w:lineRule="auto"/>
        <w:ind w:right="-2"/>
        <w:jc w:val="both"/>
        <w:rPr>
          <w:rFonts w:ascii="Palatino Linotype" w:eastAsia="Palatino Linotype" w:hAnsi="Palatino Linotype" w:cs="Palatino Linotype"/>
          <w:color w:val="000000" w:themeColor="text1"/>
        </w:rPr>
      </w:pPr>
    </w:p>
    <w:p w:rsidR="00565EFE" w:rsidRPr="00BB4B02" w:rsidRDefault="00EB48A6" w:rsidP="00BB4B02">
      <w:pPr>
        <w:pStyle w:val="Ttulo2"/>
        <w:spacing w:before="0" w:line="360" w:lineRule="auto"/>
        <w:ind w:right="-2"/>
        <w:rPr>
          <w:b w:val="0"/>
          <w:bCs w:val="0"/>
          <w:color w:val="000000" w:themeColor="text1"/>
        </w:rPr>
      </w:pPr>
      <w:bookmarkStart w:id="6" w:name="_heading=h.jwv8pf3dptrj" w:colFirst="0" w:colLast="0"/>
      <w:bookmarkEnd w:id="6"/>
      <w:r w:rsidRPr="00BB4B02">
        <w:rPr>
          <w:color w:val="000000" w:themeColor="text1"/>
        </w:rPr>
        <w:t>SEGUNDO. De la oportunidad y procedencia.</w:t>
      </w: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 xml:space="preserve">El medio de impugnación fue presentado a través del </w:t>
      </w:r>
      <w:r w:rsidRPr="00BB4B02">
        <w:rPr>
          <w:rFonts w:ascii="Palatino Linotype" w:eastAsia="Palatino Linotype" w:hAnsi="Palatino Linotype" w:cs="Palatino Linotype"/>
          <w:b/>
          <w:bCs/>
          <w:color w:val="000000" w:themeColor="text1"/>
        </w:rPr>
        <w:t>SAIMEX,</w:t>
      </w:r>
      <w:r w:rsidRPr="00BB4B02">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BB4B02">
        <w:rPr>
          <w:rFonts w:ascii="Palatino Linotype" w:eastAsia="Palatino Linotype" w:hAnsi="Palatino Linotype" w:cs="Palatino Linotype"/>
          <w:b/>
          <w:bCs/>
          <w:color w:val="000000" w:themeColor="text1"/>
        </w:rPr>
        <w:t>SUJETO OBLIGADO</w:t>
      </w:r>
      <w:r w:rsidRPr="00BB4B02">
        <w:rPr>
          <w:rFonts w:ascii="Palatino Linotype" w:eastAsia="Palatino Linotype" w:hAnsi="Palatino Linotype" w:cs="Palatino Linotype"/>
          <w:color w:val="000000" w:themeColor="text1"/>
        </w:rPr>
        <w:t xml:space="preserve"> entregó su respuesta el </w:t>
      </w:r>
      <w:r w:rsidRPr="00BB4B02">
        <w:rPr>
          <w:rFonts w:ascii="Palatino Linotype" w:eastAsia="Palatino Linotype" w:hAnsi="Palatino Linotype" w:cs="Palatino Linotype"/>
          <w:b/>
          <w:bCs/>
          <w:color w:val="000000" w:themeColor="text1"/>
        </w:rPr>
        <w:t>veintisiete de mayo de dos mil veinticinco</w:t>
      </w:r>
      <w:r w:rsidRPr="00BB4B02">
        <w:rPr>
          <w:rFonts w:ascii="Palatino Linotype" w:eastAsia="Palatino Linotype" w:hAnsi="Palatino Linotype" w:cs="Palatino Linotype"/>
          <w:color w:val="000000" w:themeColor="text1"/>
        </w:rPr>
        <w:t xml:space="preserve">, de tal forma que el plazo para interponer el recurso de revisión transcurrió del </w:t>
      </w:r>
      <w:r w:rsidRPr="00BB4B02">
        <w:rPr>
          <w:rFonts w:ascii="Palatino Linotype" w:eastAsia="Palatino Linotype" w:hAnsi="Palatino Linotype" w:cs="Palatino Linotype"/>
          <w:b/>
          <w:bCs/>
          <w:color w:val="000000" w:themeColor="text1"/>
        </w:rPr>
        <w:t>veintiocho de mayo al diecisiete de junio  de dos mil veinticinco</w:t>
      </w:r>
      <w:r w:rsidRPr="00BB4B02">
        <w:rPr>
          <w:rFonts w:ascii="Palatino Linotype" w:eastAsia="Palatino Linotype" w:hAnsi="Palatino Linotype" w:cs="Palatino Linotype"/>
          <w:color w:val="000000" w:themeColor="text1"/>
        </w:rPr>
        <w:t xml:space="preserve">; en consecuencia, el ahora </w:t>
      </w:r>
      <w:r w:rsidRPr="00BB4B02">
        <w:rPr>
          <w:rFonts w:ascii="Palatino Linotype" w:eastAsia="Palatino Linotype" w:hAnsi="Palatino Linotype" w:cs="Palatino Linotype"/>
          <w:b/>
          <w:bCs/>
          <w:color w:val="000000" w:themeColor="text1"/>
        </w:rPr>
        <w:t>RECURRENTE</w:t>
      </w:r>
      <w:r w:rsidRPr="00BB4B02">
        <w:rPr>
          <w:rFonts w:ascii="Palatino Linotype" w:eastAsia="Palatino Linotype" w:hAnsi="Palatino Linotype" w:cs="Palatino Linotype"/>
          <w:color w:val="000000" w:themeColor="text1"/>
        </w:rPr>
        <w:t xml:space="preserve"> presentó su inconformidad </w:t>
      </w:r>
      <w:r w:rsidRPr="00BB4B02">
        <w:rPr>
          <w:rFonts w:ascii="Palatino Linotype" w:eastAsia="Palatino Linotype" w:hAnsi="Palatino Linotype" w:cs="Palatino Linotype"/>
          <w:color w:val="000000" w:themeColor="text1"/>
        </w:rPr>
        <w:lastRenderedPageBreak/>
        <w:t xml:space="preserve">el </w:t>
      </w:r>
      <w:r w:rsidRPr="00BB4B02">
        <w:rPr>
          <w:rFonts w:ascii="Palatino Linotype" w:eastAsia="Palatino Linotype" w:hAnsi="Palatino Linotype" w:cs="Palatino Linotype"/>
          <w:b/>
          <w:bCs/>
          <w:color w:val="000000" w:themeColor="text1"/>
        </w:rPr>
        <w:t>veintisiete de mayo de dos mil veinticinco</w:t>
      </w:r>
      <w:r w:rsidRPr="00BB4B02">
        <w:rPr>
          <w:rFonts w:ascii="Palatino Linotype" w:eastAsia="Palatino Linotype" w:hAnsi="Palatino Linotype" w:cs="Palatino Linotype"/>
          <w:color w:val="000000" w:themeColor="text1"/>
        </w:rPr>
        <w:t>; por lo que se estima que la inconformidad se presentó dentro del lapso legalmente establecido para tal efecto.</w:t>
      </w:r>
    </w:p>
    <w:p w:rsidR="00565EFE" w:rsidRPr="00BB4B02" w:rsidRDefault="00565EFE" w:rsidP="00BB4B02">
      <w:pPr>
        <w:spacing w:line="360" w:lineRule="auto"/>
        <w:ind w:right="-2"/>
        <w:rPr>
          <w:rFonts w:ascii="Palatino Linotype" w:eastAsia="Palatino Linotype" w:hAnsi="Palatino Linotype" w:cs="Palatino Linotype"/>
          <w:color w:val="000000" w:themeColor="text1"/>
        </w:rPr>
      </w:pPr>
    </w:p>
    <w:p w:rsidR="00565EFE" w:rsidRPr="00BB4B02" w:rsidRDefault="00EB48A6" w:rsidP="00BB4B02">
      <w:pPr>
        <w:pStyle w:val="Ttulo1"/>
        <w:spacing w:before="0" w:line="360" w:lineRule="auto"/>
        <w:ind w:right="-2"/>
        <w:rPr>
          <w:color w:val="000000" w:themeColor="text1"/>
        </w:rPr>
      </w:pPr>
      <w:r w:rsidRPr="00BB4B02">
        <w:rPr>
          <w:color w:val="000000" w:themeColor="text1"/>
        </w:rPr>
        <w:t xml:space="preserve">TERCERO. Del planteamiento de la </w:t>
      </w:r>
      <w:r w:rsidRPr="00BB4B02">
        <w:rPr>
          <w:i/>
          <w:iCs/>
          <w:color w:val="000000" w:themeColor="text1"/>
        </w:rPr>
        <w:t>Litis</w:t>
      </w:r>
      <w:r w:rsidRPr="00BB4B02">
        <w:rPr>
          <w:color w:val="000000" w:themeColor="text1"/>
        </w:rPr>
        <w:t>.</w:t>
      </w: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b/>
          <w:bCs/>
          <w:color w:val="000000" w:themeColor="text1"/>
        </w:rPr>
      </w:pPr>
      <w:r w:rsidRPr="00BB4B02">
        <w:rPr>
          <w:rFonts w:ascii="Palatino Linotype" w:eastAsia="Palatino Linotype" w:hAnsi="Palatino Linotype" w:cs="Palatino Linotype"/>
          <w:color w:val="000000" w:themeColor="text1"/>
        </w:rPr>
        <w:t>De las constancias en el expediente al rubro indicado, se desprende que la particular solicitó la información que a continuación se desagrega:</w:t>
      </w:r>
    </w:p>
    <w:p w:rsidR="00565EFE" w:rsidRPr="00BB4B02" w:rsidRDefault="00565EFE" w:rsidP="00BB4B02">
      <w:pPr>
        <w:pBdr>
          <w:top w:val="nil"/>
          <w:left w:val="nil"/>
          <w:bottom w:val="nil"/>
          <w:right w:val="nil"/>
          <w:between w:val="nil"/>
        </w:pBdr>
        <w:ind w:right="-2"/>
        <w:rPr>
          <w:rFonts w:ascii="Palatino Linotype" w:eastAsia="Palatino Linotype" w:hAnsi="Palatino Linotype" w:cs="Palatino Linotype"/>
          <w:b/>
          <w:bCs/>
          <w:color w:val="000000" w:themeColor="text1"/>
        </w:rPr>
      </w:pPr>
    </w:p>
    <w:p w:rsidR="00565EFE" w:rsidRPr="00BB4B02" w:rsidRDefault="00EB48A6" w:rsidP="00BB4B02">
      <w:pPr>
        <w:pBdr>
          <w:top w:val="nil"/>
          <w:left w:val="nil"/>
          <w:bottom w:val="nil"/>
          <w:right w:val="nil"/>
          <w:between w:val="nil"/>
        </w:pBdr>
        <w:ind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 xml:space="preserve">Con base en Con base en el Artículo 52 de la Ley del Agua para el Estado de México y Municipios, que establece que los prestadores de servicios deberán contar con: Manuales de operación actualizados, Catastro técnico actualizado de redes de agua potable, drenaje y alcantarillado, e Inventario completo de la infraestructura hidráulica a su cargo, y conforme a los principios de transparencia, eficacia institucional y derecho a un medio ambiente sano contenidos en los artículos 6 y 7 de la misma ley, solicito la siguiente información: </w:t>
      </w:r>
    </w:p>
    <w:p w:rsidR="00565EFE" w:rsidRPr="00BB4B02" w:rsidRDefault="00565EFE" w:rsidP="00BB4B02">
      <w:pPr>
        <w:pBdr>
          <w:top w:val="nil"/>
          <w:left w:val="nil"/>
          <w:bottom w:val="nil"/>
          <w:right w:val="nil"/>
          <w:between w:val="nil"/>
        </w:pBdr>
        <w:ind w:right="-2"/>
        <w:jc w:val="both"/>
        <w:rPr>
          <w:rFonts w:ascii="Palatino Linotype" w:eastAsia="Palatino Linotype" w:hAnsi="Palatino Linotype" w:cs="Palatino Linotype"/>
          <w:color w:val="000000" w:themeColor="text1"/>
        </w:rPr>
      </w:pPr>
    </w:p>
    <w:p w:rsidR="00565EFE" w:rsidRPr="00BB4B02" w:rsidRDefault="00EB48A6" w:rsidP="00E71F64">
      <w:pPr>
        <w:numPr>
          <w:ilvl w:val="0"/>
          <w:numId w:val="6"/>
        </w:numPr>
        <w:pBdr>
          <w:top w:val="nil"/>
          <w:left w:val="nil"/>
          <w:bottom w:val="nil"/>
          <w:right w:val="nil"/>
          <w:between w:val="nil"/>
        </w:pBdr>
        <w:ind w:left="0" w:right="-2" w:firstLine="0"/>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Catastro técnico actualizado de la infraestructura hidráulica de la colonia 17 de marzo incluyendo: Redes de agua potable, Redes de drenaje y alcantarillado, Localización y estado funcional de pozos, tanques, estaciones de bombeo y válvulas, Año de construcción y última rehabilitación por tramo. Inventario físico de infraestructura hidráulica bajo control del organismo operador municipal o la CAEM, con detalle de: Número total de instalaciones hidráulicas, Estado operativo de cada componente (óptimo, en reparación, fuera de servicio), Cobertura por colonia o zona. Manuales de operación vigentes del organismo operador o sistema municipal de agua potable y saneamiento, conforme lo dispone la ley en su artículo 52. Planes o proyectos de actualización del catastro hidráulico, si el municipio no cuenta actualmente con uno operativo o si el existente fue elaborado hace más de cinco años. o EN SU CASO, LA DECLARATORIA DE INEXISTENCIA DE ESTA INFORMACIÓN.</w:t>
      </w:r>
    </w:p>
    <w:p w:rsidR="00565EFE" w:rsidRDefault="00565EFE" w:rsidP="00BB4B02">
      <w:pPr>
        <w:pBdr>
          <w:top w:val="nil"/>
          <w:left w:val="nil"/>
          <w:bottom w:val="nil"/>
          <w:right w:val="nil"/>
          <w:between w:val="nil"/>
        </w:pBdr>
        <w:ind w:right="-2"/>
        <w:jc w:val="both"/>
        <w:rPr>
          <w:rFonts w:ascii="Palatino Linotype" w:eastAsia="Palatino Linotype" w:hAnsi="Palatino Linotype" w:cs="Palatino Linotype"/>
          <w:b/>
          <w:bCs/>
          <w:color w:val="000000" w:themeColor="text1"/>
        </w:rPr>
      </w:pPr>
    </w:p>
    <w:p w:rsidR="00E71F64" w:rsidRPr="00BB4B02" w:rsidRDefault="00E71F64" w:rsidP="00BB4B02">
      <w:pPr>
        <w:pBdr>
          <w:top w:val="nil"/>
          <w:left w:val="nil"/>
          <w:bottom w:val="nil"/>
          <w:right w:val="nil"/>
          <w:between w:val="nil"/>
        </w:pBdr>
        <w:ind w:right="-2"/>
        <w:jc w:val="both"/>
        <w:rPr>
          <w:rFonts w:ascii="Palatino Linotype" w:eastAsia="Palatino Linotype" w:hAnsi="Palatino Linotype" w:cs="Palatino Linotype"/>
          <w:b/>
          <w:bCs/>
          <w:color w:val="000000" w:themeColor="text1"/>
        </w:rPr>
      </w:pP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 xml:space="preserve">En respuesta, el </w:t>
      </w:r>
      <w:r w:rsidRPr="00BB4B02">
        <w:rPr>
          <w:rFonts w:ascii="Palatino Linotype" w:eastAsia="Palatino Linotype" w:hAnsi="Palatino Linotype" w:cs="Palatino Linotype"/>
          <w:b/>
          <w:bCs/>
          <w:color w:val="000000" w:themeColor="text1"/>
        </w:rPr>
        <w:t xml:space="preserve">SUJETO OBLIGADO </w:t>
      </w:r>
      <w:r w:rsidRPr="00BB4B02">
        <w:rPr>
          <w:rFonts w:ascii="Palatino Linotype" w:eastAsia="Palatino Linotype" w:hAnsi="Palatino Linotype" w:cs="Palatino Linotype"/>
          <w:color w:val="000000" w:themeColor="text1"/>
        </w:rPr>
        <w:t>se pronunció como quedó referido en el numeral dos de la presente resolución.</w:t>
      </w:r>
    </w:p>
    <w:p w:rsidR="00565EFE" w:rsidRPr="00BB4B02" w:rsidRDefault="00565EFE" w:rsidP="00BB4B02">
      <w:pPr>
        <w:pBdr>
          <w:top w:val="nil"/>
          <w:left w:val="nil"/>
          <w:bottom w:val="nil"/>
          <w:right w:val="nil"/>
          <w:between w:val="nil"/>
        </w:pBdr>
        <w:spacing w:line="360" w:lineRule="auto"/>
        <w:ind w:right="-2"/>
        <w:jc w:val="both"/>
        <w:rPr>
          <w:rFonts w:ascii="Palatino Linotype" w:eastAsia="Palatino Linotype" w:hAnsi="Palatino Linotype" w:cs="Palatino Linotype"/>
          <w:color w:val="000000" w:themeColor="text1"/>
        </w:rPr>
      </w:pP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lastRenderedPageBreak/>
        <w:t xml:space="preserve">Inconforme con la respuesta proporcionada por el </w:t>
      </w:r>
      <w:r w:rsidRPr="00BB4B02">
        <w:rPr>
          <w:rFonts w:ascii="Palatino Linotype" w:eastAsia="Palatino Linotype" w:hAnsi="Palatino Linotype" w:cs="Palatino Linotype"/>
          <w:b/>
          <w:bCs/>
          <w:color w:val="000000" w:themeColor="text1"/>
        </w:rPr>
        <w:t xml:space="preserve">SUJETO OBLIGADO, </w:t>
      </w:r>
      <w:r w:rsidRPr="00BB4B02">
        <w:rPr>
          <w:rFonts w:ascii="Palatino Linotype" w:eastAsia="Palatino Linotype" w:hAnsi="Palatino Linotype" w:cs="Palatino Linotype"/>
          <w:color w:val="000000" w:themeColor="text1"/>
        </w:rPr>
        <w:t xml:space="preserve">éste interpuso recurso de revisión arguyendo la clasificación como reservada por un </w:t>
      </w:r>
      <w:r w:rsidR="00BB4B02" w:rsidRPr="00BB4B02">
        <w:rPr>
          <w:rFonts w:ascii="Palatino Linotype" w:eastAsia="Palatino Linotype" w:hAnsi="Palatino Linotype" w:cs="Palatino Linotype"/>
          <w:color w:val="000000" w:themeColor="text1"/>
        </w:rPr>
        <w:t>periodo</w:t>
      </w:r>
      <w:r w:rsidRPr="00BB4B02">
        <w:rPr>
          <w:rFonts w:ascii="Palatino Linotype" w:eastAsia="Palatino Linotype" w:hAnsi="Palatino Linotype" w:cs="Palatino Linotype"/>
          <w:color w:val="000000" w:themeColor="text1"/>
        </w:rPr>
        <w:t xml:space="preserve"> de 5 años</w:t>
      </w:r>
      <w:r w:rsidR="007D6FC9" w:rsidRPr="00BB4B02">
        <w:rPr>
          <w:rFonts w:ascii="Palatino Linotype" w:eastAsia="Palatino Linotype" w:hAnsi="Palatino Linotype" w:cs="Palatino Linotype"/>
          <w:color w:val="000000" w:themeColor="text1"/>
        </w:rPr>
        <w:t>, por</w:t>
      </w:r>
      <w:r w:rsidRPr="00BB4B02">
        <w:rPr>
          <w:rFonts w:ascii="Palatino Linotype" w:eastAsia="Palatino Linotype" w:hAnsi="Palatino Linotype" w:cs="Palatino Linotype"/>
          <w:color w:val="000000" w:themeColor="text1"/>
        </w:rPr>
        <w:t xml:space="preserve"> el </w:t>
      </w:r>
      <w:r w:rsidRPr="00BB4B02">
        <w:rPr>
          <w:rFonts w:ascii="Palatino Linotype" w:eastAsia="Palatino Linotype" w:hAnsi="Palatino Linotype" w:cs="Palatino Linotype"/>
          <w:b/>
          <w:bCs/>
          <w:color w:val="000000" w:themeColor="text1"/>
        </w:rPr>
        <w:t xml:space="preserve">SUJETO OBLIGADO. </w:t>
      </w:r>
    </w:p>
    <w:p w:rsidR="00565EFE" w:rsidRPr="00BB4B02" w:rsidRDefault="00565EFE" w:rsidP="00BB4B02">
      <w:pPr>
        <w:pBdr>
          <w:top w:val="nil"/>
          <w:left w:val="nil"/>
          <w:bottom w:val="nil"/>
          <w:right w:val="nil"/>
          <w:between w:val="nil"/>
        </w:pBdr>
        <w:ind w:right="-2"/>
        <w:jc w:val="both"/>
        <w:rPr>
          <w:rFonts w:ascii="Palatino Linotype" w:eastAsia="Palatino Linotype" w:hAnsi="Palatino Linotype" w:cs="Palatino Linotype"/>
          <w:color w:val="000000" w:themeColor="text1"/>
        </w:rPr>
      </w:pP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 xml:space="preserve">En dichas condiciones, la </w:t>
      </w:r>
      <w:r w:rsidRPr="00BB4B02">
        <w:rPr>
          <w:rFonts w:ascii="Palatino Linotype" w:eastAsia="Palatino Linotype" w:hAnsi="Palatino Linotype" w:cs="Palatino Linotype"/>
          <w:i/>
          <w:iCs/>
          <w:color w:val="000000" w:themeColor="text1"/>
        </w:rPr>
        <w:t>Litis</w:t>
      </w:r>
      <w:r w:rsidRPr="00BB4B02">
        <w:rPr>
          <w:rFonts w:ascii="Palatino Linotype" w:eastAsia="Palatino Linotype" w:hAnsi="Palatino Linotype" w:cs="Palatino Linotype"/>
          <w:color w:val="000000" w:themeColor="text1"/>
        </w:rPr>
        <w:t xml:space="preserve"> a resolver en este recurso se circunscribe a determinar si se actualizan las causales de procedencia previstas en el artículo 179, </w:t>
      </w:r>
      <w:r w:rsidRPr="00BB4B02">
        <w:rPr>
          <w:rFonts w:ascii="Palatino Linotype" w:eastAsia="Palatino Linotype" w:hAnsi="Palatino Linotype" w:cs="Palatino Linotype"/>
          <w:b/>
          <w:bCs/>
          <w:color w:val="000000" w:themeColor="text1"/>
        </w:rPr>
        <w:t xml:space="preserve">fracción XIII </w:t>
      </w:r>
      <w:r w:rsidRPr="00BB4B02">
        <w:rPr>
          <w:rFonts w:ascii="Palatino Linotype" w:eastAsia="Palatino Linotype" w:hAnsi="Palatino Linotype" w:cs="Palatino Linotype"/>
          <w:color w:val="000000" w:themeColor="text1"/>
        </w:rPr>
        <w:t>de la Ley</w:t>
      </w:r>
      <w:r w:rsidRPr="00BB4B02">
        <w:rPr>
          <w:rFonts w:ascii="Palatino Linotype" w:eastAsia="Palatino Linotype" w:hAnsi="Palatino Linotype" w:cs="Palatino Linotype"/>
          <w:b/>
          <w:bCs/>
          <w:color w:val="000000" w:themeColor="text1"/>
        </w:rPr>
        <w:t xml:space="preserve"> de Transparencia y Acceso a la Información Pública del Estado de </w:t>
      </w:r>
      <w:r w:rsidRPr="00BB4B02">
        <w:rPr>
          <w:rFonts w:ascii="Palatino Linotype" w:eastAsia="Palatino Linotype" w:hAnsi="Palatino Linotype" w:cs="Palatino Linotype"/>
          <w:color w:val="000000" w:themeColor="text1"/>
        </w:rPr>
        <w:t>México</w:t>
      </w:r>
      <w:r w:rsidRPr="00BB4B02">
        <w:rPr>
          <w:rFonts w:ascii="Palatino Linotype" w:eastAsia="Palatino Linotype" w:hAnsi="Palatino Linotype" w:cs="Palatino Linotype"/>
          <w:b/>
          <w:bCs/>
          <w:color w:val="000000" w:themeColor="text1"/>
        </w:rPr>
        <w:t xml:space="preserve"> y Municipios</w:t>
      </w:r>
      <w:r w:rsidRPr="00BB4B02">
        <w:rPr>
          <w:rFonts w:ascii="Palatino Linotype" w:eastAsia="Palatino Linotype" w:hAnsi="Palatino Linotype" w:cs="Palatino Linotype"/>
          <w:color w:val="000000" w:themeColor="text1"/>
        </w:rPr>
        <w:t xml:space="preserve">; fracción que determina la hipótesis jurídica relativa a La falta, deficiencia o insuficiencia de la fundamentación y/o motivación en la respuesta; y; contexto del cual se dolió </w:t>
      </w:r>
      <w:r w:rsidRPr="00BB4B02">
        <w:rPr>
          <w:rFonts w:ascii="Palatino Linotype" w:eastAsia="Palatino Linotype" w:hAnsi="Palatino Linotype" w:cs="Palatino Linotype"/>
          <w:b/>
          <w:bCs/>
          <w:color w:val="000000" w:themeColor="text1"/>
        </w:rPr>
        <w:t xml:space="preserve">EL RECURRENTE </w:t>
      </w:r>
      <w:r w:rsidRPr="00BB4B02">
        <w:rPr>
          <w:rFonts w:ascii="Palatino Linotype" w:eastAsia="Palatino Linotype" w:hAnsi="Palatino Linotype" w:cs="Palatino Linotype"/>
          <w:color w:val="000000" w:themeColor="text1"/>
        </w:rPr>
        <w:t>al momento de interponer su inconformidad.</w:t>
      </w:r>
    </w:p>
    <w:p w:rsidR="00565EFE" w:rsidRPr="00BB4B02" w:rsidRDefault="00565EFE" w:rsidP="00BB4B02">
      <w:pPr>
        <w:pBdr>
          <w:top w:val="nil"/>
          <w:left w:val="nil"/>
          <w:bottom w:val="nil"/>
          <w:right w:val="nil"/>
          <w:between w:val="nil"/>
        </w:pBdr>
        <w:spacing w:line="360" w:lineRule="auto"/>
        <w:ind w:right="-2"/>
        <w:jc w:val="both"/>
        <w:rPr>
          <w:rFonts w:ascii="Palatino Linotype" w:eastAsia="Palatino Linotype" w:hAnsi="Palatino Linotype" w:cs="Palatino Linotype"/>
          <w:color w:val="000000" w:themeColor="text1"/>
        </w:rPr>
      </w:pP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 xml:space="preserve">De modo tal que el presente recurso de revisión se abocara en determinar si el </w:t>
      </w:r>
      <w:r w:rsidRPr="00BB4B02">
        <w:rPr>
          <w:rFonts w:ascii="Palatino Linotype" w:eastAsia="Palatino Linotype" w:hAnsi="Palatino Linotype" w:cs="Palatino Linotype"/>
          <w:b/>
          <w:bCs/>
          <w:color w:val="000000" w:themeColor="text1"/>
        </w:rPr>
        <w:t>SUJETO OBLIGADO</w:t>
      </w:r>
      <w:r w:rsidRPr="00BB4B02">
        <w:rPr>
          <w:rFonts w:ascii="Palatino Linotype" w:eastAsia="Palatino Linotype" w:hAnsi="Palatino Linotype" w:cs="Palatino Linotype"/>
          <w:color w:val="000000" w:themeColor="text1"/>
        </w:rPr>
        <w:t xml:space="preserve"> con su respuesta ciertamente actualizan las causales de procedencia</w:t>
      </w:r>
      <w:r w:rsidRPr="00BB4B02">
        <w:rPr>
          <w:rFonts w:ascii="Palatino Linotype" w:eastAsia="Palatino Linotype" w:hAnsi="Palatino Linotype" w:cs="Palatino Linotype"/>
          <w:b/>
          <w:bCs/>
          <w:color w:val="000000" w:themeColor="text1"/>
        </w:rPr>
        <w:t xml:space="preserve"> </w:t>
      </w:r>
      <w:r w:rsidRPr="00BB4B02">
        <w:rPr>
          <w:rFonts w:ascii="Palatino Linotype" w:eastAsia="Palatino Linotype" w:hAnsi="Palatino Linotype" w:cs="Palatino Linotype"/>
          <w:color w:val="000000" w:themeColor="text1"/>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565EFE" w:rsidRPr="00BB4B02" w:rsidRDefault="00EB48A6" w:rsidP="00BB4B02">
      <w:pPr>
        <w:pStyle w:val="Ttulo1"/>
        <w:spacing w:before="0" w:line="360" w:lineRule="auto"/>
        <w:ind w:right="-2"/>
        <w:rPr>
          <w:b w:val="0"/>
          <w:bCs w:val="0"/>
          <w:color w:val="000000" w:themeColor="text1"/>
        </w:rPr>
      </w:pPr>
      <w:r w:rsidRPr="00BB4B02">
        <w:rPr>
          <w:color w:val="000000" w:themeColor="text1"/>
        </w:rPr>
        <w:t>CUARTO. Del estudio y resolución del asunto.</w:t>
      </w:r>
    </w:p>
    <w:p w:rsidR="00565EFE" w:rsidRPr="00BB4B02" w:rsidRDefault="00EB48A6" w:rsidP="00BB4B02">
      <w:pPr>
        <w:pBdr>
          <w:top w:val="nil"/>
          <w:left w:val="nil"/>
          <w:bottom w:val="nil"/>
          <w:right w:val="nil"/>
          <w:between w:val="nil"/>
        </w:pBdr>
        <w:tabs>
          <w:tab w:val="left" w:pos="889"/>
        </w:tabs>
        <w:spacing w:line="360" w:lineRule="auto"/>
        <w:ind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ab/>
      </w: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 xml:space="preserve">Acotada la </w:t>
      </w:r>
      <w:r w:rsidRPr="00BB4B02">
        <w:rPr>
          <w:rFonts w:ascii="Palatino Linotype" w:eastAsia="Palatino Linotype" w:hAnsi="Palatino Linotype" w:cs="Palatino Linotype"/>
          <w:i/>
          <w:iCs/>
          <w:color w:val="000000" w:themeColor="text1"/>
        </w:rPr>
        <w:t>Litis</w:t>
      </w:r>
      <w:r w:rsidRPr="00BB4B02">
        <w:rPr>
          <w:rFonts w:ascii="Palatino Linotype" w:eastAsia="Palatino Linotype" w:hAnsi="Palatino Linotype" w:cs="Palatino Linotype"/>
          <w:color w:val="000000" w:themeColor="text1"/>
        </w:rPr>
        <w:t xml:space="preserve"> del asunto de mérito, es dable puntualizar inicialmente en términos generales, que el Derecho de Acceso a la Información Pública es un Derecho Humano reconocido en el Pacto de Derechos Civiles y Políticos en su artículo 19.2; en la Convención </w:t>
      </w:r>
      <w:r w:rsidRPr="00BB4B02">
        <w:rPr>
          <w:rFonts w:ascii="Palatino Linotype" w:eastAsia="Palatino Linotype" w:hAnsi="Palatino Linotype" w:cs="Palatino Linotype"/>
          <w:color w:val="000000" w:themeColor="text1"/>
        </w:rPr>
        <w:lastRenderedPageBreak/>
        <w:t>Americana sobre Derechos Humanos en su artículo 13.1, así como en el artículo 6°, apartado A), fracción I de la Constitución Política de los Estados Unidos Mexicanos, el cual establece que toda la información en posesión de cualquier autoridad es pública y sólo podrá ser reservada temporalmente por razones de interés público.</w:t>
      </w:r>
    </w:p>
    <w:p w:rsidR="00565EFE" w:rsidRPr="00BB4B02" w:rsidRDefault="00565EFE" w:rsidP="00BB4B02">
      <w:pPr>
        <w:pBdr>
          <w:top w:val="nil"/>
          <w:left w:val="nil"/>
          <w:bottom w:val="nil"/>
          <w:right w:val="nil"/>
          <w:between w:val="nil"/>
        </w:pBdr>
        <w:tabs>
          <w:tab w:val="left" w:pos="426"/>
        </w:tabs>
        <w:spacing w:line="360" w:lineRule="auto"/>
        <w:ind w:right="-2"/>
        <w:jc w:val="both"/>
        <w:rPr>
          <w:rFonts w:ascii="Palatino Linotype" w:eastAsia="Palatino Linotype" w:hAnsi="Palatino Linotype" w:cs="Palatino Linotype"/>
          <w:color w:val="000000" w:themeColor="text1"/>
        </w:rPr>
      </w:pP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Por su parte, la Ley General de Transparencia y Acceso a la Información Pública, dispone en su artículo 70 que la información que corresponde a las Obligaciones de Transparencia debe estar disponible para cualquier persona de manera permanente y actualizada.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565EFE" w:rsidRPr="00BB4B02" w:rsidRDefault="00565EFE" w:rsidP="00BB4B02">
      <w:pPr>
        <w:spacing w:line="360" w:lineRule="auto"/>
        <w:ind w:right="-2"/>
        <w:jc w:val="both"/>
        <w:rPr>
          <w:rFonts w:ascii="Palatino Linotype" w:eastAsia="Palatino Linotype" w:hAnsi="Palatino Linotype" w:cs="Palatino Linotype"/>
          <w:color w:val="000000" w:themeColor="text1"/>
        </w:rPr>
      </w:pP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En el mismo sentido, la Ley de Transparencia y Acceso a la Información Pública del Estado de México y Municipios (Reglamentaria del artículo 5° de la Constitución Local), establece en su artículo 12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565EFE" w:rsidRPr="00BB4B02" w:rsidRDefault="00565EFE" w:rsidP="00BB4B02">
      <w:pPr>
        <w:pBdr>
          <w:top w:val="nil"/>
          <w:left w:val="nil"/>
          <w:bottom w:val="nil"/>
          <w:right w:val="nil"/>
          <w:between w:val="nil"/>
        </w:pBdr>
        <w:spacing w:line="360" w:lineRule="auto"/>
        <w:ind w:right="-2"/>
        <w:rPr>
          <w:rFonts w:ascii="Palatino Linotype" w:eastAsia="Palatino Linotype" w:hAnsi="Palatino Linotype" w:cs="Palatino Linotype"/>
          <w:color w:val="000000" w:themeColor="text1"/>
        </w:rPr>
      </w:pP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lastRenderedPageBreak/>
        <w:t>Finalmente,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565EFE" w:rsidRPr="00BB4B02" w:rsidRDefault="00565EFE" w:rsidP="00BB4B02">
      <w:pPr>
        <w:spacing w:line="360" w:lineRule="auto"/>
        <w:ind w:right="-2"/>
        <w:rPr>
          <w:rFonts w:ascii="Palatino Linotype" w:eastAsia="Palatino Linotype" w:hAnsi="Palatino Linotype" w:cs="Palatino Linotype"/>
          <w:color w:val="000000" w:themeColor="text1"/>
        </w:rPr>
      </w:pPr>
    </w:p>
    <w:p w:rsidR="00565EFE" w:rsidRPr="00BB4B02" w:rsidRDefault="00EB48A6" w:rsidP="00E71F64">
      <w:pPr>
        <w:numPr>
          <w:ilvl w:val="0"/>
          <w:numId w:val="3"/>
        </w:numPr>
        <w:pBdr>
          <w:top w:val="nil"/>
          <w:left w:val="nil"/>
          <w:bottom w:val="nil"/>
          <w:right w:val="nil"/>
          <w:between w:val="nil"/>
        </w:pBdr>
        <w:spacing w:line="360" w:lineRule="auto"/>
        <w:ind w:left="0" w:right="-2" w:firstLine="0"/>
        <w:jc w:val="both"/>
        <w:rPr>
          <w:rFonts w:ascii="Palatino Linotype" w:eastAsia="Palatino Linotype" w:hAnsi="Palatino Linotype" w:cs="Palatino Linotype"/>
          <w:b/>
          <w:bCs/>
          <w:color w:val="000000" w:themeColor="text1"/>
        </w:rPr>
      </w:pPr>
      <w:r w:rsidRPr="00BB4B02">
        <w:rPr>
          <w:rFonts w:ascii="Palatino Linotype" w:eastAsia="Palatino Linotype" w:hAnsi="Palatino Linotype" w:cs="Palatino Linotype"/>
          <w:b/>
          <w:bCs/>
          <w:color w:val="000000" w:themeColor="text1"/>
        </w:rPr>
        <w:t>Estudio de fondo</w:t>
      </w: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 xml:space="preserve">Acotada la </w:t>
      </w:r>
      <w:r w:rsidRPr="00BB4B02">
        <w:rPr>
          <w:rFonts w:ascii="Palatino Linotype" w:eastAsia="Palatino Linotype" w:hAnsi="Palatino Linotype" w:cs="Palatino Linotype"/>
          <w:i/>
          <w:iCs/>
          <w:color w:val="000000" w:themeColor="text1"/>
        </w:rPr>
        <w:t>Litis</w:t>
      </w:r>
      <w:r w:rsidRPr="00BB4B02">
        <w:rPr>
          <w:rFonts w:ascii="Palatino Linotype" w:eastAsia="Palatino Linotype" w:hAnsi="Palatino Linotype" w:cs="Palatino Linotype"/>
          <w:color w:val="000000" w:themeColor="text1"/>
        </w:rPr>
        <w:t xml:space="preserve"> del presente asunto, a efecto de poder determinar si la respuesta proporcionada por el </w:t>
      </w:r>
      <w:r w:rsidRPr="00BB4B02">
        <w:rPr>
          <w:rFonts w:ascii="Palatino Linotype" w:eastAsia="Palatino Linotype" w:hAnsi="Palatino Linotype" w:cs="Palatino Linotype"/>
          <w:b/>
          <w:bCs/>
          <w:color w:val="000000" w:themeColor="text1"/>
        </w:rPr>
        <w:t xml:space="preserve">SUJETO OBLIGADO, </w:t>
      </w:r>
      <w:r w:rsidRPr="00BB4B02">
        <w:rPr>
          <w:rFonts w:ascii="Palatino Linotype" w:eastAsia="Palatino Linotype" w:hAnsi="Palatino Linotype" w:cs="Palatino Linotype"/>
          <w:color w:val="000000" w:themeColor="text1"/>
        </w:rPr>
        <w:t xml:space="preserve">resulta suficiente para temer por colmada la solicitud de información que nos ocupa, o si por el contrario resultan fundados los motivos de inconformidad hechos valer por el ahora </w:t>
      </w:r>
      <w:r w:rsidRPr="00BB4B02">
        <w:rPr>
          <w:rFonts w:ascii="Palatino Linotype" w:eastAsia="Palatino Linotype" w:hAnsi="Palatino Linotype" w:cs="Palatino Linotype"/>
          <w:b/>
          <w:bCs/>
          <w:color w:val="000000" w:themeColor="text1"/>
        </w:rPr>
        <w:t>RECURRENTE.</w:t>
      </w:r>
    </w:p>
    <w:p w:rsidR="00565EFE" w:rsidRPr="00BB4B02" w:rsidRDefault="00565EFE" w:rsidP="00BB4B02">
      <w:pPr>
        <w:spacing w:line="360" w:lineRule="auto"/>
        <w:ind w:right="-2"/>
        <w:jc w:val="both"/>
        <w:rPr>
          <w:rFonts w:ascii="Palatino Linotype" w:eastAsia="Palatino Linotype" w:hAnsi="Palatino Linotype" w:cs="Palatino Linotype"/>
          <w:color w:val="000000" w:themeColor="text1"/>
        </w:rPr>
      </w:pP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 xml:space="preserve">Previo a entrar al fondo del estudio, de los motivos de inconformidad, se advierte que el </w:t>
      </w:r>
      <w:r w:rsidRPr="00BB4B02">
        <w:rPr>
          <w:rFonts w:ascii="Palatino Linotype" w:eastAsia="Palatino Linotype" w:hAnsi="Palatino Linotype" w:cs="Palatino Linotype"/>
          <w:b/>
          <w:bCs/>
          <w:color w:val="000000" w:themeColor="text1"/>
        </w:rPr>
        <w:t xml:space="preserve">RECURRENTE, </w:t>
      </w:r>
      <w:r w:rsidRPr="00BB4B02">
        <w:rPr>
          <w:rFonts w:ascii="Palatino Linotype" w:eastAsia="Palatino Linotype" w:hAnsi="Palatino Linotype" w:cs="Palatino Linotype"/>
          <w:color w:val="000000" w:themeColor="text1"/>
        </w:rPr>
        <w:t xml:space="preserve">únicamente expresó inconformidad respecto </w:t>
      </w:r>
      <w:r w:rsidRPr="00BB4B02">
        <w:rPr>
          <w:rFonts w:ascii="Palatino Linotype" w:eastAsia="Palatino Linotype" w:hAnsi="Palatino Linotype" w:cs="Palatino Linotype"/>
          <w:i/>
          <w:iCs/>
          <w:color w:val="000000" w:themeColor="text1"/>
        </w:rPr>
        <w:t>el acuerdo de clasificación de información como reservada emitido por el Comité de Transparencia del ODAPAS Chimalhuacán,</w:t>
      </w:r>
      <w:r w:rsidRPr="00BB4B02">
        <w:rPr>
          <w:rFonts w:ascii="Palatino Linotype" w:eastAsia="Palatino Linotype" w:hAnsi="Palatino Linotype" w:cs="Palatino Linotype"/>
          <w:color w:val="000000" w:themeColor="text1"/>
        </w:rPr>
        <w:t xml:space="preserve"> respecto del resto de la información no existió motivo de inconformidad, por lo que la misma, se tiene como actos consentidos, de tal forma que, la parte de la solicitud que no fue impugnada debe declararse consentida, toda vez que al no realizar manifestaciones de inconformidad; no pueden producirse efectos jurídicos tendentes a revocar, confirmar o modificar el acto reclamado, ya que no realizó manifestación alguna al respecto. </w:t>
      </w:r>
    </w:p>
    <w:p w:rsidR="00565EFE" w:rsidRPr="00BB4B02" w:rsidRDefault="00565EFE" w:rsidP="00BB4B02">
      <w:pPr>
        <w:spacing w:line="360" w:lineRule="auto"/>
        <w:ind w:right="-2"/>
        <w:jc w:val="both"/>
        <w:rPr>
          <w:rFonts w:ascii="Palatino Linotype" w:eastAsia="Palatino Linotype" w:hAnsi="Palatino Linotype" w:cs="Palatino Linotype"/>
          <w:color w:val="000000" w:themeColor="text1"/>
        </w:rPr>
      </w:pP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lastRenderedPageBreak/>
        <w:t>Sirve de sustento, la tesis jurisprudencial número VI.3o.C. J/60, publicada en el Semanario Judicial de la Federación y su Gaceta bajo el número de registro 176,608 que a la letra dice:</w:t>
      </w:r>
    </w:p>
    <w:p w:rsidR="00565EFE" w:rsidRPr="00BB4B02" w:rsidRDefault="00EB48A6" w:rsidP="00BB4B02">
      <w:pPr>
        <w:tabs>
          <w:tab w:val="left" w:pos="851"/>
        </w:tabs>
        <w:spacing w:line="276" w:lineRule="auto"/>
        <w:ind w:right="-2"/>
        <w:jc w:val="both"/>
        <w:rPr>
          <w:rFonts w:ascii="Palatino Linotype" w:eastAsia="Palatino Linotype" w:hAnsi="Palatino Linotype" w:cs="Palatino Linotype"/>
          <w:i/>
          <w:iCs/>
          <w:color w:val="000000" w:themeColor="text1"/>
        </w:rPr>
      </w:pPr>
      <w:r w:rsidRPr="00BB4B02">
        <w:rPr>
          <w:rFonts w:ascii="Palatino Linotype" w:eastAsia="Palatino Linotype" w:hAnsi="Palatino Linotype" w:cs="Palatino Linotype"/>
          <w:b/>
          <w:bCs/>
          <w:i/>
          <w:iCs/>
          <w:color w:val="000000" w:themeColor="text1"/>
        </w:rPr>
        <w:t xml:space="preserve">“ACTOS CONSENTIDOS. SON LOS QUE NO SE IMPUGNAN MEDIANTE EL RECURSO IDÓNEO. </w:t>
      </w:r>
      <w:r w:rsidRPr="00BB4B02">
        <w:rPr>
          <w:rFonts w:ascii="Palatino Linotype" w:eastAsia="Palatino Linotype" w:hAnsi="Palatino Linotype" w:cs="Palatino Linotype"/>
          <w:i/>
          <w:iCs/>
          <w:color w:val="000000" w:themeColor="text1"/>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565EFE" w:rsidRPr="00BB4B02" w:rsidRDefault="00565EFE" w:rsidP="00BB4B02">
      <w:pPr>
        <w:spacing w:line="360" w:lineRule="auto"/>
        <w:ind w:right="-2"/>
        <w:jc w:val="both"/>
        <w:rPr>
          <w:rFonts w:ascii="Palatino Linotype" w:eastAsia="Palatino Linotype" w:hAnsi="Palatino Linotype" w:cs="Palatino Linotype"/>
          <w:color w:val="000000" w:themeColor="text1"/>
        </w:rPr>
      </w:pP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 xml:space="preserve">De la interpretación del criterio antes citado, se advierte que cuando el particular impugnó la respuesta del </w:t>
      </w:r>
      <w:r w:rsidRPr="00BB4B02">
        <w:rPr>
          <w:rFonts w:ascii="Palatino Linotype" w:eastAsia="Palatino Linotype" w:hAnsi="Palatino Linotype" w:cs="Palatino Linotype"/>
          <w:b/>
          <w:bCs/>
          <w:color w:val="000000" w:themeColor="text1"/>
        </w:rPr>
        <w:t>SUJETO OBLIGADO</w:t>
      </w:r>
      <w:r w:rsidRPr="00BB4B02">
        <w:rPr>
          <w:rFonts w:ascii="Palatino Linotype" w:eastAsia="Palatino Linotype" w:hAnsi="Palatino Linotype" w:cs="Palatino Linotype"/>
          <w:color w:val="000000" w:themeColor="text1"/>
        </w:rPr>
        <w:t xml:space="preserve">, no expresó razón o motivo de inconformidad en contra de todos los rubros solicitados, por tanto estos deben declararse atendidos, pues se entiende que </w:t>
      </w:r>
      <w:r w:rsidRPr="00BB4B02">
        <w:rPr>
          <w:rFonts w:ascii="Palatino Linotype" w:eastAsia="Palatino Linotype" w:hAnsi="Palatino Linotype" w:cs="Palatino Linotype"/>
          <w:b/>
          <w:bCs/>
          <w:color w:val="000000" w:themeColor="text1"/>
        </w:rPr>
        <w:t>EL RECURRENTE</w:t>
      </w:r>
      <w:r w:rsidRPr="00BB4B02">
        <w:rPr>
          <w:rFonts w:ascii="Palatino Linotype" w:eastAsia="Palatino Linotype" w:hAnsi="Palatino Linotype" w:cs="Palatino Linotype"/>
          <w:color w:val="000000" w:themeColor="text1"/>
        </w:rPr>
        <w:t xml:space="preserve"> está conforme con la respuesta proporcionada por </w:t>
      </w:r>
      <w:r w:rsidRPr="00BB4B02">
        <w:rPr>
          <w:rFonts w:ascii="Palatino Linotype" w:eastAsia="Palatino Linotype" w:hAnsi="Palatino Linotype" w:cs="Palatino Linotype"/>
          <w:b/>
          <w:bCs/>
          <w:color w:val="000000" w:themeColor="text1"/>
        </w:rPr>
        <w:t>EL SUJETO OBLIGADO,</w:t>
      </w:r>
      <w:r w:rsidRPr="00BB4B02">
        <w:rPr>
          <w:rFonts w:ascii="Palatino Linotype" w:eastAsia="Palatino Linotype" w:hAnsi="Palatino Linotype" w:cs="Palatino Linotype"/>
          <w:color w:val="000000" w:themeColor="text1"/>
        </w:rPr>
        <w:t xml:space="preserve"> al no contravenir la misma. </w:t>
      </w:r>
    </w:p>
    <w:p w:rsidR="00565EFE" w:rsidRPr="00BB4B02" w:rsidRDefault="00565EFE" w:rsidP="00BB4B02">
      <w:pPr>
        <w:spacing w:line="360" w:lineRule="auto"/>
        <w:ind w:right="-2"/>
        <w:jc w:val="both"/>
        <w:rPr>
          <w:rFonts w:ascii="Palatino Linotype" w:eastAsia="Palatino Linotype" w:hAnsi="Palatino Linotype" w:cs="Palatino Linotype"/>
          <w:color w:val="000000" w:themeColor="text1"/>
        </w:rPr>
      </w:pP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Atento a ello, es importante traer a contexto la Tesis Jurisprudencial Número 3ª./J.7/91, Publicada en el Semanario Judicial de la Federación y su Gaceta bajo el número de registro 174,177, que establece lo siguiente:</w:t>
      </w:r>
    </w:p>
    <w:p w:rsidR="00565EFE" w:rsidRPr="00BB4B02" w:rsidRDefault="00EB48A6" w:rsidP="00BB4B02">
      <w:pPr>
        <w:tabs>
          <w:tab w:val="left" w:pos="7937"/>
          <w:tab w:val="left" w:pos="8222"/>
        </w:tabs>
        <w:spacing w:line="276" w:lineRule="auto"/>
        <w:ind w:right="-2"/>
        <w:jc w:val="both"/>
        <w:rPr>
          <w:rFonts w:ascii="Palatino Linotype" w:eastAsia="Palatino Linotype" w:hAnsi="Palatino Linotype" w:cs="Palatino Linotype"/>
          <w:i/>
          <w:iCs/>
          <w:color w:val="000000" w:themeColor="text1"/>
        </w:rPr>
      </w:pPr>
      <w:r w:rsidRPr="00BB4B02">
        <w:rPr>
          <w:rFonts w:ascii="Palatino Linotype" w:eastAsia="Palatino Linotype" w:hAnsi="Palatino Linotype" w:cs="Palatino Linotype"/>
          <w:b/>
          <w:bCs/>
          <w:i/>
          <w:iCs/>
          <w:color w:val="000000" w:themeColor="text1"/>
        </w:rPr>
        <w:t xml:space="preserve">“REVISIÓN EN AMPARO. LOS RESOLUTIVOS NO COMBATIDOS DEBEN DECLARARSE FIRMES. </w:t>
      </w:r>
      <w:r w:rsidRPr="00BB4B02">
        <w:rPr>
          <w:rFonts w:ascii="Palatino Linotype" w:eastAsia="Palatino Linotype" w:hAnsi="Palatino Linotype" w:cs="Palatino Linotype"/>
          <w:i/>
          <w:iCs/>
          <w:color w:val="000000" w:themeColor="text1"/>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lastRenderedPageBreak/>
        <w:t>Precisado lo anterior</w:t>
      </w:r>
      <w:r w:rsidR="007D6FC9" w:rsidRPr="00BB4B02">
        <w:rPr>
          <w:rFonts w:ascii="Palatino Linotype" w:eastAsia="Palatino Linotype" w:hAnsi="Palatino Linotype" w:cs="Palatino Linotype"/>
          <w:color w:val="000000" w:themeColor="text1"/>
        </w:rPr>
        <w:t>, respecto</w:t>
      </w:r>
      <w:r w:rsidRPr="00BB4B02">
        <w:rPr>
          <w:rFonts w:ascii="Palatino Linotype" w:eastAsia="Palatino Linotype" w:hAnsi="Palatino Linotype" w:cs="Palatino Linotype"/>
          <w:color w:val="000000" w:themeColor="text1"/>
        </w:rPr>
        <w:t xml:space="preserve"> la fuente obligacional, el SUJETO OBLIGADO, acepta que genera, posee y/o administra la información solicitada, tan es así que reserva la información por un periodo de 5 años.  </w:t>
      </w:r>
    </w:p>
    <w:p w:rsidR="00565EFE" w:rsidRPr="00BB4B02" w:rsidRDefault="00565EFE" w:rsidP="00BB4B02">
      <w:pPr>
        <w:spacing w:line="360" w:lineRule="auto"/>
        <w:ind w:right="-2"/>
        <w:jc w:val="both"/>
        <w:rPr>
          <w:rFonts w:ascii="Palatino Linotype" w:eastAsia="Palatino Linotype" w:hAnsi="Palatino Linotype" w:cs="Palatino Linotype"/>
          <w:color w:val="000000" w:themeColor="text1"/>
        </w:rPr>
      </w:pP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Ahora bien, respecto el acuerdo de clasificación como reservada, se precisa que es relativa a la información siguiente:</w:t>
      </w:r>
    </w:p>
    <w:p w:rsidR="00565EFE" w:rsidRPr="00BB4B02" w:rsidRDefault="00EB48A6" w:rsidP="00BB4B02">
      <w:pPr>
        <w:ind w:right="-2"/>
        <w:jc w:val="both"/>
        <w:rPr>
          <w:rFonts w:ascii="Palatino Linotype" w:eastAsia="Palatino Linotype" w:hAnsi="Palatino Linotype" w:cs="Palatino Linotype"/>
          <w:i/>
          <w:iCs/>
          <w:color w:val="000000" w:themeColor="text1"/>
        </w:rPr>
      </w:pPr>
      <w:r w:rsidRPr="00BB4B02">
        <w:rPr>
          <w:rFonts w:ascii="Palatino Linotype" w:eastAsia="Palatino Linotype" w:hAnsi="Palatino Linotype" w:cs="Palatino Linotype"/>
          <w:i/>
          <w:iCs/>
          <w:color w:val="000000" w:themeColor="text1"/>
        </w:rPr>
        <w:t xml:space="preserve">a) Catastro técnico actualizado de la infraestructura hidráulica de la colonia 17 de marzo incluyendo: (redes de agua potable, redes de drenaje y alcantarillado, localización de las estaciones de kombeo y válvulas) </w:t>
      </w:r>
    </w:p>
    <w:p w:rsidR="00565EFE" w:rsidRPr="00BB4B02" w:rsidRDefault="00565EFE" w:rsidP="00BB4B02">
      <w:pPr>
        <w:ind w:right="-2"/>
        <w:jc w:val="both"/>
        <w:rPr>
          <w:rFonts w:ascii="Palatino Linotype" w:eastAsia="Palatino Linotype" w:hAnsi="Palatino Linotype" w:cs="Palatino Linotype"/>
          <w:i/>
          <w:iCs/>
          <w:color w:val="000000" w:themeColor="text1"/>
        </w:rPr>
      </w:pPr>
    </w:p>
    <w:p w:rsidR="00565EFE" w:rsidRPr="00BB4B02" w:rsidRDefault="00EB48A6" w:rsidP="00BB4B02">
      <w:pPr>
        <w:ind w:right="-2"/>
        <w:jc w:val="both"/>
        <w:rPr>
          <w:rFonts w:ascii="Palatino Linotype" w:eastAsia="Palatino Linotype" w:hAnsi="Palatino Linotype" w:cs="Palatino Linotype"/>
          <w:i/>
          <w:iCs/>
          <w:color w:val="000000" w:themeColor="text1"/>
        </w:rPr>
      </w:pPr>
      <w:r w:rsidRPr="00BB4B02">
        <w:rPr>
          <w:rFonts w:ascii="Palatino Linotype" w:eastAsia="Palatino Linotype" w:hAnsi="Palatino Linotype" w:cs="Palatino Linotype"/>
          <w:i/>
          <w:iCs/>
          <w:color w:val="000000" w:themeColor="text1"/>
        </w:rPr>
        <w:t xml:space="preserve">b) Inventario físico de infraestructura hidráulica bajo control del organismo operador municipal o la CAEM, con detalle de: (Número total de instalaciones hidráulicas. cobertura por color.ia o zona). </w:t>
      </w:r>
    </w:p>
    <w:p w:rsidR="00565EFE" w:rsidRPr="00BB4B02" w:rsidRDefault="00565EFE" w:rsidP="00BB4B02">
      <w:pPr>
        <w:ind w:right="-2"/>
        <w:jc w:val="both"/>
        <w:rPr>
          <w:rFonts w:ascii="Palatino Linotype" w:eastAsia="Palatino Linotype" w:hAnsi="Palatino Linotype" w:cs="Palatino Linotype"/>
          <w:i/>
          <w:iCs/>
          <w:color w:val="000000" w:themeColor="text1"/>
        </w:rPr>
      </w:pPr>
    </w:p>
    <w:p w:rsidR="00565EFE" w:rsidRPr="00BB4B02" w:rsidRDefault="00EB48A6" w:rsidP="00BB4B02">
      <w:pPr>
        <w:ind w:right="-2"/>
        <w:jc w:val="both"/>
        <w:rPr>
          <w:rFonts w:ascii="Palatino Linotype" w:eastAsia="Palatino Linotype" w:hAnsi="Palatino Linotype" w:cs="Palatino Linotype"/>
          <w:i/>
          <w:iCs/>
          <w:color w:val="000000" w:themeColor="text1"/>
        </w:rPr>
      </w:pPr>
      <w:r w:rsidRPr="00BB4B02">
        <w:rPr>
          <w:rFonts w:ascii="Palatino Linotype" w:eastAsia="Palatino Linotype" w:hAnsi="Palatino Linotype" w:cs="Palatino Linotype"/>
          <w:i/>
          <w:iCs/>
          <w:color w:val="000000" w:themeColor="text1"/>
        </w:rPr>
        <w:t>c) Planes o proyectos de actualización del catastro hidráulico</w:t>
      </w:r>
    </w:p>
    <w:p w:rsidR="00565EFE" w:rsidRPr="00BB4B02" w:rsidRDefault="00565EFE" w:rsidP="00BB4B02">
      <w:pPr>
        <w:spacing w:line="360" w:lineRule="auto"/>
        <w:ind w:right="-2"/>
        <w:jc w:val="both"/>
        <w:rPr>
          <w:rFonts w:ascii="Palatino Linotype" w:eastAsia="Palatino Linotype" w:hAnsi="Palatino Linotype" w:cs="Palatino Linotype"/>
          <w:color w:val="000000" w:themeColor="text1"/>
        </w:rPr>
      </w:pP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 xml:space="preserve">En tal virtud, conforme al artículo 49, fracción VIII, de la Ley de Transparencia y Acceso a la Información Pública del Estado de México y Municipios,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que para motivar la clasificación de la información y la ampliación del plazo de reserva, se deberán de señalar las razones, motivos o circunstancias especiales que llevaron al </w:t>
      </w:r>
      <w:r w:rsidRPr="00BB4B02">
        <w:rPr>
          <w:rFonts w:ascii="Palatino Linotype" w:eastAsia="Palatino Linotype" w:hAnsi="Palatino Linotype" w:cs="Palatino Linotype"/>
          <w:b/>
          <w:bCs/>
          <w:color w:val="000000" w:themeColor="text1"/>
        </w:rPr>
        <w:t>SUJETO OBLIGADO</w:t>
      </w:r>
      <w:r w:rsidRPr="00BB4B02">
        <w:rPr>
          <w:rFonts w:ascii="Palatino Linotype" w:eastAsia="Palatino Linotype" w:hAnsi="Palatino Linotype" w:cs="Palatino Linotype"/>
          <w:color w:val="000000" w:themeColor="text1"/>
        </w:rPr>
        <w:t xml:space="preserve"> a concluir que el caso particular se ajusta al supuesto previsto por la norma legal invocada como fundamento; siendo que, además, </w:t>
      </w:r>
      <w:r w:rsidRPr="00BB4B02">
        <w:rPr>
          <w:rFonts w:ascii="Palatino Linotype" w:eastAsia="Palatino Linotype" w:hAnsi="Palatino Linotype" w:cs="Palatino Linotype"/>
          <w:b/>
          <w:bCs/>
          <w:color w:val="000000" w:themeColor="text1"/>
        </w:rPr>
        <w:t>EL SUJETO OBLIGADO</w:t>
      </w:r>
      <w:r w:rsidRPr="00BB4B02">
        <w:rPr>
          <w:rFonts w:ascii="Palatino Linotype" w:eastAsia="Palatino Linotype" w:hAnsi="Palatino Linotype" w:cs="Palatino Linotype"/>
          <w:color w:val="000000" w:themeColor="text1"/>
        </w:rPr>
        <w:t xml:space="preserve"> debe, en todo momento, aplicar una prueba de daño.</w:t>
      </w: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lastRenderedPageBreak/>
        <w:t xml:space="preserve">En relación a lo anterior, es necesario definir a la prueba de daño como la responsabilidad de los </w:t>
      </w:r>
      <w:r w:rsidRPr="00BB4B02">
        <w:rPr>
          <w:rFonts w:ascii="Palatino Linotype" w:eastAsia="Palatino Linotype" w:hAnsi="Palatino Linotype" w:cs="Palatino Linotype"/>
          <w:b/>
          <w:bCs/>
          <w:color w:val="000000" w:themeColor="text1"/>
        </w:rPr>
        <w:t>SUJETOS OBLIGADOS</w:t>
      </w:r>
      <w:r w:rsidRPr="00BB4B02">
        <w:rPr>
          <w:rFonts w:ascii="Palatino Linotype" w:eastAsia="Palatino Linotype" w:hAnsi="Palatino Linotype" w:cs="Palatino Linotype"/>
          <w:color w:val="000000" w:themeColor="text1"/>
        </w:rPr>
        <w:t xml:space="preserve">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rsidR="00565EFE" w:rsidRPr="00BB4B02" w:rsidRDefault="00565EFE" w:rsidP="00BB4B02">
      <w:pPr>
        <w:spacing w:line="360" w:lineRule="auto"/>
        <w:ind w:right="-2"/>
        <w:rPr>
          <w:rFonts w:ascii="Palatino Linotype" w:eastAsia="Palatino Linotype" w:hAnsi="Palatino Linotype" w:cs="Palatino Linotype"/>
          <w:color w:val="000000" w:themeColor="text1"/>
        </w:rPr>
      </w:pP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De este modo, conforme al artículo 132 en correlación con el numeral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565EFE" w:rsidRPr="00BB4B02" w:rsidRDefault="00EB48A6" w:rsidP="00E71F64">
      <w:pPr>
        <w:numPr>
          <w:ilvl w:val="0"/>
          <w:numId w:val="7"/>
        </w:numPr>
        <w:spacing w:line="360" w:lineRule="auto"/>
        <w:ind w:left="0" w:right="-2" w:firstLine="0"/>
        <w:jc w:val="both"/>
        <w:rPr>
          <w:rFonts w:ascii="Palatino Linotype" w:eastAsia="Palatino Linotype" w:hAnsi="Palatino Linotype" w:cs="Palatino Linotype"/>
          <w:color w:val="000000" w:themeColor="text1"/>
        </w:rPr>
      </w:pPr>
      <w:bookmarkStart w:id="7" w:name="_heading=h.9borzehnz7xc" w:colFirst="0" w:colLast="0"/>
      <w:bookmarkEnd w:id="7"/>
      <w:r w:rsidRPr="00BB4B02">
        <w:rPr>
          <w:rFonts w:ascii="Palatino Linotype" w:eastAsia="Palatino Linotype" w:hAnsi="Palatino Linotype" w:cs="Palatino Linotype"/>
          <w:color w:val="000000" w:themeColor="text1"/>
        </w:rPr>
        <w:t>Se reciba una solicitud de acceso a la información.</w:t>
      </w:r>
    </w:p>
    <w:p w:rsidR="00565EFE" w:rsidRPr="00BB4B02" w:rsidRDefault="00EB48A6" w:rsidP="00E71F64">
      <w:pPr>
        <w:numPr>
          <w:ilvl w:val="0"/>
          <w:numId w:val="7"/>
        </w:numPr>
        <w:spacing w:line="360" w:lineRule="auto"/>
        <w:ind w:left="0" w:right="-2" w:firstLine="0"/>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Se determine mediante resolución de autoridad competente.</w:t>
      </w:r>
    </w:p>
    <w:p w:rsidR="00565EFE" w:rsidRPr="00BB4B02" w:rsidRDefault="00EB48A6" w:rsidP="00E71F64">
      <w:pPr>
        <w:numPr>
          <w:ilvl w:val="0"/>
          <w:numId w:val="7"/>
        </w:numPr>
        <w:spacing w:line="360" w:lineRule="auto"/>
        <w:ind w:left="0" w:right="-2" w:firstLine="0"/>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Se generen versiones públicas para dar cumplimiento a las obligaciones de transparencia previstas en la Ley.</w:t>
      </w:r>
    </w:p>
    <w:p w:rsidR="00565EFE" w:rsidRPr="00BB4B02" w:rsidRDefault="00565EFE" w:rsidP="00BB4B02">
      <w:pPr>
        <w:spacing w:line="360" w:lineRule="auto"/>
        <w:ind w:right="-2"/>
        <w:jc w:val="both"/>
        <w:rPr>
          <w:rFonts w:ascii="Palatino Linotype" w:eastAsia="Palatino Linotype" w:hAnsi="Palatino Linotype" w:cs="Palatino Linotype"/>
          <w:color w:val="000000" w:themeColor="text1"/>
        </w:rPr>
      </w:pP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Situación que se robustece con lo previsto en el artículo 141 de citada Ley, que señala que las causales de reserva previstas, se deberán fundar y motivar, a través de la aplicación de la prueba de daño.</w:t>
      </w:r>
    </w:p>
    <w:p w:rsidR="00565EFE" w:rsidRPr="00BB4B02" w:rsidRDefault="00565EFE" w:rsidP="00BB4B02">
      <w:pPr>
        <w:spacing w:line="360" w:lineRule="auto"/>
        <w:ind w:right="-2"/>
        <w:jc w:val="both"/>
        <w:rPr>
          <w:rFonts w:ascii="Palatino Linotype" w:eastAsia="Palatino Linotype" w:hAnsi="Palatino Linotype" w:cs="Palatino Linotype"/>
          <w:color w:val="000000" w:themeColor="text1"/>
        </w:rPr>
      </w:pP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 xml:space="preserve">Igualmente, la clasificación de la información debe estar sustentada en el Acuerdo de Clasificación correspondiente, en el que, de manera fundada y motivada, se establezcan las </w:t>
      </w:r>
      <w:r w:rsidRPr="00BB4B02">
        <w:rPr>
          <w:rFonts w:ascii="Palatino Linotype" w:eastAsia="Palatino Linotype" w:hAnsi="Palatino Linotype" w:cs="Palatino Linotype"/>
          <w:color w:val="000000" w:themeColor="text1"/>
        </w:rPr>
        <w:lastRenderedPageBreak/>
        <w:t xml:space="preserve">hipótesis normativas aplicables al caso concreto y se analice la prueba de daño que prevé el artículo 129 de la Ley de Transparencia de mérito, para lo cual, los Sujetos Obligados deberán considerar que: </w:t>
      </w:r>
    </w:p>
    <w:p w:rsidR="00565EFE" w:rsidRPr="00BB4B02" w:rsidRDefault="00EB48A6" w:rsidP="00E71F64">
      <w:pPr>
        <w:numPr>
          <w:ilvl w:val="0"/>
          <w:numId w:val="8"/>
        </w:numPr>
        <w:spacing w:line="360" w:lineRule="auto"/>
        <w:ind w:left="0" w:right="-2" w:firstLine="0"/>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La divulgación de la información representa un riesgo real, demostrable e identificable del perjuicio significativo al interés público o a la seguridad pública;</w:t>
      </w:r>
    </w:p>
    <w:p w:rsidR="00565EFE" w:rsidRPr="00BB4B02" w:rsidRDefault="00EB48A6" w:rsidP="00E71F64">
      <w:pPr>
        <w:numPr>
          <w:ilvl w:val="0"/>
          <w:numId w:val="8"/>
        </w:numPr>
        <w:spacing w:line="360" w:lineRule="auto"/>
        <w:ind w:left="0" w:right="-2" w:firstLine="0"/>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El riesgo de perjuicio que supondría la divulgación supera el interés público general de que se difunda; y</w:t>
      </w:r>
    </w:p>
    <w:p w:rsidR="00565EFE" w:rsidRPr="00BB4B02" w:rsidRDefault="00EB48A6" w:rsidP="00E71F64">
      <w:pPr>
        <w:numPr>
          <w:ilvl w:val="0"/>
          <w:numId w:val="8"/>
        </w:numPr>
        <w:spacing w:line="360" w:lineRule="auto"/>
        <w:ind w:left="0" w:right="-2" w:firstLine="0"/>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 xml:space="preserve">La limitación se adecua al principio de proporcionalidad y representa el medio menos restrictivo disponible para evitar el perjuicio. </w:t>
      </w:r>
    </w:p>
    <w:p w:rsidR="00565EFE" w:rsidRPr="00BB4B02" w:rsidRDefault="00565EFE" w:rsidP="00BB4B02">
      <w:pPr>
        <w:spacing w:line="360" w:lineRule="auto"/>
        <w:ind w:right="-2"/>
        <w:jc w:val="both"/>
        <w:rPr>
          <w:rFonts w:ascii="Palatino Linotype" w:eastAsia="Palatino Linotype" w:hAnsi="Palatino Linotype" w:cs="Palatino Linotype"/>
          <w:color w:val="000000" w:themeColor="text1"/>
        </w:rPr>
      </w:pP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rsidR="00565EFE" w:rsidRPr="00BB4B02" w:rsidRDefault="00565EFE" w:rsidP="00BB4B02">
      <w:pPr>
        <w:spacing w:line="360" w:lineRule="auto"/>
        <w:ind w:right="-2"/>
        <w:jc w:val="both"/>
        <w:rPr>
          <w:rFonts w:ascii="Palatino Linotype" w:eastAsia="Palatino Linotype" w:hAnsi="Palatino Linotype" w:cs="Palatino Linotype"/>
          <w:color w:val="000000" w:themeColor="text1"/>
        </w:rPr>
      </w:pP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Lo anterior encuentra sustento en la Tesis de la Décima Época, publicada en la Gaceta del Semanario Judicial de la Federación, sección Tribunales Colegiados de Circuito, Libro 5, de fecha abril de 2014, pág. 1523, Registro, 2, 006,299. I.1o.A.E.3 K (10a.), que literalmente señala:</w:t>
      </w:r>
    </w:p>
    <w:p w:rsidR="00565EFE" w:rsidRPr="00BB4B02" w:rsidRDefault="00EB48A6" w:rsidP="00BB4B02">
      <w:pPr>
        <w:spacing w:line="276" w:lineRule="auto"/>
        <w:ind w:right="-2"/>
        <w:jc w:val="both"/>
        <w:rPr>
          <w:rFonts w:ascii="Palatino Linotype" w:eastAsia="Palatino Linotype" w:hAnsi="Palatino Linotype" w:cs="Palatino Linotype"/>
          <w:i/>
          <w:iCs/>
          <w:color w:val="000000" w:themeColor="text1"/>
        </w:rPr>
      </w:pPr>
      <w:r w:rsidRPr="00BB4B02">
        <w:rPr>
          <w:rFonts w:ascii="Palatino Linotype" w:eastAsia="Palatino Linotype" w:hAnsi="Palatino Linotype" w:cs="Palatino Linotype"/>
          <w:i/>
          <w:iCs/>
          <w:color w:val="000000" w:themeColor="text1"/>
        </w:rPr>
        <w:t>“</w:t>
      </w:r>
      <w:r w:rsidRPr="00BB4B02">
        <w:rPr>
          <w:rFonts w:ascii="Palatino Linotype" w:eastAsia="Palatino Linotype" w:hAnsi="Palatino Linotype" w:cs="Palatino Linotype"/>
          <w:b/>
          <w:bCs/>
          <w:i/>
          <w:iCs/>
          <w:color w:val="000000" w:themeColor="text1"/>
        </w:rPr>
        <w:t>INFORMACIÓN RESERVADA. APLICACIÓN DE LA "PRUEBA DE DAÑO E INTERÉS PÚBLICO" PARA DETERMINAR LO ADECUADO DE LA APORTADA CON ESA CLASIFICACIÓN EN EL JUICIO DE AMPARO POR LA AUTORIDAD RESPONSABLE, A EFECTO DE HACER VIABLE LA DEFENSA EFECTIVA DEL QUEJOSO.</w:t>
      </w:r>
      <w:r w:rsidRPr="00BB4B02">
        <w:rPr>
          <w:rFonts w:ascii="Palatino Linotype" w:eastAsia="Palatino Linotype" w:hAnsi="Palatino Linotype" w:cs="Palatino Linotype"/>
          <w:i/>
          <w:iCs/>
          <w:color w:val="000000" w:themeColor="text1"/>
        </w:rPr>
        <w:t xml:space="preserve"> Una adecuada clasificación de la información pública debe tomar en cuenta y distinguir, en el contexto general de un documento, cuál es la específica y precisa, cuya divulgación puede generar un daño desproporcionado </w:t>
      </w:r>
      <w:r w:rsidRPr="00BB4B02">
        <w:rPr>
          <w:rFonts w:ascii="Palatino Linotype" w:eastAsia="Palatino Linotype" w:hAnsi="Palatino Linotype" w:cs="Palatino Linotype"/>
          <w:i/>
          <w:iCs/>
          <w:color w:val="000000" w:themeColor="text1"/>
        </w:rPr>
        <w:lastRenderedPageBreak/>
        <w:t>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 (sic)</w:t>
      </w:r>
    </w:p>
    <w:p w:rsidR="00565EFE" w:rsidRPr="00BB4B02" w:rsidRDefault="00565EFE" w:rsidP="00BB4B02">
      <w:pPr>
        <w:spacing w:line="276" w:lineRule="auto"/>
        <w:ind w:right="-2"/>
        <w:jc w:val="both"/>
        <w:rPr>
          <w:rFonts w:ascii="Palatino Linotype" w:eastAsia="Palatino Linotype" w:hAnsi="Palatino Linotype" w:cs="Palatino Linotype"/>
          <w:i/>
          <w:iCs/>
          <w:color w:val="000000" w:themeColor="text1"/>
        </w:rPr>
      </w:pP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b/>
          <w:bCs/>
          <w:color w:val="000000" w:themeColor="text1"/>
        </w:rPr>
      </w:pPr>
      <w:r w:rsidRPr="00BB4B02">
        <w:rPr>
          <w:rFonts w:ascii="Palatino Linotype" w:eastAsia="Palatino Linotype" w:hAnsi="Palatino Linotype" w:cs="Palatino Linotype"/>
          <w:color w:val="000000" w:themeColor="text1"/>
        </w:rPr>
        <w:t xml:space="preserve">Por lo que, podemos advertir que la prueba de daño realizada por </w:t>
      </w:r>
      <w:r w:rsidRPr="00BB4B02">
        <w:rPr>
          <w:rFonts w:ascii="Palatino Linotype" w:eastAsia="Palatino Linotype" w:hAnsi="Palatino Linotype" w:cs="Palatino Linotype"/>
          <w:b/>
          <w:bCs/>
          <w:color w:val="000000" w:themeColor="text1"/>
        </w:rPr>
        <w:t>EL SUJETO OBLIGADO</w:t>
      </w:r>
      <w:r w:rsidRPr="00BB4B02">
        <w:rPr>
          <w:rFonts w:ascii="Palatino Linotype" w:eastAsia="Palatino Linotype" w:hAnsi="Palatino Linotype" w:cs="Palatino Linotype"/>
          <w:color w:val="000000" w:themeColor="text1"/>
        </w:rPr>
        <w:t xml:space="preserve">, cobra relevancia puesto </w:t>
      </w:r>
      <w:r w:rsidRPr="00BB4B02">
        <w:rPr>
          <w:rFonts w:ascii="Palatino Linotype" w:eastAsia="Palatino Linotype" w:hAnsi="Palatino Linotype" w:cs="Palatino Linotype"/>
          <w:b/>
          <w:bCs/>
          <w:color w:val="000000" w:themeColor="text1"/>
        </w:rPr>
        <w:t>que, si ésta no arroja resultados contundentes sobre un posible peligro, deberá de publicarse la información.</w:t>
      </w:r>
    </w:p>
    <w:p w:rsidR="00565EFE" w:rsidRPr="00BB4B02" w:rsidRDefault="00565EFE" w:rsidP="00BB4B02">
      <w:pPr>
        <w:spacing w:line="360" w:lineRule="auto"/>
        <w:ind w:right="-2"/>
        <w:jc w:val="both"/>
        <w:rPr>
          <w:rFonts w:ascii="Palatino Linotype" w:eastAsia="Palatino Linotype" w:hAnsi="Palatino Linotype" w:cs="Palatino Linotype"/>
          <w:color w:val="000000" w:themeColor="text1"/>
        </w:rPr>
      </w:pP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 xml:space="preserve">Siendo que, los </w:t>
      </w:r>
      <w:r w:rsidRPr="00BB4B02">
        <w:rPr>
          <w:rFonts w:ascii="Palatino Linotype" w:eastAsia="Palatino Linotype" w:hAnsi="Palatino Linotype" w:cs="Palatino Linotype"/>
          <w:b/>
          <w:bCs/>
          <w:color w:val="000000" w:themeColor="text1"/>
        </w:rPr>
        <w:t>SUJETOS OBLIGADOS</w:t>
      </w:r>
      <w:r w:rsidRPr="00BB4B02">
        <w:rPr>
          <w:rFonts w:ascii="Palatino Linotype" w:eastAsia="Palatino Linotype" w:hAnsi="Palatino Linotype" w:cs="Palatino Linotype"/>
          <w:color w:val="000000" w:themeColor="text1"/>
        </w:rPr>
        <w:t xml:space="preserve">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rsidR="00565EFE" w:rsidRPr="00BB4B02" w:rsidRDefault="00565EFE" w:rsidP="00BB4B02">
      <w:pPr>
        <w:spacing w:line="360" w:lineRule="auto"/>
        <w:ind w:right="-2"/>
        <w:jc w:val="both"/>
        <w:rPr>
          <w:rFonts w:ascii="Palatino Linotype" w:eastAsia="Palatino Linotype" w:hAnsi="Palatino Linotype" w:cs="Palatino Linotype"/>
          <w:color w:val="000000" w:themeColor="text1"/>
        </w:rPr>
      </w:pP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 xml:space="preserve">Asimismo, los </w:t>
      </w:r>
      <w:r w:rsidRPr="00BB4B02">
        <w:rPr>
          <w:rFonts w:ascii="Palatino Linotype" w:eastAsia="Palatino Linotype" w:hAnsi="Palatino Linotype" w:cs="Palatino Linotype"/>
          <w:b/>
          <w:bCs/>
          <w:color w:val="000000" w:themeColor="text1"/>
        </w:rPr>
        <w:t>SUJETOS OBLIGADOS</w:t>
      </w:r>
      <w:r w:rsidRPr="00BB4B02">
        <w:rPr>
          <w:rFonts w:ascii="Palatino Linotype" w:eastAsia="Palatino Linotype" w:hAnsi="Palatino Linotype" w:cs="Palatino Linotype"/>
          <w:color w:val="000000" w:themeColor="text1"/>
        </w:rPr>
        <w:t xml:space="preserve"> no pueden emitir acuerdos de carácter general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p>
    <w:p w:rsidR="00565EFE" w:rsidRPr="00BB4B02" w:rsidRDefault="00565EFE" w:rsidP="00BB4B02">
      <w:pPr>
        <w:spacing w:line="360" w:lineRule="auto"/>
        <w:ind w:right="-2"/>
        <w:jc w:val="both"/>
        <w:rPr>
          <w:rFonts w:ascii="Palatino Linotype" w:eastAsia="Palatino Linotype" w:hAnsi="Palatino Linotype" w:cs="Palatino Linotype"/>
          <w:color w:val="000000" w:themeColor="text1"/>
        </w:rPr>
      </w:pP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lastRenderedPageBreak/>
        <w:t xml:space="preserve">De este modo, es necesario que </w:t>
      </w:r>
      <w:r w:rsidRPr="00BB4B02">
        <w:rPr>
          <w:rFonts w:ascii="Palatino Linotype" w:eastAsia="Palatino Linotype" w:hAnsi="Palatino Linotype" w:cs="Palatino Linotype"/>
          <w:b/>
          <w:bCs/>
          <w:color w:val="000000" w:themeColor="text1"/>
        </w:rPr>
        <w:t>EL SUJETO OBLIGADO</w:t>
      </w:r>
      <w:r w:rsidRPr="00BB4B02">
        <w:rPr>
          <w:rFonts w:ascii="Palatino Linotype" w:eastAsia="Palatino Linotype" w:hAnsi="Palatino Linotype" w:cs="Palatino Linotype"/>
          <w:color w:val="000000" w:themeColor="text1"/>
        </w:rPr>
        <w:t xml:space="preserve">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rsidR="00565EFE" w:rsidRPr="00BB4B02" w:rsidRDefault="00565EFE" w:rsidP="00BB4B02">
      <w:pPr>
        <w:spacing w:line="360" w:lineRule="auto"/>
        <w:ind w:right="-2"/>
        <w:jc w:val="both"/>
        <w:rPr>
          <w:rFonts w:ascii="Palatino Linotype" w:eastAsia="Palatino Linotype" w:hAnsi="Palatino Linotype" w:cs="Palatino Linotype"/>
          <w:color w:val="000000" w:themeColor="text1"/>
        </w:rPr>
      </w:pP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Aunado a lo anterior, es importante señalar el contenido del numeral Octavo de los Lineamientos Generales de Clasificación y Desclasificación de la Información, así como para la elaboración de versiones públicas para realizar la clasificación de la información se debe fundar y motivar señalando el artículo, fracción, inciso, párrafo o numeral de la Ley o tratado internacional suscrito por el Estado Mexicano que expresamente le otorgue el carácter de reservada, así como especificando las razones o circunstancias especiales que lo llevaron a concluir que el caso particular se ajusta al supuesto previsto por la norma legal invocada como fundamento.</w:t>
      </w:r>
    </w:p>
    <w:p w:rsidR="00565EFE" w:rsidRPr="00BB4B02" w:rsidRDefault="00565EFE" w:rsidP="00BB4B02">
      <w:pPr>
        <w:spacing w:line="360" w:lineRule="auto"/>
        <w:ind w:right="-2"/>
        <w:jc w:val="both"/>
        <w:rPr>
          <w:rFonts w:ascii="Palatino Linotype" w:eastAsia="Palatino Linotype" w:hAnsi="Palatino Linotype" w:cs="Palatino Linotype"/>
          <w:color w:val="000000" w:themeColor="text1"/>
        </w:rPr>
      </w:pP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Siendo así que, en el caso específico de la reserva, la motivación de la clasificación también deberá comprender las circunstancias que justifican el establecimiento de determinado plazo de reserva; en otras palabras, para clasificar la información como reservada, se debe contar con el acuerdo respectivo el cual debe estar debidamente fundado y motivado.</w:t>
      </w:r>
    </w:p>
    <w:p w:rsidR="00565EFE" w:rsidRPr="00BB4B02" w:rsidRDefault="00565EFE" w:rsidP="00BB4B02">
      <w:pPr>
        <w:spacing w:line="360" w:lineRule="auto"/>
        <w:ind w:right="-2"/>
        <w:jc w:val="both"/>
        <w:rPr>
          <w:rFonts w:ascii="Palatino Linotype" w:eastAsia="Palatino Linotype" w:hAnsi="Palatino Linotype" w:cs="Palatino Linotype"/>
          <w:color w:val="000000" w:themeColor="text1"/>
        </w:rPr>
      </w:pP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lastRenderedPageBreak/>
        <w:t>Por tanto, la fundamentación y motivación consiste en la obligación que tiene todo ente público de expresar los preceptos jurídicos aplicables al asunto motivo del acto y las razones o argumentos de su actuar.</w:t>
      </w:r>
    </w:p>
    <w:p w:rsidR="00565EFE" w:rsidRPr="00BB4B02" w:rsidRDefault="00565EFE" w:rsidP="00BB4B02">
      <w:pPr>
        <w:spacing w:line="360" w:lineRule="auto"/>
        <w:ind w:right="-2"/>
        <w:jc w:val="both"/>
        <w:rPr>
          <w:rFonts w:ascii="Palatino Linotype" w:eastAsia="Palatino Linotype" w:hAnsi="Palatino Linotype" w:cs="Palatino Linotype"/>
          <w:color w:val="000000" w:themeColor="text1"/>
        </w:rPr>
      </w:pP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Al respecto, el máximo tribunal del país ha establecido jurisprudencia respecto a qué debe entenderse por fundamentación y motivación, en los siguientes términos:</w:t>
      </w:r>
    </w:p>
    <w:p w:rsidR="00565EFE" w:rsidRPr="00BB4B02" w:rsidRDefault="00EB48A6" w:rsidP="00BB4B02">
      <w:pPr>
        <w:spacing w:line="276" w:lineRule="auto"/>
        <w:ind w:right="-2"/>
        <w:jc w:val="both"/>
        <w:rPr>
          <w:rFonts w:ascii="Palatino Linotype" w:eastAsia="Palatino Linotype" w:hAnsi="Palatino Linotype" w:cs="Palatino Linotype"/>
          <w:i/>
          <w:iCs/>
          <w:color w:val="000000" w:themeColor="text1"/>
        </w:rPr>
      </w:pPr>
      <w:r w:rsidRPr="00BB4B02">
        <w:rPr>
          <w:rFonts w:ascii="Palatino Linotype" w:eastAsia="Palatino Linotype" w:hAnsi="Palatino Linotype" w:cs="Palatino Linotype"/>
          <w:i/>
          <w:iCs/>
          <w:color w:val="000000" w:themeColor="text1"/>
        </w:rPr>
        <w:t>“</w:t>
      </w:r>
      <w:r w:rsidRPr="00BB4B02">
        <w:rPr>
          <w:rFonts w:ascii="Palatino Linotype" w:eastAsia="Palatino Linotype" w:hAnsi="Palatino Linotype" w:cs="Palatino Linotype"/>
          <w:b/>
          <w:bCs/>
          <w:i/>
          <w:iCs/>
          <w:color w:val="000000" w:themeColor="text1"/>
        </w:rPr>
        <w:t xml:space="preserve">FUNDAMENTACION Y MOTIVACION. </w:t>
      </w:r>
      <w:r w:rsidRPr="00BB4B02">
        <w:rPr>
          <w:rFonts w:ascii="Palatino Linotype" w:eastAsia="Palatino Linotype" w:hAnsi="Palatino Linotype" w:cs="Palatino Linotype"/>
          <w:i/>
          <w:iCs/>
          <w:color w:val="000000" w:themeColor="text1"/>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565EFE" w:rsidRPr="00BB4B02" w:rsidRDefault="00565EFE" w:rsidP="00BB4B02">
      <w:pPr>
        <w:spacing w:line="360" w:lineRule="auto"/>
        <w:ind w:right="-2"/>
        <w:jc w:val="both"/>
        <w:rPr>
          <w:rFonts w:ascii="Palatino Linotype" w:eastAsia="Palatino Linotype" w:hAnsi="Palatino Linotype" w:cs="Palatino Linotype"/>
          <w:i/>
          <w:iCs/>
          <w:color w:val="000000" w:themeColor="text1"/>
        </w:rPr>
      </w:pP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565EFE" w:rsidRPr="00BB4B02" w:rsidRDefault="00565EFE" w:rsidP="00BB4B02">
      <w:pPr>
        <w:spacing w:line="360" w:lineRule="auto"/>
        <w:ind w:right="-2"/>
        <w:jc w:val="both"/>
        <w:rPr>
          <w:rFonts w:ascii="Palatino Linotype" w:eastAsia="Palatino Linotype" w:hAnsi="Palatino Linotype" w:cs="Palatino Linotype"/>
          <w:color w:val="000000" w:themeColor="text1"/>
        </w:rPr>
      </w:pP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Más aún, a través de diversa jurisprudencia dictada por el Poder Judicial de la Federación se sostiene que la finalidad de la fundamentación o motivación es la de explicar, justificar, posibilitar la defensa y comunicar la decisión de la autoridad:</w:t>
      </w:r>
    </w:p>
    <w:p w:rsidR="00565EFE" w:rsidRPr="00BB4B02" w:rsidRDefault="00EB48A6" w:rsidP="00BB4B02">
      <w:pPr>
        <w:spacing w:line="276" w:lineRule="auto"/>
        <w:ind w:right="-2"/>
        <w:jc w:val="both"/>
        <w:rPr>
          <w:rFonts w:ascii="Palatino Linotype" w:eastAsia="Palatino Linotype" w:hAnsi="Palatino Linotype" w:cs="Palatino Linotype"/>
          <w:i/>
          <w:iCs/>
          <w:color w:val="000000" w:themeColor="text1"/>
        </w:rPr>
      </w:pPr>
      <w:r w:rsidRPr="00BB4B02">
        <w:rPr>
          <w:rFonts w:ascii="Palatino Linotype" w:eastAsia="Palatino Linotype" w:hAnsi="Palatino Linotype" w:cs="Palatino Linotype"/>
          <w:b/>
          <w:bCs/>
          <w:i/>
          <w:iCs/>
          <w:color w:val="000000" w:themeColor="text1"/>
        </w:rPr>
        <w:t>“FUNDAMENTACIÓN Y MOTIVACIÓN. EL ASPECTO FORMAL DE LA GARANTÍA Y SU FINALIDAD SE TRADUCEN EN EXPLICAR, JUSTIFICAR, POSIBILITAR LA DEFENSA Y COMUNICAR LA DECISIÓN</w:t>
      </w:r>
      <w:r w:rsidRPr="00BB4B02">
        <w:rPr>
          <w:rFonts w:ascii="Palatino Linotype" w:eastAsia="Palatino Linotype" w:hAnsi="Palatino Linotype" w:cs="Palatino Linotype"/>
          <w:i/>
          <w:iCs/>
          <w:color w:val="000000" w:themeColor="text1"/>
        </w:rPr>
        <w:t xml:space="preserve">. El contenido formal de la garantía de legalidad prevista en el artículo 16 constitucional relativa a la </w:t>
      </w:r>
      <w:r w:rsidRPr="00BB4B02">
        <w:rPr>
          <w:rFonts w:ascii="Palatino Linotype" w:eastAsia="Palatino Linotype" w:hAnsi="Palatino Linotype" w:cs="Palatino Linotype"/>
          <w:b/>
          <w:bCs/>
          <w:i/>
          <w:iCs/>
          <w:color w:val="000000" w:themeColor="text1"/>
        </w:rPr>
        <w:t xml:space="preserve">fundamentación y motivación tiene como propósito primordial y ratio que el justiciable conozca el "para qué" de la conducta de la autoridad, lo que se traduce en darle a conocer en detalle y de manera completa la esencia de todas las </w:t>
      </w:r>
      <w:r w:rsidRPr="00BB4B02">
        <w:rPr>
          <w:rFonts w:ascii="Palatino Linotype" w:eastAsia="Palatino Linotype" w:hAnsi="Palatino Linotype" w:cs="Palatino Linotype"/>
          <w:b/>
          <w:bCs/>
          <w:i/>
          <w:iCs/>
          <w:color w:val="000000" w:themeColor="text1"/>
        </w:rPr>
        <w:lastRenderedPageBreak/>
        <w:t>circunstancias y condiciones que determinaron el acto de voluntad, de manera que sea evidente y muy claro para el afectado poder cuestionar y controvertir el mérito de la decisión, permitiéndole una real y auténtica defensa</w:t>
      </w:r>
      <w:r w:rsidRPr="00BB4B02">
        <w:rPr>
          <w:rFonts w:ascii="Palatino Linotype" w:eastAsia="Palatino Linotype" w:hAnsi="Palatino Linotype" w:cs="Palatino Linotype"/>
          <w:i/>
          <w:iCs/>
          <w:color w:val="000000" w:themeColor="text1"/>
        </w:rPr>
        <w:t xml:space="preserve">. Por tanto, </w:t>
      </w:r>
      <w:r w:rsidRPr="00BB4B02">
        <w:rPr>
          <w:rFonts w:ascii="Palatino Linotype" w:eastAsia="Palatino Linotype" w:hAnsi="Palatino Linotype" w:cs="Palatino Linotype"/>
          <w:b/>
          <w:bCs/>
          <w:i/>
          <w:iCs/>
          <w:color w:val="000000" w:themeColor="text1"/>
        </w:rPr>
        <w:t>no basta que el acto de autoridad apenas observe una motivación pro forma pero de una manera incongruente, insuficiente o imprecisa</w:t>
      </w:r>
      <w:r w:rsidRPr="00BB4B02">
        <w:rPr>
          <w:rFonts w:ascii="Palatino Linotype" w:eastAsia="Palatino Linotype" w:hAnsi="Palatino Linotype" w:cs="Palatino Linotype"/>
          <w:i/>
          <w:iCs/>
          <w:color w:val="000000" w:themeColor="text1"/>
        </w:rPr>
        <w:t>, que impida la finalidad del conocimiento, comprobación y defensa pertinente</w:t>
      </w:r>
      <w:r w:rsidRPr="00BB4B02">
        <w:rPr>
          <w:rFonts w:ascii="Palatino Linotype" w:eastAsia="Palatino Linotype" w:hAnsi="Palatino Linotype" w:cs="Palatino Linotype"/>
          <w:b/>
          <w:bCs/>
          <w:i/>
          <w:iCs/>
          <w:color w:val="000000" w:themeColor="text1"/>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BB4B02">
        <w:rPr>
          <w:rFonts w:ascii="Palatino Linotype" w:eastAsia="Palatino Linotype" w:hAnsi="Palatino Linotype" w:cs="Palatino Linotype"/>
          <w:i/>
          <w:iCs/>
          <w:color w:val="000000" w:themeColor="text1"/>
        </w:rPr>
        <w:t>.”(Sic)</w:t>
      </w:r>
    </w:p>
    <w:p w:rsidR="00565EFE" w:rsidRPr="00BB4B02" w:rsidRDefault="00565EFE" w:rsidP="00BB4B02">
      <w:pPr>
        <w:spacing w:line="360" w:lineRule="auto"/>
        <w:ind w:right="-2"/>
        <w:jc w:val="both"/>
        <w:rPr>
          <w:rFonts w:ascii="Palatino Linotype" w:eastAsia="Palatino Linotype" w:hAnsi="Palatino Linotype" w:cs="Palatino Linotype"/>
          <w:i/>
          <w:iCs/>
          <w:color w:val="000000" w:themeColor="text1"/>
        </w:rPr>
      </w:pP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565EFE" w:rsidRPr="00BB4B02" w:rsidRDefault="00565EFE" w:rsidP="00BB4B02">
      <w:pPr>
        <w:spacing w:line="360" w:lineRule="auto"/>
        <w:ind w:right="-2"/>
        <w:jc w:val="both"/>
        <w:rPr>
          <w:rFonts w:ascii="Palatino Linotype" w:eastAsia="Palatino Linotype" w:hAnsi="Palatino Linotype" w:cs="Palatino Linotype"/>
          <w:color w:val="000000" w:themeColor="text1"/>
        </w:rPr>
      </w:pP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 xml:space="preserve">Atento a lo anterior, es necesario hacer hincapié que para clasificar la información como reservada, se deben precisar las razones objetivas por las que la apertura de la información generaría una afectación, asimismo es claro que los mismos deben aplicar de manera restrictiva y limitada las hipótesis de clasificación y no hacerlas valer de manera general. </w:t>
      </w:r>
    </w:p>
    <w:p w:rsidR="00565EFE" w:rsidRPr="00BB4B02" w:rsidRDefault="00565EFE" w:rsidP="00BB4B02">
      <w:pPr>
        <w:spacing w:line="360" w:lineRule="auto"/>
        <w:ind w:right="-2"/>
        <w:jc w:val="both"/>
        <w:rPr>
          <w:rFonts w:ascii="Palatino Linotype" w:eastAsia="Palatino Linotype" w:hAnsi="Palatino Linotype" w:cs="Palatino Linotype"/>
          <w:color w:val="000000" w:themeColor="text1"/>
        </w:rPr>
      </w:pP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 xml:space="preserve">En ese contexto, resulta necesario analizar el Acuerdo de Reserva en donde se aprueba la clasificación de la reserva de información, a fin de establecer si el Comité de Transparencia cumplió cabalmente con las formalidades referidas anteriormente: </w:t>
      </w:r>
    </w:p>
    <w:tbl>
      <w:tblPr>
        <w:tblStyle w:val="a0"/>
        <w:tblW w:w="9460"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8"/>
        <w:gridCol w:w="1621"/>
        <w:gridCol w:w="5611"/>
      </w:tblGrid>
      <w:tr w:rsidR="00BB4B02" w:rsidRPr="00BB4B02">
        <w:trPr>
          <w:trHeight w:val="263"/>
        </w:trPr>
        <w:tc>
          <w:tcPr>
            <w:tcW w:w="2228" w:type="dxa"/>
            <w:tcBorders>
              <w:top w:val="nil"/>
              <w:left w:val="nil"/>
            </w:tcBorders>
          </w:tcPr>
          <w:p w:rsidR="00565EFE" w:rsidRPr="00BB4B02" w:rsidRDefault="00565EFE" w:rsidP="00BB4B02">
            <w:pPr>
              <w:pBdr>
                <w:top w:val="nil"/>
                <w:left w:val="nil"/>
                <w:bottom w:val="nil"/>
                <w:right w:val="nil"/>
                <w:between w:val="nil"/>
              </w:pBdr>
              <w:ind w:right="-2"/>
              <w:rPr>
                <w:rFonts w:ascii="Palatino Linotype" w:eastAsia="Palatino Linotype" w:hAnsi="Palatino Linotype" w:cs="Palatino Linotype"/>
                <w:b/>
                <w:bCs/>
                <w:color w:val="000000" w:themeColor="text1"/>
              </w:rPr>
            </w:pPr>
          </w:p>
        </w:tc>
        <w:tc>
          <w:tcPr>
            <w:tcW w:w="1621" w:type="dxa"/>
            <w:tcBorders>
              <w:bottom w:val="single" w:sz="4" w:space="0" w:color="000000"/>
            </w:tcBorders>
            <w:shd w:val="clear" w:color="auto" w:fill="BFBFBF"/>
            <w:vAlign w:val="bottom"/>
          </w:tcPr>
          <w:p w:rsidR="00565EFE" w:rsidRPr="00BB4B02" w:rsidRDefault="00EB48A6" w:rsidP="00BB4B02">
            <w:pPr>
              <w:pBdr>
                <w:top w:val="nil"/>
                <w:left w:val="nil"/>
                <w:bottom w:val="nil"/>
                <w:right w:val="nil"/>
                <w:between w:val="nil"/>
              </w:pBdr>
              <w:ind w:right="-2"/>
              <w:jc w:val="center"/>
              <w:rPr>
                <w:rFonts w:ascii="Palatino Linotype" w:eastAsia="Palatino Linotype" w:hAnsi="Palatino Linotype" w:cs="Palatino Linotype"/>
                <w:b/>
                <w:bCs/>
                <w:color w:val="000000" w:themeColor="text1"/>
              </w:rPr>
            </w:pPr>
            <w:r w:rsidRPr="00BB4B02">
              <w:rPr>
                <w:rFonts w:ascii="Palatino Linotype" w:eastAsia="Palatino Linotype" w:hAnsi="Palatino Linotype" w:cs="Palatino Linotype"/>
                <w:b/>
                <w:bCs/>
                <w:color w:val="000000" w:themeColor="text1"/>
              </w:rPr>
              <w:t>Cumplió:</w:t>
            </w:r>
          </w:p>
        </w:tc>
        <w:tc>
          <w:tcPr>
            <w:tcW w:w="5611" w:type="dxa"/>
            <w:tcBorders>
              <w:bottom w:val="single" w:sz="4" w:space="0" w:color="000000"/>
            </w:tcBorders>
            <w:shd w:val="clear" w:color="auto" w:fill="BFBFBF"/>
            <w:vAlign w:val="bottom"/>
          </w:tcPr>
          <w:p w:rsidR="00565EFE" w:rsidRPr="00BB4B02" w:rsidRDefault="00EB48A6" w:rsidP="00BB4B02">
            <w:pPr>
              <w:pBdr>
                <w:top w:val="nil"/>
                <w:left w:val="nil"/>
                <w:bottom w:val="nil"/>
                <w:right w:val="nil"/>
                <w:between w:val="nil"/>
              </w:pBdr>
              <w:ind w:right="-2"/>
              <w:jc w:val="center"/>
              <w:rPr>
                <w:rFonts w:ascii="Palatino Linotype" w:eastAsia="Palatino Linotype" w:hAnsi="Palatino Linotype" w:cs="Palatino Linotype"/>
                <w:b/>
                <w:bCs/>
                <w:color w:val="000000" w:themeColor="text1"/>
              </w:rPr>
            </w:pPr>
            <w:r w:rsidRPr="00BB4B02">
              <w:rPr>
                <w:rFonts w:ascii="Palatino Linotype" w:eastAsia="Palatino Linotype" w:hAnsi="Palatino Linotype" w:cs="Palatino Linotype"/>
                <w:b/>
                <w:bCs/>
                <w:color w:val="000000" w:themeColor="text1"/>
              </w:rPr>
              <w:t>Contenido</w:t>
            </w:r>
          </w:p>
        </w:tc>
      </w:tr>
      <w:tr w:rsidR="00BB4B02" w:rsidRPr="00BB4B02">
        <w:trPr>
          <w:trHeight w:val="1433"/>
        </w:trPr>
        <w:tc>
          <w:tcPr>
            <w:tcW w:w="2228" w:type="dxa"/>
            <w:vAlign w:val="center"/>
          </w:tcPr>
          <w:p w:rsidR="00565EFE" w:rsidRPr="00BB4B02" w:rsidRDefault="00EB48A6" w:rsidP="00BB4B02">
            <w:pPr>
              <w:ind w:right="-2"/>
              <w:jc w:val="center"/>
              <w:rPr>
                <w:rFonts w:ascii="Palatino Linotype" w:eastAsia="Palatino Linotype" w:hAnsi="Palatino Linotype" w:cs="Palatino Linotype"/>
                <w:b/>
                <w:bCs/>
                <w:color w:val="000000" w:themeColor="text1"/>
              </w:rPr>
            </w:pPr>
            <w:r w:rsidRPr="00BB4B02">
              <w:rPr>
                <w:rFonts w:ascii="Palatino Linotype" w:eastAsia="Palatino Linotype" w:hAnsi="Palatino Linotype" w:cs="Palatino Linotype"/>
                <w:b/>
                <w:bCs/>
                <w:color w:val="000000" w:themeColor="text1"/>
              </w:rPr>
              <w:t>Número de folio de la solicitud</w:t>
            </w:r>
          </w:p>
        </w:tc>
        <w:tc>
          <w:tcPr>
            <w:tcW w:w="1621" w:type="dxa"/>
            <w:tcBorders>
              <w:top w:val="single" w:sz="4" w:space="0" w:color="000000"/>
            </w:tcBorders>
            <w:vAlign w:val="center"/>
          </w:tcPr>
          <w:p w:rsidR="00565EFE" w:rsidRPr="00BB4B02" w:rsidRDefault="00EB48A6" w:rsidP="00BB4B02">
            <w:pPr>
              <w:ind w:right="-2"/>
              <w:jc w:val="center"/>
              <w:rPr>
                <w:rFonts w:ascii="Palatino Linotype" w:eastAsia="Palatino Linotype" w:hAnsi="Palatino Linotype" w:cs="Palatino Linotype"/>
                <w:b/>
                <w:bCs/>
                <w:color w:val="000000" w:themeColor="text1"/>
              </w:rPr>
            </w:pPr>
            <w:r w:rsidRPr="00BB4B02">
              <w:rPr>
                <w:rFonts w:ascii="Palatino Linotype" w:eastAsia="Palatino Linotype" w:hAnsi="Palatino Linotype" w:cs="Palatino Linotype"/>
                <w:b/>
                <w:bCs/>
                <w:color w:val="000000" w:themeColor="text1"/>
              </w:rPr>
              <w:t>Sí</w:t>
            </w:r>
          </w:p>
        </w:tc>
        <w:tc>
          <w:tcPr>
            <w:tcW w:w="5611" w:type="dxa"/>
            <w:tcBorders>
              <w:top w:val="single" w:sz="4" w:space="0" w:color="000000"/>
            </w:tcBorders>
            <w:vAlign w:val="center"/>
          </w:tcPr>
          <w:p w:rsidR="00565EFE" w:rsidRPr="00BB4B02" w:rsidRDefault="00EB48A6" w:rsidP="00BB4B02">
            <w:pPr>
              <w:ind w:right="-2"/>
              <w:jc w:val="center"/>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noProof/>
                <w:color w:val="000000" w:themeColor="text1"/>
                <w:lang w:val="es-MX"/>
              </w:rPr>
              <w:drawing>
                <wp:inline distT="0" distB="0" distL="0" distR="0">
                  <wp:extent cx="3425825" cy="772795"/>
                  <wp:effectExtent l="0" t="0" r="0" b="0"/>
                  <wp:docPr id="2159644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425825" cy="772795"/>
                          </a:xfrm>
                          <a:prstGeom prst="rect">
                            <a:avLst/>
                          </a:prstGeom>
                          <a:ln/>
                        </pic:spPr>
                      </pic:pic>
                    </a:graphicData>
                  </a:graphic>
                </wp:inline>
              </w:drawing>
            </w:r>
          </w:p>
        </w:tc>
      </w:tr>
      <w:tr w:rsidR="00BB4B02" w:rsidRPr="00BB4B02">
        <w:trPr>
          <w:trHeight w:val="1733"/>
        </w:trPr>
        <w:tc>
          <w:tcPr>
            <w:tcW w:w="2228" w:type="dxa"/>
            <w:vAlign w:val="center"/>
          </w:tcPr>
          <w:p w:rsidR="00565EFE" w:rsidRPr="00BB4B02" w:rsidRDefault="00EB48A6" w:rsidP="00BB4B02">
            <w:pPr>
              <w:ind w:right="-2"/>
              <w:jc w:val="center"/>
              <w:rPr>
                <w:rFonts w:ascii="Palatino Linotype" w:eastAsia="Palatino Linotype" w:hAnsi="Palatino Linotype" w:cs="Palatino Linotype"/>
                <w:b/>
                <w:bCs/>
                <w:color w:val="000000" w:themeColor="text1"/>
              </w:rPr>
            </w:pPr>
            <w:r w:rsidRPr="00BB4B02">
              <w:rPr>
                <w:rFonts w:ascii="Palatino Linotype" w:eastAsia="Palatino Linotype" w:hAnsi="Palatino Linotype" w:cs="Palatino Linotype"/>
                <w:b/>
                <w:bCs/>
                <w:color w:val="000000" w:themeColor="text1"/>
              </w:rPr>
              <w:t>Referencia de la información solicitada</w:t>
            </w:r>
          </w:p>
        </w:tc>
        <w:tc>
          <w:tcPr>
            <w:tcW w:w="1621" w:type="dxa"/>
            <w:vAlign w:val="center"/>
          </w:tcPr>
          <w:p w:rsidR="00565EFE" w:rsidRPr="00BB4B02" w:rsidRDefault="00EB48A6" w:rsidP="00BB4B02">
            <w:pPr>
              <w:ind w:right="-2"/>
              <w:jc w:val="center"/>
              <w:rPr>
                <w:rFonts w:ascii="Palatino Linotype" w:eastAsia="Palatino Linotype" w:hAnsi="Palatino Linotype" w:cs="Palatino Linotype"/>
                <w:b/>
                <w:bCs/>
                <w:color w:val="000000" w:themeColor="text1"/>
              </w:rPr>
            </w:pPr>
            <w:r w:rsidRPr="00BB4B02">
              <w:rPr>
                <w:rFonts w:ascii="Palatino Linotype" w:eastAsia="Palatino Linotype" w:hAnsi="Palatino Linotype" w:cs="Palatino Linotype"/>
                <w:b/>
                <w:bCs/>
                <w:color w:val="000000" w:themeColor="text1"/>
              </w:rPr>
              <w:t>Sí</w:t>
            </w:r>
          </w:p>
        </w:tc>
        <w:tc>
          <w:tcPr>
            <w:tcW w:w="5611" w:type="dxa"/>
            <w:vAlign w:val="center"/>
          </w:tcPr>
          <w:p w:rsidR="00565EFE" w:rsidRPr="00BB4B02" w:rsidRDefault="00EB48A6" w:rsidP="00BB4B02">
            <w:pPr>
              <w:ind w:right="-2"/>
              <w:rPr>
                <w:rFonts w:ascii="Palatino Linotype" w:eastAsia="Palatino Linotype" w:hAnsi="Palatino Linotype" w:cs="Palatino Linotype"/>
                <w:b/>
                <w:bCs/>
                <w:color w:val="000000" w:themeColor="text1"/>
              </w:rPr>
            </w:pPr>
            <w:r w:rsidRPr="00BB4B02">
              <w:rPr>
                <w:rFonts w:ascii="Palatino Linotype" w:eastAsia="Palatino Linotype" w:hAnsi="Palatino Linotype" w:cs="Palatino Linotype"/>
                <w:b/>
                <w:bCs/>
                <w:noProof/>
                <w:color w:val="000000" w:themeColor="text1"/>
                <w:lang w:val="es-MX"/>
              </w:rPr>
              <w:drawing>
                <wp:inline distT="0" distB="0" distL="0" distR="0">
                  <wp:extent cx="3425825" cy="3160395"/>
                  <wp:effectExtent l="0" t="0" r="0" b="0"/>
                  <wp:docPr id="2159644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425825" cy="3160395"/>
                          </a:xfrm>
                          <a:prstGeom prst="rect">
                            <a:avLst/>
                          </a:prstGeom>
                          <a:ln/>
                        </pic:spPr>
                      </pic:pic>
                    </a:graphicData>
                  </a:graphic>
                </wp:inline>
              </w:drawing>
            </w:r>
          </w:p>
          <w:p w:rsidR="00565EFE" w:rsidRPr="00BB4B02" w:rsidRDefault="00EB48A6" w:rsidP="00BB4B02">
            <w:pPr>
              <w:ind w:right="-2"/>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noProof/>
                <w:color w:val="000000" w:themeColor="text1"/>
                <w:lang w:val="es-MX"/>
              </w:rPr>
              <w:drawing>
                <wp:inline distT="0" distB="0" distL="0" distR="0">
                  <wp:extent cx="3425825" cy="311150"/>
                  <wp:effectExtent l="0" t="0" r="0" b="0"/>
                  <wp:docPr id="21596445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3425825" cy="311150"/>
                          </a:xfrm>
                          <a:prstGeom prst="rect">
                            <a:avLst/>
                          </a:prstGeom>
                          <a:ln/>
                        </pic:spPr>
                      </pic:pic>
                    </a:graphicData>
                  </a:graphic>
                </wp:inline>
              </w:drawing>
            </w:r>
          </w:p>
        </w:tc>
      </w:tr>
      <w:tr w:rsidR="00BB4B02" w:rsidRPr="00BB4B02">
        <w:trPr>
          <w:trHeight w:val="3103"/>
        </w:trPr>
        <w:tc>
          <w:tcPr>
            <w:tcW w:w="2228" w:type="dxa"/>
            <w:vAlign w:val="center"/>
          </w:tcPr>
          <w:p w:rsidR="00565EFE" w:rsidRPr="00BB4B02" w:rsidRDefault="00EB48A6" w:rsidP="00BB4B02">
            <w:pPr>
              <w:ind w:right="-2"/>
              <w:jc w:val="both"/>
              <w:rPr>
                <w:rFonts w:ascii="Palatino Linotype" w:eastAsia="Palatino Linotype" w:hAnsi="Palatino Linotype" w:cs="Palatino Linotype"/>
                <w:b/>
                <w:bCs/>
                <w:color w:val="000000" w:themeColor="text1"/>
              </w:rPr>
            </w:pPr>
            <w:r w:rsidRPr="00BB4B02">
              <w:rPr>
                <w:rFonts w:ascii="Palatino Linotype" w:eastAsia="Palatino Linotype" w:hAnsi="Palatino Linotype" w:cs="Palatino Linotype"/>
                <w:b/>
                <w:bCs/>
                <w:color w:val="000000" w:themeColor="text1"/>
              </w:rPr>
              <w:t xml:space="preserve">Causal aplicable del artículo 113 de la Ley General, vinculándola con el Lineamiento específico del presente ordenamiento y, cuando corresponda, el supuesto normativo que </w:t>
            </w:r>
            <w:r w:rsidRPr="00BB4B02">
              <w:rPr>
                <w:rFonts w:ascii="Palatino Linotype" w:eastAsia="Palatino Linotype" w:hAnsi="Palatino Linotype" w:cs="Palatino Linotype"/>
                <w:b/>
                <w:bCs/>
                <w:color w:val="000000" w:themeColor="text1"/>
              </w:rPr>
              <w:lastRenderedPageBreak/>
              <w:t>expresamente le otorga el carácter de información reservada</w:t>
            </w:r>
          </w:p>
        </w:tc>
        <w:tc>
          <w:tcPr>
            <w:tcW w:w="1621" w:type="dxa"/>
            <w:vAlign w:val="center"/>
          </w:tcPr>
          <w:p w:rsidR="00565EFE" w:rsidRPr="00BB4B02" w:rsidRDefault="00EB48A6" w:rsidP="00BB4B02">
            <w:pPr>
              <w:ind w:right="-2"/>
              <w:jc w:val="center"/>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b/>
                <w:bCs/>
                <w:color w:val="000000" w:themeColor="text1"/>
              </w:rPr>
              <w:lastRenderedPageBreak/>
              <w:t>Si</w:t>
            </w:r>
          </w:p>
        </w:tc>
        <w:tc>
          <w:tcPr>
            <w:tcW w:w="5611" w:type="dxa"/>
            <w:vAlign w:val="center"/>
          </w:tcPr>
          <w:p w:rsidR="00565EFE" w:rsidRPr="00BB4B02" w:rsidRDefault="00EB48A6" w:rsidP="00BB4B02">
            <w:pPr>
              <w:ind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noProof/>
                <w:color w:val="000000" w:themeColor="text1"/>
                <w:lang w:val="es-MX"/>
              </w:rPr>
              <w:drawing>
                <wp:inline distT="0" distB="0" distL="0" distR="0">
                  <wp:extent cx="3425825" cy="569595"/>
                  <wp:effectExtent l="0" t="0" r="0" b="0"/>
                  <wp:docPr id="21596445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3425825" cy="569595"/>
                          </a:xfrm>
                          <a:prstGeom prst="rect">
                            <a:avLst/>
                          </a:prstGeom>
                          <a:ln/>
                        </pic:spPr>
                      </pic:pic>
                    </a:graphicData>
                  </a:graphic>
                </wp:inline>
              </w:drawing>
            </w:r>
          </w:p>
        </w:tc>
      </w:tr>
      <w:tr w:rsidR="00BB4B02" w:rsidRPr="00BB4B02">
        <w:trPr>
          <w:trHeight w:val="1682"/>
        </w:trPr>
        <w:tc>
          <w:tcPr>
            <w:tcW w:w="2228" w:type="dxa"/>
            <w:vAlign w:val="center"/>
          </w:tcPr>
          <w:p w:rsidR="00565EFE" w:rsidRPr="00BB4B02" w:rsidRDefault="00EB48A6" w:rsidP="00BB4B02">
            <w:pPr>
              <w:tabs>
                <w:tab w:val="left" w:pos="317"/>
              </w:tabs>
              <w:ind w:right="-2"/>
              <w:jc w:val="center"/>
              <w:rPr>
                <w:rFonts w:ascii="Palatino Linotype" w:eastAsia="Palatino Linotype" w:hAnsi="Palatino Linotype" w:cs="Palatino Linotype"/>
                <w:b/>
                <w:bCs/>
                <w:color w:val="000000" w:themeColor="text1"/>
              </w:rPr>
            </w:pPr>
            <w:r w:rsidRPr="00BB4B02">
              <w:rPr>
                <w:rFonts w:ascii="Palatino Linotype" w:eastAsia="Palatino Linotype" w:hAnsi="Palatino Linotype" w:cs="Palatino Linotype"/>
                <w:b/>
                <w:bCs/>
                <w:color w:val="000000" w:themeColor="text1"/>
              </w:rPr>
              <w:t>Fundamento y Motivación Legal</w:t>
            </w:r>
          </w:p>
        </w:tc>
        <w:tc>
          <w:tcPr>
            <w:tcW w:w="1621" w:type="dxa"/>
            <w:vAlign w:val="center"/>
          </w:tcPr>
          <w:p w:rsidR="00565EFE" w:rsidRPr="00BB4B02" w:rsidRDefault="00EB48A6" w:rsidP="00BB4B02">
            <w:pPr>
              <w:ind w:right="-2"/>
              <w:jc w:val="center"/>
              <w:rPr>
                <w:rFonts w:ascii="Palatino Linotype" w:eastAsia="Palatino Linotype" w:hAnsi="Palatino Linotype" w:cs="Palatino Linotype"/>
                <w:b/>
                <w:bCs/>
                <w:color w:val="000000" w:themeColor="text1"/>
              </w:rPr>
            </w:pPr>
            <w:r w:rsidRPr="00BB4B02">
              <w:rPr>
                <w:rFonts w:ascii="Palatino Linotype" w:eastAsia="Palatino Linotype" w:hAnsi="Palatino Linotype" w:cs="Palatino Linotype"/>
                <w:b/>
                <w:bCs/>
                <w:color w:val="000000" w:themeColor="text1"/>
              </w:rPr>
              <w:t>Si</w:t>
            </w:r>
          </w:p>
        </w:tc>
        <w:tc>
          <w:tcPr>
            <w:tcW w:w="5611" w:type="dxa"/>
            <w:vAlign w:val="center"/>
          </w:tcPr>
          <w:p w:rsidR="00565EFE" w:rsidRPr="00BB4B02" w:rsidRDefault="00EB48A6" w:rsidP="00BB4B02">
            <w:pPr>
              <w:ind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noProof/>
                <w:color w:val="000000" w:themeColor="text1"/>
                <w:lang w:val="es-MX"/>
              </w:rPr>
              <w:drawing>
                <wp:inline distT="0" distB="0" distL="0" distR="0">
                  <wp:extent cx="3425825" cy="778510"/>
                  <wp:effectExtent l="0" t="0" r="0" b="0"/>
                  <wp:docPr id="21596445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425825" cy="778510"/>
                          </a:xfrm>
                          <a:prstGeom prst="rect">
                            <a:avLst/>
                          </a:prstGeom>
                          <a:ln/>
                        </pic:spPr>
                      </pic:pic>
                    </a:graphicData>
                  </a:graphic>
                </wp:inline>
              </w:drawing>
            </w:r>
          </w:p>
        </w:tc>
      </w:tr>
      <w:tr w:rsidR="00BB4B02" w:rsidRPr="00BB4B02">
        <w:trPr>
          <w:trHeight w:val="263"/>
        </w:trPr>
        <w:tc>
          <w:tcPr>
            <w:tcW w:w="9460" w:type="dxa"/>
            <w:gridSpan w:val="3"/>
            <w:shd w:val="clear" w:color="auto" w:fill="D9D9D9"/>
            <w:vAlign w:val="center"/>
          </w:tcPr>
          <w:p w:rsidR="00565EFE" w:rsidRPr="00BB4B02" w:rsidRDefault="00EB48A6" w:rsidP="00BB4B02">
            <w:pPr>
              <w:pBdr>
                <w:top w:val="nil"/>
                <w:left w:val="nil"/>
                <w:bottom w:val="nil"/>
                <w:right w:val="nil"/>
                <w:between w:val="nil"/>
              </w:pBdr>
              <w:ind w:right="-2" w:firstLine="18"/>
              <w:jc w:val="center"/>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b/>
                <w:bCs/>
                <w:color w:val="000000" w:themeColor="text1"/>
              </w:rPr>
              <w:t>Prueba de Daño</w:t>
            </w:r>
          </w:p>
        </w:tc>
      </w:tr>
      <w:tr w:rsidR="00BB4B02" w:rsidRPr="00BB4B02">
        <w:trPr>
          <w:trHeight w:val="2106"/>
        </w:trPr>
        <w:tc>
          <w:tcPr>
            <w:tcW w:w="2228" w:type="dxa"/>
            <w:vAlign w:val="center"/>
          </w:tcPr>
          <w:p w:rsidR="00565EFE" w:rsidRPr="00BB4B02" w:rsidRDefault="00EB48A6" w:rsidP="00BB4B02">
            <w:pPr>
              <w:ind w:right="-2"/>
              <w:jc w:val="center"/>
              <w:rPr>
                <w:rFonts w:ascii="Palatino Linotype" w:eastAsia="Palatino Linotype" w:hAnsi="Palatino Linotype" w:cs="Palatino Linotype"/>
                <w:b/>
                <w:bCs/>
                <w:color w:val="000000" w:themeColor="text1"/>
              </w:rPr>
            </w:pPr>
            <w:r w:rsidRPr="00BB4B02">
              <w:rPr>
                <w:rFonts w:ascii="Palatino Linotype" w:eastAsia="Palatino Linotype" w:hAnsi="Palatino Linotype" w:cs="Palatino Linotype"/>
                <w:b/>
                <w:bCs/>
                <w:color w:val="000000" w:themeColor="text1"/>
              </w:rPr>
              <w:t>Riesgo Real, Demostrable e Identificable</w:t>
            </w:r>
          </w:p>
          <w:p w:rsidR="00565EFE" w:rsidRPr="00BB4B02" w:rsidRDefault="00EB48A6" w:rsidP="00BB4B02">
            <w:pPr>
              <w:ind w:right="-2"/>
              <w:jc w:val="center"/>
              <w:rPr>
                <w:rFonts w:ascii="Palatino Linotype" w:eastAsia="Palatino Linotype" w:hAnsi="Palatino Linotype" w:cs="Palatino Linotype"/>
                <w:b/>
                <w:bCs/>
                <w:color w:val="000000" w:themeColor="text1"/>
              </w:rPr>
            </w:pPr>
            <w:r w:rsidRPr="00BB4B02">
              <w:rPr>
                <w:rFonts w:ascii="Palatino Linotype" w:eastAsia="Palatino Linotype" w:hAnsi="Palatino Linotype" w:cs="Palatino Linotype"/>
                <w:b/>
                <w:bCs/>
                <w:color w:val="000000" w:themeColor="text1"/>
              </w:rPr>
              <w:t>(Modo, Tiempo y Lugar)</w:t>
            </w:r>
          </w:p>
        </w:tc>
        <w:tc>
          <w:tcPr>
            <w:tcW w:w="1621" w:type="dxa"/>
            <w:vAlign w:val="center"/>
          </w:tcPr>
          <w:p w:rsidR="00565EFE" w:rsidRPr="00BB4B02" w:rsidRDefault="00EB48A6" w:rsidP="00BB4B02">
            <w:pPr>
              <w:pBdr>
                <w:top w:val="nil"/>
                <w:left w:val="nil"/>
                <w:bottom w:val="nil"/>
                <w:right w:val="nil"/>
                <w:between w:val="nil"/>
              </w:pBdr>
              <w:ind w:right="-2" w:firstLine="18"/>
              <w:jc w:val="center"/>
              <w:rPr>
                <w:rFonts w:ascii="Palatino Linotype" w:eastAsia="Palatino Linotype" w:hAnsi="Palatino Linotype" w:cs="Palatino Linotype"/>
                <w:b/>
                <w:bCs/>
                <w:color w:val="000000" w:themeColor="text1"/>
              </w:rPr>
            </w:pPr>
            <w:r w:rsidRPr="00BB4B02">
              <w:rPr>
                <w:rFonts w:ascii="Palatino Linotype" w:eastAsia="Palatino Linotype" w:hAnsi="Palatino Linotype" w:cs="Palatino Linotype"/>
                <w:b/>
                <w:bCs/>
                <w:color w:val="000000" w:themeColor="text1"/>
              </w:rPr>
              <w:t>Si</w:t>
            </w:r>
          </w:p>
        </w:tc>
        <w:tc>
          <w:tcPr>
            <w:tcW w:w="5611" w:type="dxa"/>
            <w:vAlign w:val="center"/>
          </w:tcPr>
          <w:p w:rsidR="00565EFE" w:rsidRPr="00BB4B02" w:rsidRDefault="00EB48A6" w:rsidP="00BB4B02">
            <w:pPr>
              <w:ind w:right="-2"/>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noProof/>
                <w:color w:val="000000" w:themeColor="text1"/>
                <w:lang w:val="es-MX"/>
              </w:rPr>
              <w:drawing>
                <wp:inline distT="0" distB="0" distL="0" distR="0">
                  <wp:extent cx="3425825" cy="1909445"/>
                  <wp:effectExtent l="0" t="0" r="0" b="0"/>
                  <wp:docPr id="2159644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3425825" cy="1909445"/>
                          </a:xfrm>
                          <a:prstGeom prst="rect">
                            <a:avLst/>
                          </a:prstGeom>
                          <a:ln/>
                        </pic:spPr>
                      </pic:pic>
                    </a:graphicData>
                  </a:graphic>
                </wp:inline>
              </w:drawing>
            </w:r>
          </w:p>
          <w:p w:rsidR="00565EFE" w:rsidRPr="00BB4B02" w:rsidRDefault="00565EFE" w:rsidP="00BB4B02">
            <w:pPr>
              <w:ind w:right="-2"/>
              <w:rPr>
                <w:rFonts w:ascii="Palatino Linotype" w:eastAsia="Palatino Linotype" w:hAnsi="Palatino Linotype" w:cs="Palatino Linotype"/>
                <w:color w:val="000000" w:themeColor="text1"/>
              </w:rPr>
            </w:pPr>
          </w:p>
        </w:tc>
      </w:tr>
      <w:tr w:rsidR="00BB4B02" w:rsidRPr="00BB4B02">
        <w:trPr>
          <w:trHeight w:val="1780"/>
        </w:trPr>
        <w:tc>
          <w:tcPr>
            <w:tcW w:w="2228" w:type="dxa"/>
            <w:vAlign w:val="center"/>
          </w:tcPr>
          <w:p w:rsidR="00565EFE" w:rsidRPr="00BB4B02" w:rsidRDefault="00EB48A6" w:rsidP="00BB4B02">
            <w:pPr>
              <w:ind w:right="-2"/>
              <w:jc w:val="center"/>
              <w:rPr>
                <w:rFonts w:ascii="Palatino Linotype" w:eastAsia="Palatino Linotype" w:hAnsi="Palatino Linotype" w:cs="Palatino Linotype"/>
                <w:b/>
                <w:bCs/>
                <w:color w:val="000000" w:themeColor="text1"/>
              </w:rPr>
            </w:pPr>
            <w:r w:rsidRPr="00BB4B02">
              <w:rPr>
                <w:rFonts w:ascii="Palatino Linotype" w:eastAsia="Palatino Linotype" w:hAnsi="Palatino Linotype" w:cs="Palatino Linotype"/>
                <w:b/>
                <w:bCs/>
                <w:color w:val="000000" w:themeColor="text1"/>
              </w:rPr>
              <w:t>Temporalidad de la Reserva de la información.</w:t>
            </w:r>
          </w:p>
        </w:tc>
        <w:tc>
          <w:tcPr>
            <w:tcW w:w="1621" w:type="dxa"/>
            <w:shd w:val="clear" w:color="auto" w:fill="auto"/>
            <w:vAlign w:val="center"/>
          </w:tcPr>
          <w:p w:rsidR="00565EFE" w:rsidRPr="00BB4B02" w:rsidRDefault="00EB48A6" w:rsidP="00BB4B02">
            <w:pPr>
              <w:pBdr>
                <w:top w:val="nil"/>
                <w:left w:val="nil"/>
                <w:bottom w:val="nil"/>
                <w:right w:val="nil"/>
                <w:between w:val="nil"/>
              </w:pBdr>
              <w:ind w:right="-2" w:firstLine="18"/>
              <w:jc w:val="center"/>
              <w:rPr>
                <w:rFonts w:ascii="Palatino Linotype" w:eastAsia="Palatino Linotype" w:hAnsi="Palatino Linotype" w:cs="Palatino Linotype"/>
                <w:b/>
                <w:bCs/>
                <w:color w:val="000000" w:themeColor="text1"/>
              </w:rPr>
            </w:pPr>
            <w:r w:rsidRPr="00BB4B02">
              <w:rPr>
                <w:rFonts w:ascii="Palatino Linotype" w:eastAsia="Palatino Linotype" w:hAnsi="Palatino Linotype" w:cs="Palatino Linotype"/>
                <w:b/>
                <w:bCs/>
                <w:color w:val="000000" w:themeColor="text1"/>
              </w:rPr>
              <w:t>Si</w:t>
            </w:r>
          </w:p>
        </w:tc>
        <w:tc>
          <w:tcPr>
            <w:tcW w:w="5611" w:type="dxa"/>
            <w:vAlign w:val="center"/>
          </w:tcPr>
          <w:p w:rsidR="00565EFE" w:rsidRPr="00BB4B02" w:rsidRDefault="00EB48A6" w:rsidP="00BB4B02">
            <w:pPr>
              <w:ind w:right="-2"/>
              <w:jc w:val="center"/>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noProof/>
                <w:color w:val="000000" w:themeColor="text1"/>
                <w:lang w:val="es-MX"/>
              </w:rPr>
              <w:drawing>
                <wp:inline distT="0" distB="0" distL="0" distR="0">
                  <wp:extent cx="3248478" cy="666843"/>
                  <wp:effectExtent l="0" t="0" r="0" b="0"/>
                  <wp:docPr id="2159644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3248478" cy="666843"/>
                          </a:xfrm>
                          <a:prstGeom prst="rect">
                            <a:avLst/>
                          </a:prstGeom>
                          <a:ln/>
                        </pic:spPr>
                      </pic:pic>
                    </a:graphicData>
                  </a:graphic>
                </wp:inline>
              </w:drawing>
            </w:r>
            <w:r w:rsidRPr="00BB4B02">
              <w:rPr>
                <w:rFonts w:ascii="Palatino Linotype" w:hAnsi="Palatino Linotype"/>
                <w:noProof/>
                <w:color w:val="000000" w:themeColor="text1"/>
                <w:lang w:val="es-MX"/>
              </w:rPr>
              <mc:AlternateContent>
                <mc:Choice Requires="wps">
                  <w:drawing>
                    <wp:anchor distT="0" distB="0" distL="114300" distR="114300" simplePos="0" relativeHeight="251658240" behindDoc="0" locked="0" layoutInCell="1" hidden="0" allowOverlap="1">
                      <wp:simplePos x="0" y="0"/>
                      <wp:positionH relativeFrom="column">
                        <wp:posOffset>23815</wp:posOffset>
                      </wp:positionH>
                      <wp:positionV relativeFrom="paragraph">
                        <wp:posOffset>1003300</wp:posOffset>
                      </wp:positionV>
                      <wp:extent cx="7620" cy="28575"/>
                      <wp:effectExtent l="0" t="0" r="0" b="0"/>
                      <wp:wrapNone/>
                      <wp:docPr id="215964448" name="Conector recto de flecha 215964448"/>
                      <wp:cNvGraphicFramePr/>
                      <a:graphic xmlns:a="http://schemas.openxmlformats.org/drawingml/2006/main">
                        <a:graphicData uri="http://schemas.microsoft.com/office/word/2010/wordprocessingShape">
                          <wps:wsp>
                            <wps:cNvCnPr/>
                            <wps:spPr>
                              <a:xfrm rot="10800000" flipH="1">
                                <a:off x="4897055" y="3776190"/>
                                <a:ext cx="897890" cy="7620"/>
                              </a:xfrm>
                              <a:prstGeom prst="straightConnector1">
                                <a:avLst/>
                              </a:prstGeom>
                              <a:noFill/>
                              <a:ln w="28575" cap="flat" cmpd="sng">
                                <a:solidFill>
                                  <a:srgbClr val="FF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23815</wp:posOffset>
                      </wp:positionH>
                      <wp:positionV relativeFrom="paragraph">
                        <wp:posOffset>1003300</wp:posOffset>
                      </wp:positionV>
                      <wp:extent cx="7620" cy="28575"/>
                      <wp:effectExtent b="0" l="0" r="0" t="0"/>
                      <wp:wrapNone/>
                      <wp:docPr id="215964448" name="image10.png"/>
                      <a:graphic>
                        <a:graphicData uri="http://schemas.openxmlformats.org/drawingml/2006/picture">
                          <pic:pic>
                            <pic:nvPicPr>
                              <pic:cNvPr id="0" name="image10.png"/>
                              <pic:cNvPicPr preferRelativeResize="0"/>
                            </pic:nvPicPr>
                            <pic:blipFill>
                              <a:blip r:embed="rId16"/>
                              <a:srcRect/>
                              <a:stretch>
                                <a:fillRect/>
                              </a:stretch>
                            </pic:blipFill>
                            <pic:spPr>
                              <a:xfrm>
                                <a:off x="0" y="0"/>
                                <a:ext cx="7620" cy="28575"/>
                              </a:xfrm>
                              <a:prstGeom prst="rect"/>
                              <a:ln/>
                            </pic:spPr>
                          </pic:pic>
                        </a:graphicData>
                      </a:graphic>
                    </wp:anchor>
                  </w:drawing>
                </mc:Fallback>
              </mc:AlternateContent>
            </w:r>
          </w:p>
        </w:tc>
      </w:tr>
      <w:tr w:rsidR="00BB4B02" w:rsidRPr="00BB4B02">
        <w:trPr>
          <w:trHeight w:val="2722"/>
        </w:trPr>
        <w:tc>
          <w:tcPr>
            <w:tcW w:w="2228" w:type="dxa"/>
            <w:vAlign w:val="center"/>
          </w:tcPr>
          <w:p w:rsidR="00565EFE" w:rsidRPr="00BB4B02" w:rsidRDefault="00EB48A6" w:rsidP="00BB4B02">
            <w:pPr>
              <w:tabs>
                <w:tab w:val="left" w:pos="317"/>
              </w:tabs>
              <w:ind w:right="-2"/>
              <w:jc w:val="center"/>
              <w:rPr>
                <w:rFonts w:ascii="Palatino Linotype" w:eastAsia="Palatino Linotype" w:hAnsi="Palatino Linotype" w:cs="Palatino Linotype"/>
                <w:b/>
                <w:bCs/>
                <w:color w:val="000000" w:themeColor="text1"/>
              </w:rPr>
            </w:pPr>
            <w:r w:rsidRPr="00BB4B02">
              <w:rPr>
                <w:rFonts w:ascii="Palatino Linotype" w:eastAsia="Palatino Linotype" w:hAnsi="Palatino Linotype" w:cs="Palatino Linotype"/>
                <w:b/>
                <w:bCs/>
                <w:color w:val="000000" w:themeColor="text1"/>
              </w:rPr>
              <w:lastRenderedPageBreak/>
              <w:t>Autoridades competentes.</w:t>
            </w:r>
          </w:p>
        </w:tc>
        <w:tc>
          <w:tcPr>
            <w:tcW w:w="1621" w:type="dxa"/>
            <w:vAlign w:val="center"/>
          </w:tcPr>
          <w:p w:rsidR="00565EFE" w:rsidRPr="00BB4B02" w:rsidRDefault="00EB48A6" w:rsidP="00BB4B02">
            <w:pPr>
              <w:pBdr>
                <w:top w:val="nil"/>
                <w:left w:val="nil"/>
                <w:bottom w:val="nil"/>
                <w:right w:val="nil"/>
                <w:between w:val="nil"/>
              </w:pBdr>
              <w:ind w:right="-2" w:firstLine="18"/>
              <w:jc w:val="center"/>
              <w:rPr>
                <w:rFonts w:ascii="Palatino Linotype" w:eastAsia="Palatino Linotype" w:hAnsi="Palatino Linotype" w:cs="Palatino Linotype"/>
                <w:b/>
                <w:bCs/>
                <w:color w:val="000000" w:themeColor="text1"/>
              </w:rPr>
            </w:pPr>
            <w:r w:rsidRPr="00BB4B02">
              <w:rPr>
                <w:rFonts w:ascii="Palatino Linotype" w:eastAsia="Palatino Linotype" w:hAnsi="Palatino Linotype" w:cs="Palatino Linotype"/>
                <w:b/>
                <w:bCs/>
                <w:color w:val="000000" w:themeColor="text1"/>
              </w:rPr>
              <w:t>No</w:t>
            </w:r>
          </w:p>
        </w:tc>
        <w:tc>
          <w:tcPr>
            <w:tcW w:w="5611" w:type="dxa"/>
          </w:tcPr>
          <w:p w:rsidR="00565EFE" w:rsidRPr="00BB4B02" w:rsidRDefault="00EB48A6" w:rsidP="00BB4B02">
            <w:pPr>
              <w:ind w:right="-2"/>
              <w:jc w:val="center"/>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noProof/>
                <w:color w:val="000000" w:themeColor="text1"/>
                <w:lang w:val="es-MX"/>
              </w:rPr>
              <w:drawing>
                <wp:inline distT="0" distB="0" distL="0" distR="0">
                  <wp:extent cx="2708251" cy="1764000"/>
                  <wp:effectExtent l="0" t="0" r="0" b="0"/>
                  <wp:docPr id="2159644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2708251" cy="1764000"/>
                          </a:xfrm>
                          <a:prstGeom prst="rect">
                            <a:avLst/>
                          </a:prstGeom>
                          <a:ln/>
                        </pic:spPr>
                      </pic:pic>
                    </a:graphicData>
                  </a:graphic>
                </wp:inline>
              </w:drawing>
            </w:r>
          </w:p>
        </w:tc>
      </w:tr>
    </w:tbl>
    <w:p w:rsidR="00565EFE" w:rsidRPr="00BB4B02" w:rsidRDefault="00565EFE" w:rsidP="00BB4B02">
      <w:pPr>
        <w:pBdr>
          <w:top w:val="nil"/>
          <w:left w:val="nil"/>
          <w:bottom w:val="nil"/>
          <w:right w:val="nil"/>
          <w:between w:val="nil"/>
        </w:pBdr>
        <w:tabs>
          <w:tab w:val="left" w:pos="426"/>
        </w:tabs>
        <w:spacing w:line="360" w:lineRule="auto"/>
        <w:ind w:right="-2"/>
        <w:jc w:val="both"/>
        <w:rPr>
          <w:rFonts w:ascii="Palatino Linotype" w:eastAsia="Palatino Linotype" w:hAnsi="Palatino Linotype" w:cs="Palatino Linotype"/>
          <w:color w:val="000000" w:themeColor="text1"/>
        </w:rPr>
      </w:pP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 xml:space="preserve">Atento a lo anterior, este Órgano Garante puede visualizar que el acuerdo de reserva de información, </w:t>
      </w:r>
      <w:r w:rsidRPr="00BB4B02">
        <w:rPr>
          <w:rFonts w:ascii="Palatino Linotype" w:eastAsia="Palatino Linotype" w:hAnsi="Palatino Linotype" w:cs="Palatino Linotype"/>
          <w:b/>
          <w:bCs/>
          <w:color w:val="000000" w:themeColor="text1"/>
        </w:rPr>
        <w:t>EL SUJETO OBLIGADO</w:t>
      </w:r>
      <w:r w:rsidRPr="00BB4B02">
        <w:rPr>
          <w:rFonts w:ascii="Palatino Linotype" w:eastAsia="Palatino Linotype" w:hAnsi="Palatino Linotype" w:cs="Palatino Linotype"/>
          <w:color w:val="000000" w:themeColor="text1"/>
        </w:rPr>
        <w:t xml:space="preserve"> no cumple con los elementos suficientes para dar sustento a ello, ya que el acuerdo de clasificación carece de firmas completas, siendo estas, un elemento indispensable para tenerse por válida.</w:t>
      </w:r>
    </w:p>
    <w:p w:rsidR="00565EFE" w:rsidRPr="00BB4B02" w:rsidRDefault="00565EFE" w:rsidP="00BB4B02">
      <w:pPr>
        <w:spacing w:line="360" w:lineRule="auto"/>
        <w:ind w:right="-2"/>
        <w:jc w:val="both"/>
        <w:rPr>
          <w:rFonts w:ascii="Palatino Linotype" w:eastAsia="Palatino Linotype" w:hAnsi="Palatino Linotype" w:cs="Palatino Linotype"/>
          <w:color w:val="000000" w:themeColor="text1"/>
        </w:rPr>
      </w:pP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En ese contexto, sirve traer a colación lo que establece la jurisprudencia que surge del Tercer Tribunal Colegiado en Materia Civil del Primer Circuito con número de registro digital 170307 de la Novena Época, visible en el Semanario Judicial de la Federación y su Gaceta, Tomo XXVII, de febrero de 2008, tesis I.3o.C. J/47 en materia común, en la que establece lo siguiente:</w:t>
      </w:r>
    </w:p>
    <w:p w:rsidR="00565EFE" w:rsidRPr="00BB4B02" w:rsidRDefault="00EB48A6" w:rsidP="00BB4B02">
      <w:pPr>
        <w:spacing w:line="276" w:lineRule="auto"/>
        <w:ind w:right="-2"/>
        <w:jc w:val="both"/>
        <w:rPr>
          <w:rFonts w:ascii="Palatino Linotype" w:eastAsia="Palatino Linotype" w:hAnsi="Palatino Linotype" w:cs="Palatino Linotype"/>
          <w:i/>
          <w:iCs/>
          <w:color w:val="000000" w:themeColor="text1"/>
        </w:rPr>
      </w:pPr>
      <w:r w:rsidRPr="00BB4B02">
        <w:rPr>
          <w:rFonts w:ascii="Palatino Linotype" w:eastAsia="Palatino Linotype" w:hAnsi="Palatino Linotype" w:cs="Palatino Linotype"/>
          <w:b/>
          <w:bCs/>
          <w:i/>
          <w:iCs/>
          <w:color w:val="000000" w:themeColor="text1"/>
        </w:rPr>
        <w:t>“FUNDAMENTACIÓN Y MOTIVACIÓN. LA DIFERENCIA ENTRE LA FALTA Y LA INDEBIDA SATISFACCIÓN DE AMBOS REQUISITOS CONSTITUCIONALES TRASCIENDE AL ORDEN EN QUE DEBEN ESTUDIARSE LOS CONCEPTOS DE VIOLACIÓN Y A LOS EFECTOS DEL FALLO PROTECTOR</w:t>
      </w:r>
      <w:r w:rsidRPr="00BB4B02">
        <w:rPr>
          <w:rFonts w:ascii="Palatino Linotype" w:eastAsia="Palatino Linotype" w:hAnsi="Palatino Linotype" w:cs="Palatino Linotype"/>
          <w:i/>
          <w:iCs/>
          <w:color w:val="000000" w:themeColor="text1"/>
        </w:rPr>
        <w:t xml:space="preserve">. La falta de fundamentación y motivación es una violación formal diversa a la indebida o incorrecta fundamentación y motivación, que es una violación material o de fondo, siendo distintos los efectos que genera la existencia de una u otra, por lo que el estudio de aquella omisión debe hacerse de manera previa. En efecto, el artículo 16 constitucional establece, en su primer párrafo, el imperativo para las autoridades de fundar y motivar </w:t>
      </w:r>
      <w:r w:rsidRPr="00BB4B02">
        <w:rPr>
          <w:rFonts w:ascii="Palatino Linotype" w:eastAsia="Palatino Linotype" w:hAnsi="Palatino Linotype" w:cs="Palatino Linotype"/>
          <w:i/>
          <w:iCs/>
          <w:color w:val="000000" w:themeColor="text1"/>
        </w:rPr>
        <w:lastRenderedPageBreak/>
        <w:t xml:space="preserve">sus actos que incidan en la esfera de los gobernados, pero la contravención al mandato constitucional que exige la expresión de ambas en los actos de autoridad puede revestir dos formas distintas, a saber: la derivada de su falta, y la correspondiente a su incorrección. Se produce la falta de fundamentación y motivación, cuando se omite expresar el dispositivo legal aplicable al asunto y las razones que se hayan considerado para estimar que el caso puede subsumirse en la hipótesis prevista en esa norma jurídica. En cambio, hay una indebida fundamentación cuando en el acto de autoridad sí se invoca el precepto legal, sin embargo, resulta inaplicable al asunto por las características específicas de éste que impiden su adecuación o encuadre en la hipótesis normativa; y una incorrecta motivación, en el supuesto en que sí se indican las razones que tiene en consideración la autoridad para emitir el acto, pero aquéllas están en disonancia con el contenido de la norma legal que se aplica en el caso. De manera que la falta de fundamentación y motivación significa la carencia o ausencia de tales requisitos, mientras que la indebida o incorrecta fundamentación y motivación entraña la presencia de ambos requisitos constitucionales, pero con un desajuste entre la aplicación de normas y los razonamientos formulados por la autoridad con el caso concreto. La diferencia apuntada permite advertir que en el primer supuesto se trata de una violación formal dado que el acto de autoridad carece de elementos ínsitos, connaturales, al mismo por virtud de un imperativo constitucional, por lo que, advertida su ausencia mediante la simple lectura del acto reclamado, procederá conceder el amparo solicitado; y en el segundo caso consiste en una violación material o de fondo porque se ha cumplido con la forma mediante la expresión de fundamentos y motivos, pero unos y otros son incorrectos, lo cual, por regla general, también dará lugar a un fallo protector, sin embargo, será menester un previo análisis del contenido del asunto para llegar a concluir la mencionada incorrección. Por virtud de esa nota distintiva, los efectos de la concesión del amparo, tratándose de una resolución jurisdiccional, son igualmente diversos en uno y otro caso, pues aunque existe un elemento común, o sea, que la autoridad deje insubsistente el acto inconstitucional, en el primer supuesto será para que subsane la irregularidad expresando la fundamentación y motivación antes ausente, y en el segundo para que aporte fundamentos y motivos diferentes a los que formuló previamente. La apuntada diferencia trasciende, igualmente, al orden en que se deberán estudiar los argumentos que hagan valer los quejosos, ya que si en un caso se advierte la carencia de los requisitos constitucionales de que se trata, es decir, una violación formal, se concederá el amparo para los efectos indicados, con exclusión del análisis de los motivos de disenso que, concurriendo con los atinentes al defecto, versen sobre la incorrección de ambos elementos inherentes </w:t>
      </w:r>
      <w:r w:rsidRPr="00BB4B02">
        <w:rPr>
          <w:rFonts w:ascii="Palatino Linotype" w:eastAsia="Palatino Linotype" w:hAnsi="Palatino Linotype" w:cs="Palatino Linotype"/>
          <w:i/>
          <w:iCs/>
          <w:color w:val="000000" w:themeColor="text1"/>
        </w:rPr>
        <w:lastRenderedPageBreak/>
        <w:t>al acto de autoridad; empero, si han sido satisfechos aquéllos, será factible el estudio de la indebida fundamentación y motivación, esto es, de la violación material o de fondo.</w:t>
      </w:r>
    </w:p>
    <w:p w:rsidR="00565EFE" w:rsidRPr="00BB4B02" w:rsidRDefault="00EB48A6" w:rsidP="00BB4B02">
      <w:pPr>
        <w:spacing w:line="276" w:lineRule="auto"/>
        <w:ind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i/>
          <w:iCs/>
          <w:color w:val="000000" w:themeColor="text1"/>
        </w:rPr>
        <w:t>(…)</w:t>
      </w:r>
    </w:p>
    <w:p w:rsidR="00565EFE" w:rsidRPr="00BB4B02" w:rsidRDefault="00565EFE" w:rsidP="00BB4B02">
      <w:pPr>
        <w:spacing w:line="360" w:lineRule="auto"/>
        <w:ind w:right="-2"/>
        <w:rPr>
          <w:rFonts w:ascii="Palatino Linotype" w:eastAsia="Palatino Linotype" w:hAnsi="Palatino Linotype" w:cs="Palatino Linotype"/>
          <w:color w:val="000000" w:themeColor="text1"/>
        </w:rPr>
      </w:pPr>
    </w:p>
    <w:p w:rsidR="00565EFE" w:rsidRPr="00BB4B02" w:rsidRDefault="00565EFE" w:rsidP="00BB4B02">
      <w:pPr>
        <w:spacing w:line="360" w:lineRule="auto"/>
        <w:ind w:right="-2"/>
        <w:rPr>
          <w:rFonts w:ascii="Palatino Linotype" w:eastAsia="Palatino Linotype" w:hAnsi="Palatino Linotype" w:cs="Palatino Linotype"/>
          <w:color w:val="000000" w:themeColor="text1"/>
        </w:rPr>
      </w:pPr>
    </w:p>
    <w:p w:rsidR="00565EFE" w:rsidRPr="00BB4B02" w:rsidRDefault="00EB48A6" w:rsidP="00BB4B02">
      <w:pPr>
        <w:tabs>
          <w:tab w:val="left" w:pos="4962"/>
        </w:tabs>
        <w:spacing w:line="276" w:lineRule="auto"/>
        <w:ind w:right="-2"/>
        <w:jc w:val="both"/>
        <w:rPr>
          <w:rFonts w:ascii="Palatino Linotype" w:eastAsia="Palatino Linotype" w:hAnsi="Palatino Linotype" w:cs="Palatino Linotype"/>
          <w:i/>
          <w:iCs/>
          <w:color w:val="000000" w:themeColor="text1"/>
        </w:rPr>
      </w:pPr>
      <w:r w:rsidRPr="00BB4B02">
        <w:rPr>
          <w:rFonts w:ascii="Palatino Linotype" w:eastAsia="Palatino Linotype" w:hAnsi="Palatino Linotype" w:cs="Palatino Linotype"/>
          <w:i/>
          <w:iCs/>
          <w:color w:val="000000" w:themeColor="text1"/>
        </w:rPr>
        <w:t>Unanimidad de votos"</w:t>
      </w:r>
    </w:p>
    <w:p w:rsidR="00565EFE" w:rsidRPr="00BB4B02" w:rsidRDefault="00565EFE" w:rsidP="00BB4B02">
      <w:pPr>
        <w:spacing w:line="360" w:lineRule="auto"/>
        <w:ind w:right="-2"/>
        <w:rPr>
          <w:rFonts w:ascii="Palatino Linotype" w:eastAsia="Palatino Linotype" w:hAnsi="Palatino Linotype" w:cs="Palatino Linotype"/>
          <w:color w:val="000000" w:themeColor="text1"/>
        </w:rPr>
      </w:pP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 xml:space="preserve">En ese contexto, se concluye en que el acuerdo emitido por </w:t>
      </w:r>
      <w:r w:rsidRPr="00BB4B02">
        <w:rPr>
          <w:rFonts w:ascii="Palatino Linotype" w:eastAsia="Palatino Linotype" w:hAnsi="Palatino Linotype" w:cs="Palatino Linotype"/>
          <w:b/>
          <w:bCs/>
          <w:color w:val="000000" w:themeColor="text1"/>
        </w:rPr>
        <w:t>EL SUJETO OBLIGADO</w:t>
      </w:r>
      <w:r w:rsidRPr="00BB4B02">
        <w:rPr>
          <w:rFonts w:ascii="Palatino Linotype" w:eastAsia="Palatino Linotype" w:hAnsi="Palatino Linotype" w:cs="Palatino Linotype"/>
          <w:color w:val="000000" w:themeColor="text1"/>
        </w:rPr>
        <w:t xml:space="preserve"> no cuenta con los elementos esenciales que puedan dar certeza sobre la clasificación de información como reservada.</w:t>
      </w:r>
    </w:p>
    <w:p w:rsidR="00565EFE" w:rsidRPr="00BB4B02" w:rsidRDefault="00565EFE" w:rsidP="00BB4B02">
      <w:pPr>
        <w:spacing w:line="360" w:lineRule="auto"/>
        <w:ind w:right="-2"/>
        <w:jc w:val="both"/>
        <w:rPr>
          <w:rFonts w:ascii="Palatino Linotype" w:eastAsia="Palatino Linotype" w:hAnsi="Palatino Linotype" w:cs="Palatino Linotype"/>
          <w:color w:val="000000" w:themeColor="text1"/>
        </w:rPr>
      </w:pP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 xml:space="preserve">En ese sentido, este Órgano Garante considera dable que </w:t>
      </w:r>
      <w:r w:rsidRPr="00BB4B02">
        <w:rPr>
          <w:rFonts w:ascii="Palatino Linotype" w:eastAsia="Palatino Linotype" w:hAnsi="Palatino Linotype" w:cs="Palatino Linotype"/>
          <w:b/>
          <w:bCs/>
          <w:color w:val="000000" w:themeColor="text1"/>
        </w:rPr>
        <w:t xml:space="preserve">EL SUJETO OBLIGADO </w:t>
      </w:r>
      <w:r w:rsidRPr="00BB4B02">
        <w:rPr>
          <w:rFonts w:ascii="Palatino Linotype" w:eastAsia="Palatino Linotype" w:hAnsi="Palatino Linotype" w:cs="Palatino Linotype"/>
          <w:color w:val="000000" w:themeColor="text1"/>
        </w:rPr>
        <w:t>debe hacer entrega del Acuerdo de Reserva por el que se aprobó la clasificación de la reserva de información remitido en respuesta, de manera completa.</w:t>
      </w:r>
    </w:p>
    <w:p w:rsidR="00565EFE" w:rsidRPr="00BB4B02" w:rsidRDefault="00565EFE" w:rsidP="00BB4B02">
      <w:pPr>
        <w:spacing w:line="360" w:lineRule="auto"/>
        <w:ind w:right="-2"/>
        <w:jc w:val="both"/>
        <w:rPr>
          <w:rFonts w:ascii="Palatino Linotype" w:eastAsia="Palatino Linotype" w:hAnsi="Palatino Linotype" w:cs="Palatino Linotype"/>
          <w:color w:val="000000" w:themeColor="text1"/>
        </w:rPr>
      </w:pP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color w:val="000000" w:themeColor="text1"/>
        </w:rPr>
      </w:pPr>
      <w:bookmarkStart w:id="8" w:name="_heading=h.49x2ik5" w:colFirst="0" w:colLast="0"/>
      <w:bookmarkEnd w:id="8"/>
      <w:r w:rsidRPr="00BB4B02">
        <w:rPr>
          <w:rFonts w:ascii="Palatino Linotype" w:eastAsia="Palatino Linotype" w:hAnsi="Palatino Linotype" w:cs="Palatino Linotype"/>
          <w:color w:val="000000" w:themeColor="text1"/>
        </w:rPr>
        <w:t xml:space="preserve">Por las argumentaciones vertidas en párrafos que anteceden, se concluye en que </w:t>
      </w:r>
      <w:r w:rsidRPr="00BB4B02">
        <w:rPr>
          <w:rFonts w:ascii="Palatino Linotype" w:eastAsia="Palatino Linotype" w:hAnsi="Palatino Linotype" w:cs="Palatino Linotype"/>
          <w:b/>
          <w:bCs/>
          <w:color w:val="000000" w:themeColor="text1"/>
        </w:rPr>
        <w:t xml:space="preserve">EL SUJETO OBLIGADO </w:t>
      </w:r>
      <w:r w:rsidRPr="00BB4B02">
        <w:rPr>
          <w:rFonts w:ascii="Palatino Linotype" w:eastAsia="Palatino Linotype" w:hAnsi="Palatino Linotype" w:cs="Palatino Linotype"/>
          <w:color w:val="000000" w:themeColor="text1"/>
        </w:rPr>
        <w:t xml:space="preserve">no satisfizo el derecho de acceso a la información pública de </w:t>
      </w:r>
      <w:r w:rsidRPr="00BB4B02">
        <w:rPr>
          <w:rFonts w:ascii="Palatino Linotype" w:eastAsia="Palatino Linotype" w:hAnsi="Palatino Linotype" w:cs="Palatino Linotype"/>
          <w:b/>
          <w:bCs/>
          <w:color w:val="000000" w:themeColor="text1"/>
        </w:rPr>
        <w:t xml:space="preserve">LA PARTE RECURRENTE </w:t>
      </w:r>
      <w:r w:rsidRPr="00BB4B02">
        <w:rPr>
          <w:rFonts w:ascii="Palatino Linotype" w:eastAsia="Palatino Linotype" w:hAnsi="Palatino Linotype" w:cs="Palatino Linotype"/>
          <w:color w:val="000000" w:themeColor="text1"/>
        </w:rPr>
        <w:t xml:space="preserve">al no haberse remitido el Acuerdo de Clasificación de la información como reservada correspondiente, de manera completa. </w:t>
      </w:r>
    </w:p>
    <w:p w:rsidR="00565EFE" w:rsidRPr="00BB4B02" w:rsidRDefault="00565EFE" w:rsidP="00BB4B02">
      <w:pPr>
        <w:spacing w:line="360" w:lineRule="auto"/>
        <w:ind w:right="-2"/>
        <w:jc w:val="both"/>
        <w:rPr>
          <w:rFonts w:ascii="Palatino Linotype" w:eastAsia="Palatino Linotype" w:hAnsi="Palatino Linotype" w:cs="Palatino Linotype"/>
          <w:color w:val="000000" w:themeColor="text1"/>
        </w:rPr>
      </w:pP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 xml:space="preserve">Finalmente por lo que hace a </w:t>
      </w:r>
      <w:r w:rsidRPr="00BB4B02">
        <w:rPr>
          <w:rFonts w:ascii="Palatino Linotype" w:eastAsia="Palatino Linotype" w:hAnsi="Palatino Linotype" w:cs="Palatino Linotype"/>
          <w:i/>
          <w:iCs/>
          <w:color w:val="000000" w:themeColor="text1"/>
        </w:rPr>
        <w:t xml:space="preserve">“(El presente recurso se presenta, debido a que se presume que en los dos trienios de este gobierno, no se hizo ningún acto tendiente a cumplir con, contar con el catastro hídrico y a ello se debe el desabasto y daños a la infraestructura hídrica de la colonia 17 de marzo, por lo que se pide a este organismo solicitar los documentos directamente al obligado </w:t>
      </w:r>
      <w:r w:rsidRPr="00BB4B02">
        <w:rPr>
          <w:rFonts w:ascii="Palatino Linotype" w:eastAsia="Palatino Linotype" w:hAnsi="Palatino Linotype" w:cs="Palatino Linotype"/>
          <w:i/>
          <w:iCs/>
          <w:color w:val="000000" w:themeColor="text1"/>
        </w:rPr>
        <w:lastRenderedPageBreak/>
        <w:t>constitucional que es el Ayuntamiento Constitucional de Chimalhuacán y de comprobarse por este instituto la inexistencia de la información ordenar al sujeto obligado a reconocerlo en una declaratoria de inexistencia</w:t>
      </w:r>
      <w:r w:rsidRPr="00BB4B02">
        <w:rPr>
          <w:rFonts w:ascii="Palatino Linotype" w:eastAsia="Palatino Linotype" w:hAnsi="Palatino Linotype" w:cs="Palatino Linotype"/>
          <w:color w:val="000000" w:themeColor="text1"/>
        </w:rPr>
        <w:t xml:space="preserve">)”, se advierte que las mismas devienen improcedentes, ya que primeramente se advierte que son se excedió dentro de su inconformidad respecto a lo requerido originalmente en la solicitud de información, siendo el caso que pretende ampliar lo solicitado de origen, lo que hace que se surta lo que en la teoría jurídica se le denomina </w:t>
      </w:r>
      <w:r w:rsidRPr="00BB4B02">
        <w:rPr>
          <w:rFonts w:ascii="Palatino Linotype" w:eastAsia="Palatino Linotype" w:hAnsi="Palatino Linotype" w:cs="Palatino Linotype"/>
          <w:b/>
          <w:bCs/>
          <w:i/>
          <w:iCs/>
          <w:color w:val="000000" w:themeColor="text1"/>
        </w:rPr>
        <w:t>Plus Petitio.</w:t>
      </w:r>
    </w:p>
    <w:p w:rsidR="00565EFE" w:rsidRPr="00BB4B02" w:rsidRDefault="00565EFE" w:rsidP="00BB4B02">
      <w:pPr>
        <w:spacing w:line="360" w:lineRule="auto"/>
        <w:ind w:right="-2"/>
        <w:jc w:val="both"/>
        <w:rPr>
          <w:rFonts w:ascii="Palatino Linotype" w:eastAsia="Palatino Linotype" w:hAnsi="Palatino Linotype" w:cs="Palatino Linotype"/>
          <w:color w:val="000000" w:themeColor="text1"/>
        </w:rPr>
      </w:pP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Sustenta lo anterior el Criterio de Interpretación 01/17 emitido por el Instituto Nacional de Transparencia, Acceso a la Información y Protección de Datos Personales que establece lo siguiente:</w:t>
      </w:r>
    </w:p>
    <w:p w:rsidR="00565EFE" w:rsidRPr="00BB4B02" w:rsidRDefault="00EB48A6" w:rsidP="00BB4B02">
      <w:pPr>
        <w:ind w:right="-2"/>
        <w:jc w:val="both"/>
        <w:rPr>
          <w:rFonts w:ascii="Palatino Linotype" w:eastAsia="Palatino Linotype" w:hAnsi="Palatino Linotype" w:cs="Palatino Linotype"/>
          <w:i/>
          <w:iCs/>
          <w:color w:val="000000" w:themeColor="text1"/>
        </w:rPr>
      </w:pPr>
      <w:r w:rsidRPr="00BB4B02">
        <w:rPr>
          <w:rFonts w:ascii="Palatino Linotype" w:eastAsia="Palatino Linotype" w:hAnsi="Palatino Linotype" w:cs="Palatino Linotype"/>
          <w:b/>
          <w:bCs/>
          <w:i/>
          <w:iCs/>
          <w:color w:val="000000" w:themeColor="text1"/>
        </w:rPr>
        <w:t>ES IMPROCEDENTE AMPLIAR LAS SOLICITUDES DE ACCESO A INFORMACIÓN, A TRAVÉS DE LA INTERPOSICIÓN DEL RECURSO DE REVISIÓN.</w:t>
      </w:r>
      <w:r w:rsidRPr="00BB4B02">
        <w:rPr>
          <w:rFonts w:ascii="Palatino Linotype" w:eastAsia="Palatino Linotype" w:hAnsi="Palatino Linotype" w:cs="Palatino Linotype"/>
          <w:i/>
          <w:iCs/>
          <w:color w:val="000000" w:themeColor="text1"/>
        </w:rPr>
        <w:t xml:space="preserve">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rsidR="00565EFE" w:rsidRPr="00BB4B02" w:rsidRDefault="00565EFE" w:rsidP="00BB4B02">
      <w:pPr>
        <w:spacing w:line="360" w:lineRule="auto"/>
        <w:ind w:right="-2"/>
        <w:jc w:val="both"/>
        <w:rPr>
          <w:rFonts w:ascii="Palatino Linotype" w:eastAsia="Palatino Linotype" w:hAnsi="Palatino Linotype" w:cs="Palatino Linotype"/>
          <w:color w:val="000000" w:themeColor="text1"/>
        </w:rPr>
      </w:pP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Asimismo, sirve de apoyo, por analogía, la Jurisprudencia No. 29 visible a foja 19 del Apéndice al Semanario Judicial de la Federación 1917-1995, Torno VI, Materia Común, Primera Parte, Tesis de la Suprema Corte de Justicia, que contiene:</w:t>
      </w:r>
    </w:p>
    <w:p w:rsidR="00565EFE" w:rsidRPr="00BB4B02" w:rsidRDefault="00EB48A6" w:rsidP="00BB4B02">
      <w:pPr>
        <w:ind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b/>
          <w:bCs/>
          <w:i/>
          <w:iCs/>
          <w:color w:val="000000" w:themeColor="text1"/>
        </w:rPr>
        <w:t xml:space="preserve">AGRAVIOS EN LA REVISION. DEBEN ESTAR EN RELACION DIRECTA CON LOS FUNDAMENTOS Y CONSIDERACIONES DE LA SENTENCIA. </w:t>
      </w:r>
      <w:r w:rsidRPr="00BB4B02">
        <w:rPr>
          <w:rFonts w:ascii="Palatino Linotype" w:eastAsia="Palatino Linotype" w:hAnsi="Palatino Linotype" w:cs="Palatino Linotype"/>
          <w:i/>
          <w:iCs/>
          <w:color w:val="000000" w:themeColor="text1"/>
        </w:rPr>
        <w:t xml:space="preserve">“Los agravios deben estar en relación directa e inmediata con los fundamentos contenidos en la sentencia que se recurre, y forzosamente deben contener, no sólo la cita de las disposiciones legales que se estimen infringidas y su </w:t>
      </w:r>
      <w:r w:rsidRPr="00BB4B02">
        <w:rPr>
          <w:rFonts w:ascii="Palatino Linotype" w:eastAsia="Palatino Linotype" w:hAnsi="Palatino Linotype" w:cs="Palatino Linotype"/>
          <w:i/>
          <w:iCs/>
          <w:color w:val="000000" w:themeColor="text1"/>
        </w:rPr>
        <w:lastRenderedPageBreak/>
        <w:t>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p>
    <w:p w:rsidR="00565EFE" w:rsidRPr="00BB4B02" w:rsidRDefault="00565EFE" w:rsidP="00BB4B02">
      <w:pPr>
        <w:pBdr>
          <w:top w:val="nil"/>
          <w:left w:val="nil"/>
          <w:bottom w:val="nil"/>
          <w:right w:val="nil"/>
          <w:between w:val="nil"/>
        </w:pBdr>
        <w:spacing w:line="360" w:lineRule="auto"/>
        <w:ind w:right="-2"/>
        <w:jc w:val="both"/>
        <w:rPr>
          <w:rFonts w:ascii="Palatino Linotype" w:eastAsia="Palatino Linotype" w:hAnsi="Palatino Linotype" w:cs="Palatino Linotype"/>
          <w:color w:val="000000" w:themeColor="text1"/>
        </w:rPr>
      </w:pP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 xml:space="preserve">Aunado a lo anterior, se resulta importante referir que los </w:t>
      </w:r>
      <w:r w:rsidRPr="00BB4B02">
        <w:rPr>
          <w:rFonts w:ascii="Palatino Linotype" w:eastAsia="Palatino Linotype" w:hAnsi="Palatino Linotype" w:cs="Palatino Linotype"/>
          <w:b/>
          <w:bCs/>
          <w:color w:val="000000" w:themeColor="text1"/>
        </w:rPr>
        <w:t xml:space="preserve">SUJETOS OBLIGADOS, </w:t>
      </w:r>
      <w:r w:rsidRPr="00BB4B02">
        <w:rPr>
          <w:rFonts w:ascii="Palatino Linotype" w:eastAsia="Palatino Linotype" w:hAnsi="Palatino Linotype" w:cs="Palatino Linotype"/>
          <w:color w:val="000000" w:themeColor="text1"/>
        </w:rPr>
        <w:t xml:space="preserve">únicamente se encuentran constreñidos a entregar la información que obre en sus archivos en el ámbito de su competencia. </w:t>
      </w:r>
    </w:p>
    <w:p w:rsidR="00565EFE" w:rsidRPr="00BB4B02" w:rsidRDefault="00565EFE" w:rsidP="00BB4B02">
      <w:pPr>
        <w:spacing w:line="360" w:lineRule="auto"/>
        <w:ind w:right="-2"/>
        <w:jc w:val="both"/>
        <w:rPr>
          <w:rFonts w:ascii="Palatino Linotype" w:eastAsia="Palatino Linotype" w:hAnsi="Palatino Linotype" w:cs="Palatino Linotype"/>
          <w:color w:val="000000" w:themeColor="text1"/>
        </w:rPr>
      </w:pPr>
    </w:p>
    <w:p w:rsidR="00565EFE" w:rsidRPr="00BB4B02" w:rsidRDefault="00EB48A6" w:rsidP="00BB4B02">
      <w:pPr>
        <w:numPr>
          <w:ilvl w:val="0"/>
          <w:numId w:val="1"/>
        </w:numPr>
        <w:spacing w:line="360" w:lineRule="auto"/>
        <w:ind w:left="0"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color w:val="000000" w:themeColor="text1"/>
        </w:rPr>
        <w:t>Así, con fundamento en lo establecido en los artículos 5, párrafo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rsidR="00565EFE" w:rsidRPr="00BB4B02" w:rsidRDefault="00565EFE" w:rsidP="00BB4B02">
      <w:pPr>
        <w:spacing w:line="360" w:lineRule="auto"/>
        <w:ind w:right="-2"/>
        <w:jc w:val="both"/>
        <w:rPr>
          <w:rFonts w:ascii="Palatino Linotype" w:eastAsia="Palatino Linotype" w:hAnsi="Palatino Linotype" w:cs="Palatino Linotype"/>
          <w:color w:val="000000" w:themeColor="text1"/>
        </w:rPr>
      </w:pPr>
    </w:p>
    <w:p w:rsidR="00565EFE" w:rsidRDefault="00EB48A6" w:rsidP="00BB4B02">
      <w:pPr>
        <w:numPr>
          <w:ilvl w:val="0"/>
          <w:numId w:val="1"/>
        </w:numPr>
        <w:spacing w:line="360" w:lineRule="auto"/>
        <w:ind w:left="0" w:right="-2"/>
        <w:jc w:val="both"/>
        <w:rPr>
          <w:rFonts w:ascii="Palatino Linotype" w:eastAsia="Palatino Linotype" w:hAnsi="Palatino Linotype" w:cs="Palatino Linotype"/>
          <w:color w:val="000000" w:themeColor="text1"/>
        </w:rPr>
      </w:pPr>
      <w:bookmarkStart w:id="9" w:name="_heading=h.tyjcwt" w:colFirst="0" w:colLast="0"/>
      <w:bookmarkEnd w:id="9"/>
      <w:r w:rsidRPr="00BB4B02">
        <w:rPr>
          <w:rFonts w:ascii="Palatino Linotype" w:eastAsia="Palatino Linotype" w:hAnsi="Palatino Linotype" w:cs="Palatino Linotype"/>
          <w:color w:val="000000" w:themeColor="text1"/>
        </w:rPr>
        <w:t xml:space="preserve">Por lo anteriormente expuesto y fundado, este </w:t>
      </w:r>
      <w:r w:rsidRPr="00BB4B02">
        <w:rPr>
          <w:rFonts w:ascii="Palatino Linotype" w:eastAsia="Palatino Linotype" w:hAnsi="Palatino Linotype" w:cs="Palatino Linotype"/>
          <w:b/>
          <w:bCs/>
          <w:color w:val="000000" w:themeColor="text1"/>
        </w:rPr>
        <w:t>ÓRGANO GARANTE</w:t>
      </w:r>
      <w:r w:rsidRPr="00BB4B02">
        <w:rPr>
          <w:rFonts w:ascii="Palatino Linotype" w:eastAsia="Palatino Linotype" w:hAnsi="Palatino Linotype" w:cs="Palatino Linotype"/>
          <w:color w:val="000000" w:themeColor="text1"/>
        </w:rPr>
        <w:t xml:space="preserve"> emite los siguientes:</w:t>
      </w:r>
    </w:p>
    <w:p w:rsidR="00E71F64" w:rsidRPr="00BB4B02" w:rsidRDefault="00E71F64" w:rsidP="00E71F64">
      <w:pPr>
        <w:spacing w:line="360" w:lineRule="auto"/>
        <w:ind w:right="-2"/>
        <w:jc w:val="both"/>
        <w:rPr>
          <w:rFonts w:ascii="Palatino Linotype" w:eastAsia="Palatino Linotype" w:hAnsi="Palatino Linotype" w:cs="Palatino Linotype"/>
          <w:color w:val="000000" w:themeColor="text1"/>
        </w:rPr>
      </w:pPr>
    </w:p>
    <w:p w:rsidR="00565EFE" w:rsidRPr="00BB4B02" w:rsidRDefault="00EB48A6" w:rsidP="00BB4B02">
      <w:pPr>
        <w:keepNext/>
        <w:keepLines/>
        <w:spacing w:line="360" w:lineRule="auto"/>
        <w:ind w:right="-2"/>
        <w:jc w:val="center"/>
        <w:rPr>
          <w:rFonts w:ascii="Palatino Linotype" w:eastAsia="Palatino Linotype" w:hAnsi="Palatino Linotype" w:cs="Palatino Linotype"/>
          <w:b/>
          <w:bCs/>
          <w:color w:val="000000" w:themeColor="text1"/>
        </w:rPr>
      </w:pPr>
      <w:bookmarkStart w:id="10" w:name="_heading=h.3rdcrjn" w:colFirst="0" w:colLast="0"/>
      <w:bookmarkEnd w:id="10"/>
      <w:r w:rsidRPr="00BB4B02">
        <w:rPr>
          <w:rFonts w:ascii="Palatino Linotype" w:eastAsia="Palatino Linotype" w:hAnsi="Palatino Linotype" w:cs="Palatino Linotype"/>
          <w:b/>
          <w:bCs/>
          <w:color w:val="000000" w:themeColor="text1"/>
        </w:rPr>
        <w:t>R E S O L U T I V O S</w:t>
      </w:r>
    </w:p>
    <w:p w:rsidR="00565EFE" w:rsidRPr="00BB4B02" w:rsidRDefault="00565EFE" w:rsidP="00BB4B02">
      <w:pPr>
        <w:keepNext/>
        <w:keepLines/>
        <w:spacing w:line="360" w:lineRule="auto"/>
        <w:ind w:right="-2"/>
        <w:jc w:val="center"/>
        <w:rPr>
          <w:rFonts w:ascii="Palatino Linotype" w:eastAsia="Palatino Linotype" w:hAnsi="Palatino Linotype" w:cs="Palatino Linotype"/>
          <w:b/>
          <w:bCs/>
          <w:color w:val="000000" w:themeColor="text1"/>
        </w:rPr>
      </w:pPr>
    </w:p>
    <w:p w:rsidR="00565EFE" w:rsidRPr="00BB4B02" w:rsidRDefault="00EB48A6" w:rsidP="00BB4B02">
      <w:pPr>
        <w:spacing w:line="360" w:lineRule="auto"/>
        <w:ind w:right="-2"/>
        <w:jc w:val="both"/>
        <w:rPr>
          <w:rFonts w:ascii="Palatino Linotype" w:eastAsia="Palatino Linotype" w:hAnsi="Palatino Linotype" w:cs="Palatino Linotype"/>
          <w:b/>
          <w:bCs/>
          <w:color w:val="000000" w:themeColor="text1"/>
        </w:rPr>
      </w:pPr>
      <w:r w:rsidRPr="00BB4B02">
        <w:rPr>
          <w:rFonts w:ascii="Palatino Linotype" w:eastAsia="Palatino Linotype" w:hAnsi="Palatino Linotype" w:cs="Palatino Linotype"/>
          <w:b/>
          <w:bCs/>
          <w:color w:val="000000" w:themeColor="text1"/>
        </w:rPr>
        <w:t xml:space="preserve">PRIMERO. </w:t>
      </w:r>
      <w:r w:rsidRPr="00BB4B02">
        <w:rPr>
          <w:rFonts w:ascii="Palatino Linotype" w:eastAsia="Palatino Linotype" w:hAnsi="Palatino Linotype" w:cs="Palatino Linotype"/>
          <w:color w:val="000000" w:themeColor="text1"/>
        </w:rPr>
        <w:t>Resultan parcialmente fundadas las</w:t>
      </w:r>
      <w:r w:rsidRPr="00BB4B02">
        <w:rPr>
          <w:rFonts w:ascii="Palatino Linotype" w:eastAsia="Palatino Linotype" w:hAnsi="Palatino Linotype" w:cs="Palatino Linotype"/>
          <w:b/>
          <w:bCs/>
          <w:color w:val="000000" w:themeColor="text1"/>
        </w:rPr>
        <w:t xml:space="preserve"> </w:t>
      </w:r>
      <w:r w:rsidRPr="00BB4B02">
        <w:rPr>
          <w:rFonts w:ascii="Palatino Linotype" w:eastAsia="Palatino Linotype" w:hAnsi="Palatino Linotype" w:cs="Palatino Linotype"/>
          <w:color w:val="000000" w:themeColor="text1"/>
        </w:rPr>
        <w:t xml:space="preserve">razones o motivos de inconformidad hechos valer en el recurso de revisión </w:t>
      </w:r>
      <w:r w:rsidRPr="00BB4B02">
        <w:rPr>
          <w:rFonts w:ascii="Palatino Linotype" w:eastAsia="Palatino Linotype" w:hAnsi="Palatino Linotype" w:cs="Palatino Linotype"/>
          <w:b/>
          <w:bCs/>
          <w:color w:val="000000" w:themeColor="text1"/>
        </w:rPr>
        <w:t xml:space="preserve">06028/INFOEM/IP/RR/2025, </w:t>
      </w:r>
      <w:r w:rsidRPr="00BB4B02">
        <w:rPr>
          <w:rFonts w:ascii="Palatino Linotype" w:eastAsia="Palatino Linotype" w:hAnsi="Palatino Linotype" w:cs="Palatino Linotype"/>
          <w:color w:val="000000" w:themeColor="text1"/>
        </w:rPr>
        <w:t xml:space="preserve">en términos del </w:t>
      </w:r>
      <w:r w:rsidRPr="00BB4B02">
        <w:rPr>
          <w:rFonts w:ascii="Palatino Linotype" w:eastAsia="Palatino Linotype" w:hAnsi="Palatino Linotype" w:cs="Palatino Linotype"/>
          <w:b/>
          <w:bCs/>
          <w:color w:val="000000" w:themeColor="text1"/>
        </w:rPr>
        <w:t>Considerando</w:t>
      </w:r>
      <w:r w:rsidRPr="00BB4B02">
        <w:rPr>
          <w:rFonts w:ascii="Palatino Linotype" w:eastAsia="Palatino Linotype" w:hAnsi="Palatino Linotype" w:cs="Palatino Linotype"/>
          <w:color w:val="000000" w:themeColor="text1"/>
        </w:rPr>
        <w:t xml:space="preserve"> </w:t>
      </w:r>
      <w:r w:rsidRPr="00BB4B02">
        <w:rPr>
          <w:rFonts w:ascii="Palatino Linotype" w:eastAsia="Palatino Linotype" w:hAnsi="Palatino Linotype" w:cs="Palatino Linotype"/>
          <w:b/>
          <w:bCs/>
          <w:color w:val="000000" w:themeColor="text1"/>
        </w:rPr>
        <w:t xml:space="preserve">CUARTO </w:t>
      </w:r>
      <w:r w:rsidRPr="00BB4B02">
        <w:rPr>
          <w:rFonts w:ascii="Palatino Linotype" w:eastAsia="Palatino Linotype" w:hAnsi="Palatino Linotype" w:cs="Palatino Linotype"/>
          <w:color w:val="000000" w:themeColor="text1"/>
        </w:rPr>
        <w:t>de la presente resolución.</w:t>
      </w:r>
    </w:p>
    <w:p w:rsidR="00565EFE" w:rsidRPr="00BB4B02" w:rsidRDefault="00565EFE" w:rsidP="00BB4B02">
      <w:pPr>
        <w:spacing w:line="360" w:lineRule="auto"/>
        <w:ind w:right="-2"/>
        <w:jc w:val="both"/>
        <w:rPr>
          <w:rFonts w:ascii="Palatino Linotype" w:eastAsia="Palatino Linotype" w:hAnsi="Palatino Linotype" w:cs="Palatino Linotype"/>
          <w:color w:val="000000" w:themeColor="text1"/>
        </w:rPr>
      </w:pPr>
    </w:p>
    <w:p w:rsidR="00565EFE" w:rsidRPr="00BB4B02" w:rsidRDefault="00EB48A6" w:rsidP="00BB4B02">
      <w:pPr>
        <w:spacing w:line="360" w:lineRule="auto"/>
        <w:ind w:right="-2"/>
        <w:jc w:val="both"/>
        <w:rPr>
          <w:rFonts w:ascii="Palatino Linotype" w:eastAsia="Palatino Linotype" w:hAnsi="Palatino Linotype" w:cs="Palatino Linotype"/>
          <w:color w:val="000000" w:themeColor="text1"/>
        </w:rPr>
      </w:pPr>
      <w:bookmarkStart w:id="11" w:name="_heading=h.26in1rg" w:colFirst="0" w:colLast="0"/>
      <w:bookmarkEnd w:id="11"/>
      <w:r w:rsidRPr="00BB4B02">
        <w:rPr>
          <w:rFonts w:ascii="Palatino Linotype" w:eastAsia="Palatino Linotype" w:hAnsi="Palatino Linotype" w:cs="Palatino Linotype"/>
          <w:b/>
          <w:bCs/>
          <w:color w:val="000000" w:themeColor="text1"/>
        </w:rPr>
        <w:lastRenderedPageBreak/>
        <w:t>SEGUNDO.</w:t>
      </w:r>
      <w:r w:rsidRPr="00BB4B02">
        <w:rPr>
          <w:rFonts w:ascii="Palatino Linotype" w:eastAsia="Palatino Linotype" w:hAnsi="Palatino Linotype" w:cs="Palatino Linotype"/>
          <w:color w:val="000000" w:themeColor="text1"/>
        </w:rPr>
        <w:t xml:space="preserve"> Se</w:t>
      </w:r>
      <w:r w:rsidRPr="00BB4B02">
        <w:rPr>
          <w:rFonts w:ascii="Palatino Linotype" w:eastAsia="Palatino Linotype" w:hAnsi="Palatino Linotype" w:cs="Palatino Linotype"/>
          <w:b/>
          <w:bCs/>
          <w:color w:val="000000" w:themeColor="text1"/>
        </w:rPr>
        <w:t xml:space="preserve"> MODIFICA </w:t>
      </w:r>
      <w:r w:rsidRPr="00BB4B02">
        <w:rPr>
          <w:rFonts w:ascii="Palatino Linotype" w:eastAsia="Palatino Linotype" w:hAnsi="Palatino Linotype" w:cs="Palatino Linotype"/>
          <w:color w:val="000000" w:themeColor="text1"/>
        </w:rPr>
        <w:t xml:space="preserve">la respuesta emitida por el </w:t>
      </w:r>
      <w:r w:rsidRPr="00BB4B02">
        <w:rPr>
          <w:rFonts w:ascii="Palatino Linotype" w:eastAsia="Palatino Linotype" w:hAnsi="Palatino Linotype" w:cs="Palatino Linotype"/>
          <w:b/>
          <w:bCs/>
          <w:color w:val="000000" w:themeColor="text1"/>
        </w:rPr>
        <w:t xml:space="preserve">Organismo Público Descentralizado de Agua Potable Alcantarillado y Saneamiento de Chimalhuacán </w:t>
      </w:r>
      <w:r w:rsidRPr="00BB4B02">
        <w:rPr>
          <w:rFonts w:ascii="Palatino Linotype" w:eastAsia="Palatino Linotype" w:hAnsi="Palatino Linotype" w:cs="Palatino Linotype"/>
          <w:color w:val="000000" w:themeColor="text1"/>
        </w:rPr>
        <w:t>y se</w:t>
      </w:r>
      <w:r w:rsidRPr="00BB4B02">
        <w:rPr>
          <w:rFonts w:ascii="Palatino Linotype" w:eastAsia="Palatino Linotype" w:hAnsi="Palatino Linotype" w:cs="Palatino Linotype"/>
          <w:b/>
          <w:bCs/>
          <w:color w:val="000000" w:themeColor="text1"/>
        </w:rPr>
        <w:t xml:space="preserve"> ORDENA </w:t>
      </w:r>
      <w:r w:rsidRPr="00BB4B02">
        <w:rPr>
          <w:rFonts w:ascii="Palatino Linotype" w:eastAsia="Palatino Linotype" w:hAnsi="Palatino Linotype" w:cs="Palatino Linotype"/>
          <w:color w:val="000000" w:themeColor="text1"/>
        </w:rPr>
        <w:t>entregar vía Sistema de Accesos a la Información Mexiquense (SAIMEX</w:t>
      </w:r>
      <w:r w:rsidRPr="00BB4B02">
        <w:rPr>
          <w:rFonts w:ascii="Palatino Linotype" w:eastAsia="Palatino Linotype" w:hAnsi="Palatino Linotype" w:cs="Palatino Linotype"/>
          <w:i/>
          <w:iCs/>
          <w:color w:val="000000" w:themeColor="text1"/>
        </w:rPr>
        <w:t xml:space="preserve">), </w:t>
      </w:r>
      <w:r w:rsidRPr="00BB4B02">
        <w:rPr>
          <w:rFonts w:ascii="Palatino Linotype" w:eastAsia="Palatino Linotype" w:hAnsi="Palatino Linotype" w:cs="Palatino Linotype"/>
          <w:color w:val="000000" w:themeColor="text1"/>
        </w:rPr>
        <w:t>la siguiente información:</w:t>
      </w:r>
    </w:p>
    <w:p w:rsidR="00565EFE" w:rsidRPr="00BB4B02" w:rsidRDefault="00565EFE" w:rsidP="00BB4B02">
      <w:pPr>
        <w:spacing w:line="360" w:lineRule="auto"/>
        <w:ind w:right="-2"/>
        <w:jc w:val="both"/>
        <w:rPr>
          <w:rFonts w:ascii="Palatino Linotype" w:eastAsia="Palatino Linotype" w:hAnsi="Palatino Linotype" w:cs="Palatino Linotype"/>
          <w:color w:val="000000" w:themeColor="text1"/>
        </w:rPr>
      </w:pPr>
    </w:p>
    <w:p w:rsidR="00565EFE" w:rsidRPr="00BB4B02" w:rsidRDefault="00EB48A6" w:rsidP="00E71F64">
      <w:pPr>
        <w:numPr>
          <w:ilvl w:val="0"/>
          <w:numId w:val="6"/>
        </w:numPr>
        <w:pBdr>
          <w:top w:val="nil"/>
          <w:left w:val="nil"/>
          <w:bottom w:val="nil"/>
          <w:right w:val="nil"/>
          <w:between w:val="nil"/>
        </w:pBdr>
        <w:spacing w:line="276" w:lineRule="auto"/>
        <w:ind w:left="0" w:right="-2" w:firstLine="0"/>
        <w:jc w:val="both"/>
        <w:rPr>
          <w:rFonts w:ascii="Palatino Linotype" w:eastAsia="Palatino Linotype" w:hAnsi="Palatino Linotype" w:cs="Palatino Linotype"/>
          <w:b/>
          <w:bCs/>
          <w:color w:val="000000" w:themeColor="text1"/>
        </w:rPr>
      </w:pPr>
      <w:r w:rsidRPr="00BB4B02">
        <w:rPr>
          <w:rFonts w:ascii="Palatino Linotype" w:eastAsia="Palatino Linotype" w:hAnsi="Palatino Linotype" w:cs="Palatino Linotype"/>
          <w:b/>
          <w:bCs/>
          <w:color w:val="000000" w:themeColor="text1"/>
        </w:rPr>
        <w:t>Acuerdo de Reserva por el que se aprobó la clasificación de la reserva de información remitido en respuesta, de manera completa.</w:t>
      </w:r>
    </w:p>
    <w:p w:rsidR="00565EFE" w:rsidRPr="00BB4B02" w:rsidRDefault="00565EFE" w:rsidP="00BB4B02">
      <w:pPr>
        <w:spacing w:line="360" w:lineRule="auto"/>
        <w:ind w:right="-2"/>
        <w:jc w:val="both"/>
        <w:rPr>
          <w:rFonts w:ascii="Palatino Linotype" w:eastAsia="Palatino Linotype" w:hAnsi="Palatino Linotype" w:cs="Palatino Linotype"/>
          <w:color w:val="000000" w:themeColor="text1"/>
        </w:rPr>
      </w:pPr>
    </w:p>
    <w:p w:rsidR="00565EFE" w:rsidRPr="00BB4B02" w:rsidRDefault="00EB48A6" w:rsidP="00BB4B02">
      <w:pPr>
        <w:pBdr>
          <w:top w:val="nil"/>
          <w:left w:val="nil"/>
          <w:bottom w:val="nil"/>
          <w:right w:val="nil"/>
          <w:between w:val="nil"/>
        </w:pBdr>
        <w:spacing w:after="160" w:line="360" w:lineRule="auto"/>
        <w:ind w:right="-2"/>
        <w:jc w:val="both"/>
        <w:rPr>
          <w:rFonts w:ascii="Palatino Linotype" w:eastAsia="Palatino Linotype" w:hAnsi="Palatino Linotype" w:cs="Palatino Linotype"/>
          <w:b/>
          <w:bCs/>
          <w:color w:val="000000" w:themeColor="text1"/>
        </w:rPr>
      </w:pPr>
      <w:r w:rsidRPr="00BB4B02">
        <w:rPr>
          <w:rFonts w:ascii="Palatino Linotype" w:eastAsia="Palatino Linotype" w:hAnsi="Palatino Linotype" w:cs="Palatino Linotype"/>
          <w:b/>
          <w:bCs/>
          <w:color w:val="000000" w:themeColor="text1"/>
        </w:rPr>
        <w:t>TERCERO. NOTIFÍQUESE</w:t>
      </w:r>
      <w:r w:rsidRPr="00BB4B02">
        <w:rPr>
          <w:rFonts w:ascii="Palatino Linotype" w:eastAsia="Palatino Linotype" w:hAnsi="Palatino Linotype" w:cs="Palatino Linotype"/>
          <w:color w:val="000000" w:themeColor="text1"/>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BB4B02">
        <w:rPr>
          <w:rFonts w:ascii="Palatino Linotype" w:eastAsia="Palatino Linotype" w:hAnsi="Palatino Linotype" w:cs="Palatino Linotype"/>
          <w:b/>
          <w:bCs/>
          <w:color w:val="000000" w:themeColor="text1"/>
        </w:rPr>
        <w:t>dé cumplimiento a lo ordenado dentro del plazo de diez días hábiles</w:t>
      </w:r>
      <w:r w:rsidRPr="00BB4B02">
        <w:rPr>
          <w:rFonts w:ascii="Palatino Linotype" w:eastAsia="Palatino Linotype" w:hAnsi="Palatino Linotype" w:cs="Palatino Linotype"/>
          <w:color w:val="000000" w:themeColor="text1"/>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565EFE" w:rsidRPr="00BB4B02" w:rsidRDefault="00565EFE" w:rsidP="00BB4B02">
      <w:pPr>
        <w:pBdr>
          <w:top w:val="nil"/>
          <w:left w:val="nil"/>
          <w:bottom w:val="nil"/>
          <w:right w:val="nil"/>
          <w:between w:val="nil"/>
        </w:pBdr>
        <w:tabs>
          <w:tab w:val="left" w:pos="284"/>
          <w:tab w:val="left" w:pos="8080"/>
        </w:tabs>
        <w:spacing w:line="360" w:lineRule="auto"/>
        <w:ind w:right="-2"/>
        <w:jc w:val="both"/>
        <w:rPr>
          <w:rFonts w:ascii="Palatino Linotype" w:eastAsia="Palatino Linotype" w:hAnsi="Palatino Linotype" w:cs="Palatino Linotype"/>
          <w:color w:val="000000" w:themeColor="text1"/>
        </w:rPr>
      </w:pPr>
    </w:p>
    <w:p w:rsidR="00565EFE" w:rsidRPr="00BB4B02" w:rsidRDefault="00EB48A6" w:rsidP="00BB4B02">
      <w:pPr>
        <w:shd w:val="clear" w:color="auto" w:fill="FFFFFF"/>
        <w:tabs>
          <w:tab w:val="left" w:pos="284"/>
        </w:tabs>
        <w:spacing w:line="360" w:lineRule="auto"/>
        <w:ind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b/>
          <w:bCs/>
          <w:color w:val="000000" w:themeColor="text1"/>
        </w:rPr>
        <w:t xml:space="preserve">CUARTO. Notifíquese </w:t>
      </w:r>
      <w:r w:rsidRPr="00BB4B02">
        <w:rPr>
          <w:rFonts w:ascii="Palatino Linotype" w:eastAsia="Palatino Linotype" w:hAnsi="Palatino Linotype" w:cs="Palatino Linotype"/>
          <w:color w:val="000000" w:themeColor="text1"/>
        </w:rPr>
        <w:t xml:space="preserve">al </w:t>
      </w:r>
      <w:r w:rsidRPr="00BB4B02">
        <w:rPr>
          <w:rFonts w:ascii="Palatino Linotype" w:eastAsia="Palatino Linotype" w:hAnsi="Palatino Linotype" w:cs="Palatino Linotype"/>
          <w:b/>
          <w:bCs/>
          <w:color w:val="000000" w:themeColor="text1"/>
        </w:rPr>
        <w:t xml:space="preserve">RECURRENTE </w:t>
      </w:r>
      <w:r w:rsidRPr="00BB4B02">
        <w:rPr>
          <w:rFonts w:ascii="Palatino Linotype" w:eastAsia="Palatino Linotype" w:hAnsi="Palatino Linotype" w:cs="Palatino Linotype"/>
          <w:color w:val="000000" w:themeColor="text1"/>
        </w:rPr>
        <w:t xml:space="preserve">la presente resolución a través del Sistema de Acceso a la Información Mexiquense (SAIMEX). </w:t>
      </w:r>
    </w:p>
    <w:p w:rsidR="00565EFE" w:rsidRPr="00BB4B02" w:rsidRDefault="00565EFE" w:rsidP="00BB4B02">
      <w:pPr>
        <w:pBdr>
          <w:top w:val="nil"/>
          <w:left w:val="nil"/>
          <w:bottom w:val="nil"/>
          <w:right w:val="nil"/>
          <w:between w:val="nil"/>
        </w:pBdr>
        <w:shd w:val="clear" w:color="auto" w:fill="FFFFFF"/>
        <w:tabs>
          <w:tab w:val="left" w:pos="284"/>
        </w:tabs>
        <w:spacing w:line="360" w:lineRule="auto"/>
        <w:ind w:right="-2"/>
        <w:jc w:val="both"/>
        <w:rPr>
          <w:rFonts w:ascii="Palatino Linotype" w:eastAsia="Palatino Linotype" w:hAnsi="Palatino Linotype" w:cs="Palatino Linotype"/>
          <w:color w:val="000000" w:themeColor="text1"/>
        </w:rPr>
      </w:pPr>
    </w:p>
    <w:p w:rsidR="00565EFE" w:rsidRPr="00BB4B02" w:rsidRDefault="00EB48A6" w:rsidP="00BB4B02">
      <w:pPr>
        <w:spacing w:line="360" w:lineRule="auto"/>
        <w:ind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b/>
          <w:bCs/>
          <w:color w:val="000000" w:themeColor="text1"/>
        </w:rPr>
        <w:t xml:space="preserve">QUINTO. </w:t>
      </w:r>
      <w:r w:rsidRPr="00BB4B02">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el </w:t>
      </w:r>
      <w:r w:rsidRPr="00BB4B02">
        <w:rPr>
          <w:rFonts w:ascii="Palatino Linotype" w:eastAsia="Palatino Linotype" w:hAnsi="Palatino Linotype" w:cs="Palatino Linotype"/>
          <w:color w:val="000000" w:themeColor="text1"/>
        </w:rPr>
        <w:lastRenderedPageBreak/>
        <w:t>Sujeto Obligado de manera fundada y motivada, podrá solicitar una ampliación de plazo para el cumplimiento de la presente resolución.</w:t>
      </w:r>
    </w:p>
    <w:p w:rsidR="00565EFE" w:rsidRPr="00BB4B02" w:rsidRDefault="00EB48A6" w:rsidP="00BB4B02">
      <w:pPr>
        <w:shd w:val="clear" w:color="auto" w:fill="FFFFFF"/>
        <w:spacing w:before="240" w:after="360" w:line="360" w:lineRule="auto"/>
        <w:ind w:right="-2"/>
        <w:jc w:val="both"/>
        <w:rPr>
          <w:rFonts w:ascii="Palatino Linotype" w:eastAsia="Palatino Linotype" w:hAnsi="Palatino Linotype" w:cs="Palatino Linotype"/>
          <w:color w:val="000000" w:themeColor="text1"/>
        </w:rPr>
      </w:pPr>
      <w:r w:rsidRPr="00BB4B02">
        <w:rPr>
          <w:rFonts w:ascii="Palatino Linotype" w:eastAsia="Palatino Linotype" w:hAnsi="Palatino Linotype" w:cs="Palatino Linotype"/>
          <w:b/>
          <w:bCs/>
          <w:color w:val="000000" w:themeColor="text1"/>
        </w:rPr>
        <w:t>SEXTO.</w:t>
      </w:r>
      <w:r w:rsidRPr="00BB4B02">
        <w:rPr>
          <w:rFonts w:ascii="Palatino Linotype" w:eastAsia="Palatino Linotype" w:hAnsi="Palatino Linotype" w:cs="Palatino Linotype"/>
          <w:color w:val="000000" w:themeColor="text1"/>
        </w:rPr>
        <w:t xml:space="preserve"> Se hace del conocimiento del RECURRENTE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BB4B02" w:rsidRDefault="00BB4B02" w:rsidP="00BB4B02">
      <w:pPr>
        <w:tabs>
          <w:tab w:val="left" w:pos="5387"/>
        </w:tabs>
        <w:spacing w:line="360" w:lineRule="auto"/>
        <w:ind w:right="49"/>
        <w:jc w:val="both"/>
        <w:rPr>
          <w:rFonts w:ascii="Palatino Linotype" w:eastAsia="Palatino Linotype" w:hAnsi="Palatino Linotype" w:cs="Palatino Linotype"/>
        </w:rPr>
      </w:pPr>
      <w:bookmarkStart w:id="12" w:name="_heading=h.208k9nv06m61" w:colFirst="0" w:colLast="0"/>
      <w:bookmarkEnd w:id="12"/>
      <w:r w:rsidRPr="00575AE2">
        <w:rPr>
          <w:rFonts w:ascii="Palatino Linotype" w:eastAsia="Palatino Linotype" w:hAnsi="Palatino Linotype" w:cs="Palatino Linotype"/>
        </w:rPr>
        <w:t xml:space="preserve">ASÍ LO RESUELVE, POR </w:t>
      </w:r>
      <w:r w:rsidR="00FE3D5E">
        <w:rPr>
          <w:rFonts w:ascii="Palatino Linotype" w:eastAsia="Palatino Linotype" w:hAnsi="Palatino Linotype" w:cs="Palatino Linotype"/>
        </w:rPr>
        <w:t>MAYORÍA</w:t>
      </w:r>
      <w:r w:rsidRPr="00575AE2">
        <w:rPr>
          <w:rFonts w:ascii="Palatino Linotype" w:eastAsia="Palatino Linotype" w:hAnsi="Palatino Linotype" w:cs="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FE3D5E">
        <w:rPr>
          <w:rFonts w:ascii="Palatino Linotype" w:eastAsia="Palatino Linotype" w:hAnsi="Palatino Linotype" w:cs="Palatino Linotype"/>
        </w:rPr>
        <w:t xml:space="preserve">EMITIENDO VOTO DISIDENTE </w:t>
      </w:r>
      <w:r w:rsidRPr="00575AE2">
        <w:rPr>
          <w:rFonts w:ascii="Palatino Linotype" w:eastAsia="Palatino Linotype" w:hAnsi="Palatino Linotype" w:cs="Palatino Linotype"/>
        </w:rPr>
        <w:t xml:space="preserve">Y GUADALUPE RAMÍREZ PEÑA; EN LA </w:t>
      </w:r>
      <w:r>
        <w:rPr>
          <w:rFonts w:ascii="Palatino Linotype" w:eastAsia="Palatino Linotype" w:hAnsi="Palatino Linotype" w:cs="Palatino Linotype"/>
        </w:rPr>
        <w:t xml:space="preserve">CUADRAGÉSIMA CUARTA </w:t>
      </w:r>
      <w:r w:rsidRPr="00575AE2">
        <w:rPr>
          <w:rFonts w:ascii="Palatino Linotype" w:eastAsia="Palatino Linotype" w:hAnsi="Palatino Linotype" w:cs="Palatino Linotype"/>
        </w:rPr>
        <w:t>SESIÓN ORDINARIA, CELEBRADA EL</w:t>
      </w:r>
      <w:r>
        <w:rPr>
          <w:rFonts w:ascii="Palatino Linotype" w:eastAsia="Palatino Linotype" w:hAnsi="Palatino Linotype" w:cs="Palatino Linotype"/>
        </w:rPr>
        <w:t xml:space="preserve"> DIEZ (10)</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DICIEMBRE D</w:t>
      </w:r>
      <w:r w:rsidRPr="00575AE2">
        <w:rPr>
          <w:rFonts w:ascii="Palatino Linotype" w:eastAsia="Palatino Linotype" w:hAnsi="Palatino Linotype" w:cs="Palatino Linotype"/>
        </w:rPr>
        <w:t>E DOS MIL VEINTICINCO, ANTE EL SECRETARIO TÉCNICO DEL PLENO ALEXIS TAPIA RAMÍREZ.</w:t>
      </w:r>
    </w:p>
    <w:p w:rsidR="00E71F64" w:rsidRDefault="00E71F64" w:rsidP="00BB4B02">
      <w:pPr>
        <w:tabs>
          <w:tab w:val="left" w:pos="5387"/>
        </w:tabs>
        <w:spacing w:line="360" w:lineRule="auto"/>
        <w:ind w:right="49"/>
        <w:jc w:val="both"/>
        <w:rPr>
          <w:rFonts w:ascii="Palatino Linotype" w:eastAsia="Palatino Linotype" w:hAnsi="Palatino Linotype" w:cs="Palatino Linotype"/>
        </w:rPr>
      </w:pPr>
    </w:p>
    <w:p w:rsidR="00E71F64" w:rsidRDefault="00E71F64" w:rsidP="00BB4B02">
      <w:pPr>
        <w:tabs>
          <w:tab w:val="left" w:pos="5387"/>
        </w:tabs>
        <w:spacing w:line="360" w:lineRule="auto"/>
        <w:ind w:right="49"/>
        <w:jc w:val="both"/>
        <w:rPr>
          <w:rFonts w:ascii="Palatino Linotype" w:eastAsia="Palatino Linotype" w:hAnsi="Palatino Linotype" w:cs="Palatino Linotype"/>
        </w:rPr>
      </w:pPr>
    </w:p>
    <w:p w:rsidR="00E71F64" w:rsidRDefault="00E71F64" w:rsidP="00BB4B02">
      <w:pPr>
        <w:tabs>
          <w:tab w:val="left" w:pos="5387"/>
        </w:tabs>
        <w:spacing w:line="360" w:lineRule="auto"/>
        <w:ind w:right="49"/>
        <w:jc w:val="both"/>
        <w:rPr>
          <w:rFonts w:ascii="Palatino Linotype" w:eastAsia="Palatino Linotype" w:hAnsi="Palatino Linotype" w:cs="Palatino Linotype"/>
        </w:rPr>
      </w:pPr>
    </w:p>
    <w:p w:rsidR="00E71F64" w:rsidRDefault="00E71F64" w:rsidP="00BB4B02">
      <w:pPr>
        <w:tabs>
          <w:tab w:val="left" w:pos="5387"/>
        </w:tabs>
        <w:spacing w:line="360" w:lineRule="auto"/>
        <w:ind w:right="49"/>
        <w:jc w:val="both"/>
        <w:rPr>
          <w:rFonts w:ascii="Palatino Linotype" w:eastAsia="Palatino Linotype" w:hAnsi="Palatino Linotype" w:cs="Palatino Linotype"/>
        </w:rPr>
      </w:pPr>
    </w:p>
    <w:p w:rsidR="00E71F64" w:rsidRDefault="00E71F64" w:rsidP="00BB4B02">
      <w:pPr>
        <w:tabs>
          <w:tab w:val="left" w:pos="5387"/>
        </w:tabs>
        <w:spacing w:line="360" w:lineRule="auto"/>
        <w:ind w:right="49"/>
        <w:jc w:val="both"/>
        <w:rPr>
          <w:rFonts w:ascii="Palatino Linotype" w:eastAsia="Palatino Linotype" w:hAnsi="Palatino Linotype" w:cs="Palatino Linotype"/>
        </w:rPr>
      </w:pPr>
    </w:p>
    <w:p w:rsidR="00E71F64" w:rsidRDefault="00E71F64" w:rsidP="00BB4B02">
      <w:pPr>
        <w:tabs>
          <w:tab w:val="left" w:pos="5387"/>
        </w:tabs>
        <w:spacing w:line="360" w:lineRule="auto"/>
        <w:ind w:right="49"/>
        <w:jc w:val="both"/>
        <w:rPr>
          <w:rFonts w:ascii="Palatino Linotype" w:eastAsia="Palatino Linotype" w:hAnsi="Palatino Linotype" w:cs="Palatino Linotype"/>
        </w:rPr>
      </w:pPr>
    </w:p>
    <w:p w:rsidR="00E71F64" w:rsidRDefault="00E71F64" w:rsidP="00BB4B02">
      <w:pPr>
        <w:tabs>
          <w:tab w:val="left" w:pos="5387"/>
        </w:tabs>
        <w:spacing w:line="360" w:lineRule="auto"/>
        <w:ind w:right="49"/>
        <w:jc w:val="both"/>
        <w:rPr>
          <w:rFonts w:ascii="Palatino Linotype" w:eastAsia="Palatino Linotype" w:hAnsi="Palatino Linotype" w:cs="Palatino Linotype"/>
        </w:rPr>
      </w:pPr>
    </w:p>
    <w:p w:rsidR="00E71F64" w:rsidRDefault="00E71F64" w:rsidP="00BB4B02">
      <w:pPr>
        <w:tabs>
          <w:tab w:val="left" w:pos="5387"/>
        </w:tabs>
        <w:spacing w:line="360" w:lineRule="auto"/>
        <w:ind w:right="49"/>
        <w:jc w:val="both"/>
        <w:rPr>
          <w:rFonts w:ascii="Palatino Linotype" w:eastAsia="Palatino Linotype" w:hAnsi="Palatino Linotype" w:cs="Palatino Linotype"/>
        </w:rPr>
      </w:pPr>
    </w:p>
    <w:p w:rsidR="00E71F64" w:rsidRPr="00444783" w:rsidRDefault="00E71F64" w:rsidP="00BB4B02">
      <w:pPr>
        <w:tabs>
          <w:tab w:val="left" w:pos="5387"/>
        </w:tabs>
        <w:spacing w:line="360" w:lineRule="auto"/>
        <w:ind w:right="49"/>
        <w:jc w:val="both"/>
        <w:rPr>
          <w:rFonts w:ascii="Palatino Linotype" w:eastAsia="Palatino Linotype" w:hAnsi="Palatino Linotype" w:cs="Palatino Linotype"/>
        </w:rPr>
      </w:pPr>
    </w:p>
    <w:p w:rsidR="00565EFE" w:rsidRDefault="00565EFE" w:rsidP="00BB4B02">
      <w:pPr>
        <w:keepNext/>
        <w:keepLines/>
        <w:spacing w:line="360" w:lineRule="auto"/>
        <w:ind w:right="-2"/>
        <w:rPr>
          <w:rFonts w:ascii="Palatino Linotype" w:eastAsia="Palatino Linotype" w:hAnsi="Palatino Linotype" w:cs="Palatino Linotype"/>
          <w:color w:val="000000" w:themeColor="text1"/>
        </w:rPr>
      </w:pPr>
    </w:p>
    <w:p w:rsidR="00BB4B02" w:rsidRDefault="00BB4B02" w:rsidP="00BB4B02">
      <w:pPr>
        <w:keepNext/>
        <w:keepLines/>
        <w:spacing w:line="360" w:lineRule="auto"/>
        <w:ind w:right="-2"/>
        <w:rPr>
          <w:rFonts w:ascii="Palatino Linotype" w:eastAsia="Palatino Linotype" w:hAnsi="Palatino Linotype" w:cs="Palatino Linotype"/>
          <w:color w:val="000000" w:themeColor="text1"/>
        </w:rPr>
      </w:pPr>
    </w:p>
    <w:p w:rsidR="00BB4B02" w:rsidRPr="00BB4B02" w:rsidRDefault="00BB4B02" w:rsidP="00BB4B02">
      <w:pPr>
        <w:keepNext/>
        <w:keepLines/>
        <w:spacing w:line="360" w:lineRule="auto"/>
        <w:ind w:right="-2"/>
        <w:rPr>
          <w:rFonts w:ascii="Palatino Linotype" w:eastAsia="Palatino Linotype" w:hAnsi="Palatino Linotype" w:cs="Palatino Linotype"/>
          <w:color w:val="000000" w:themeColor="text1"/>
        </w:rPr>
      </w:pPr>
    </w:p>
    <w:sectPr w:rsidR="00BB4B02" w:rsidRPr="00BB4B02" w:rsidSect="00E71F64">
      <w:headerReference w:type="default" r:id="rId18"/>
      <w:footerReference w:type="default" r:id="rId19"/>
      <w:headerReference w:type="first" r:id="rId20"/>
      <w:footerReference w:type="first" r:id="rId21"/>
      <w:pgSz w:w="12240" w:h="15840"/>
      <w:pgMar w:top="491" w:right="758"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135A" w:rsidRDefault="00A5135A">
      <w:r>
        <w:separator/>
      </w:r>
    </w:p>
  </w:endnote>
  <w:endnote w:type="continuationSeparator" w:id="0">
    <w:p w:rsidR="00A5135A" w:rsidRDefault="00A513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4FEDE769-226E-403D-927C-44569D5082BE}"/>
    <w:embedBold r:id="rId2" w:fontKey="{945BCF83-2B8B-442B-B5BD-91C5FC1CA69A}"/>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3" w:fontKey="{C3CC9213-DBBE-4320-BE18-A5D3E1AD09CD}"/>
    <w:embedBold r:id="rId4" w:fontKey="{60E8FE89-E5C9-4C54-8D6D-1F67AE167645}"/>
    <w:embedItalic r:id="rId5" w:fontKey="{EA091E87-8D5D-4FAF-8188-1C470C8D96AB}"/>
    <w:embedBoldItalic r:id="rId6" w:fontKey="{D86C7E4F-824A-4EE0-884C-939CE05AD244}"/>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6FE786A6-44B2-4747-B598-64E76C8E4954}"/>
    <w:embedBold r:id="rId8" w:fontKey="{23CC17F9-5901-428D-BED9-54ED4F258D9D}"/>
  </w:font>
  <w:font w:name="Calibri">
    <w:panose1 w:val="020F0502020204030204"/>
    <w:charset w:val="00"/>
    <w:family w:val="swiss"/>
    <w:pitch w:val="variable"/>
    <w:sig w:usb0="E4002EFF" w:usb1="C200247B" w:usb2="00000009" w:usb3="00000000" w:csb0="000001FF" w:csb1="00000000"/>
    <w:embedRegular r:id="rId9" w:fontKey="{D133A2F4-5E9A-4734-82D3-2AA085483F7B}"/>
    <w:embedItalic r:id="rId10" w:fontKey="{945E01B3-AAE9-4012-A78A-3A70490264DF}"/>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1" w:fontKey="{0004E805-586E-4340-A724-8D8F3B2F4B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EFE" w:rsidRDefault="00EB48A6">
    <w:pPr>
      <w:pBdr>
        <w:top w:val="nil"/>
        <w:left w:val="nil"/>
        <w:bottom w:val="nil"/>
        <w:right w:val="nil"/>
        <w:between w:val="nil"/>
      </w:pBdr>
      <w:tabs>
        <w:tab w:val="center" w:pos="4252"/>
        <w:tab w:val="right" w:pos="8504"/>
      </w:tabs>
      <w:jc w:val="right"/>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PAGE</w:instrText>
    </w:r>
    <w:r>
      <w:rPr>
        <w:rFonts w:ascii="Palatino Linotype" w:eastAsia="Palatino Linotype" w:hAnsi="Palatino Linotype" w:cs="Palatino Linotype"/>
        <w:b/>
        <w:bCs/>
        <w:color w:val="000000"/>
        <w:sz w:val="22"/>
        <w:szCs w:val="22"/>
      </w:rPr>
      <w:fldChar w:fldCharType="separate"/>
    </w:r>
    <w:r w:rsidR="000F70C5">
      <w:rPr>
        <w:rFonts w:ascii="Palatino Linotype" w:eastAsia="Palatino Linotype" w:hAnsi="Palatino Linotype" w:cs="Palatino Linotype"/>
        <w:b/>
        <w:bCs/>
        <w:noProof/>
        <w:color w:val="000000"/>
        <w:sz w:val="22"/>
        <w:szCs w:val="22"/>
      </w:rPr>
      <w:t>21</w:t>
    </w:r>
    <w:r>
      <w:rPr>
        <w:rFonts w:ascii="Palatino Linotype" w:eastAsia="Palatino Linotype" w:hAnsi="Palatino Linotype" w:cs="Palatino Linotype"/>
        <w:b/>
        <w:bCs/>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Pr>
        <w:rFonts w:ascii="Palatino Linotype" w:eastAsia="Palatino Linotype" w:hAnsi="Palatino Linotype" w:cs="Palatino Linotype"/>
        <w:b/>
        <w:bCs/>
        <w:color w:val="000000"/>
        <w:sz w:val="22"/>
        <w:szCs w:val="22"/>
      </w:rPr>
      <w:fldChar w:fldCharType="separate"/>
    </w:r>
    <w:r w:rsidR="000F70C5">
      <w:rPr>
        <w:rFonts w:ascii="Palatino Linotype" w:eastAsia="Palatino Linotype" w:hAnsi="Palatino Linotype" w:cs="Palatino Linotype"/>
        <w:b/>
        <w:bCs/>
        <w:noProof/>
        <w:color w:val="000000"/>
        <w:sz w:val="22"/>
        <w:szCs w:val="22"/>
      </w:rPr>
      <w:t>32</w:t>
    </w:r>
    <w:r>
      <w:rPr>
        <w:rFonts w:ascii="Palatino Linotype" w:eastAsia="Palatino Linotype" w:hAnsi="Palatino Linotype" w:cs="Palatino Linotype"/>
        <w:b/>
        <w:bCs/>
        <w:color w:val="000000"/>
        <w:sz w:val="22"/>
        <w:szCs w:val="22"/>
      </w:rPr>
      <w:fldChar w:fldCharType="end"/>
    </w:r>
  </w:p>
  <w:p w:rsidR="00565EFE" w:rsidRDefault="00565EFE">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8"/>
        <w:szCs w:val="28"/>
      </w:rPr>
    </w:pPr>
  </w:p>
  <w:p w:rsidR="00565EFE" w:rsidRDefault="00565EF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EFE" w:rsidRDefault="00EB48A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0F70C5">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0F70C5">
      <w:rPr>
        <w:rFonts w:ascii="Palatino Linotype" w:eastAsia="Palatino Linotype" w:hAnsi="Palatino Linotype" w:cs="Palatino Linotype"/>
        <w:noProof/>
        <w:color w:val="000000"/>
        <w:sz w:val="22"/>
        <w:szCs w:val="22"/>
      </w:rPr>
      <w:t>32</w:t>
    </w:r>
    <w:r>
      <w:rPr>
        <w:rFonts w:ascii="Palatino Linotype" w:eastAsia="Palatino Linotype" w:hAnsi="Palatino Linotype" w:cs="Palatino Linotype"/>
        <w:color w:val="000000"/>
        <w:sz w:val="22"/>
        <w:szCs w:val="22"/>
      </w:rPr>
      <w:fldChar w:fldCharType="end"/>
    </w:r>
  </w:p>
  <w:p w:rsidR="00565EFE" w:rsidRDefault="00565EFE">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p>
  <w:p w:rsidR="00565EFE" w:rsidRDefault="00565EF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135A" w:rsidRDefault="00A5135A">
      <w:r>
        <w:separator/>
      </w:r>
    </w:p>
  </w:footnote>
  <w:footnote w:type="continuationSeparator" w:id="0">
    <w:p w:rsidR="00A5135A" w:rsidRDefault="00A513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7655" w:type="dxa"/>
      <w:tblInd w:w="2552" w:type="dxa"/>
      <w:tblBorders>
        <w:top w:val="nil"/>
        <w:left w:val="nil"/>
        <w:bottom w:val="nil"/>
        <w:right w:val="nil"/>
        <w:insideH w:val="nil"/>
        <w:insideV w:val="nil"/>
      </w:tblBorders>
      <w:tblLayout w:type="fixed"/>
      <w:tblLook w:val="0400" w:firstRow="0" w:lastRow="0" w:firstColumn="0" w:lastColumn="0" w:noHBand="0" w:noVBand="1"/>
    </w:tblPr>
    <w:tblGrid>
      <w:gridCol w:w="2693"/>
      <w:gridCol w:w="4962"/>
    </w:tblGrid>
    <w:tr w:rsidR="00565EFE" w:rsidTr="00BB4B02">
      <w:trPr>
        <w:trHeight w:val="138"/>
      </w:trPr>
      <w:tc>
        <w:tcPr>
          <w:tcW w:w="2693" w:type="dxa"/>
          <w:vAlign w:val="center"/>
        </w:tcPr>
        <w:p w:rsidR="00565EFE" w:rsidRPr="00BB4B02" w:rsidRDefault="00EB48A6" w:rsidP="00BB4B02">
          <w:pPr>
            <w:jc w:val="right"/>
            <w:rPr>
              <w:rFonts w:ascii="Palatino Linotype" w:eastAsia="Palatino Linotype" w:hAnsi="Palatino Linotype" w:cs="Palatino Linotype"/>
              <w:b/>
              <w:bCs/>
            </w:rPr>
          </w:pPr>
          <w:r w:rsidRPr="00BB4B02">
            <w:rPr>
              <w:rFonts w:ascii="Palatino Linotype" w:eastAsia="Palatino Linotype" w:hAnsi="Palatino Linotype" w:cs="Palatino Linotype"/>
              <w:b/>
              <w:bCs/>
            </w:rPr>
            <w:t>Recurso de Revisión:</w:t>
          </w:r>
        </w:p>
      </w:tc>
      <w:tc>
        <w:tcPr>
          <w:tcW w:w="4962" w:type="dxa"/>
          <w:vAlign w:val="center"/>
        </w:tcPr>
        <w:p w:rsidR="00565EFE" w:rsidRPr="00BB4B02" w:rsidRDefault="00EB48A6" w:rsidP="00E71F64">
          <w:pPr>
            <w:pBdr>
              <w:top w:val="nil"/>
              <w:left w:val="nil"/>
              <w:bottom w:val="nil"/>
              <w:right w:val="nil"/>
              <w:between w:val="nil"/>
            </w:pBdr>
            <w:tabs>
              <w:tab w:val="right" w:pos="8504"/>
            </w:tabs>
            <w:rPr>
              <w:rFonts w:ascii="Palatino Linotype" w:eastAsia="Palatino Linotype" w:hAnsi="Palatino Linotype" w:cs="Palatino Linotype"/>
              <w:bCs/>
              <w:color w:val="000000"/>
            </w:rPr>
          </w:pPr>
          <w:r w:rsidRPr="00BB4B02">
            <w:rPr>
              <w:rFonts w:ascii="Palatino Linotype" w:eastAsia="Palatino Linotype" w:hAnsi="Palatino Linotype" w:cs="Palatino Linotype"/>
              <w:bCs/>
              <w:color w:val="000000"/>
            </w:rPr>
            <w:t>06028/INFOEM/IP/RR/2025</w:t>
          </w:r>
        </w:p>
      </w:tc>
    </w:tr>
    <w:tr w:rsidR="00565EFE" w:rsidTr="00BB4B02">
      <w:trPr>
        <w:trHeight w:val="321"/>
      </w:trPr>
      <w:tc>
        <w:tcPr>
          <w:tcW w:w="2693" w:type="dxa"/>
          <w:vAlign w:val="center"/>
        </w:tcPr>
        <w:p w:rsidR="00565EFE" w:rsidRDefault="00EB48A6" w:rsidP="00BB4B02">
          <w:pPr>
            <w:jc w:val="right"/>
            <w:rPr>
              <w:rFonts w:ascii="Palatino Linotype" w:eastAsia="Palatino Linotype" w:hAnsi="Palatino Linotype" w:cs="Palatino Linotype"/>
              <w:b/>
              <w:bCs/>
            </w:rPr>
          </w:pPr>
          <w:r w:rsidRPr="00BB4B02">
            <w:rPr>
              <w:rFonts w:ascii="Palatino Linotype" w:eastAsia="Palatino Linotype" w:hAnsi="Palatino Linotype" w:cs="Palatino Linotype"/>
              <w:b/>
              <w:bCs/>
            </w:rPr>
            <w:t>Sujeto Obligado:</w:t>
          </w:r>
        </w:p>
        <w:p w:rsidR="00BB4B02" w:rsidRDefault="00BB4B02" w:rsidP="00BB4B02">
          <w:pPr>
            <w:jc w:val="right"/>
            <w:rPr>
              <w:rFonts w:ascii="Palatino Linotype" w:eastAsia="Palatino Linotype" w:hAnsi="Palatino Linotype" w:cs="Palatino Linotype"/>
              <w:b/>
              <w:bCs/>
            </w:rPr>
          </w:pPr>
        </w:p>
        <w:p w:rsidR="00BB4B02" w:rsidRPr="00BB4B02" w:rsidRDefault="00BB4B02" w:rsidP="00BB4B02">
          <w:pPr>
            <w:jc w:val="right"/>
            <w:rPr>
              <w:rFonts w:ascii="Palatino Linotype" w:eastAsia="Palatino Linotype" w:hAnsi="Palatino Linotype" w:cs="Palatino Linotype"/>
              <w:b/>
              <w:bCs/>
            </w:rPr>
          </w:pPr>
        </w:p>
      </w:tc>
      <w:tc>
        <w:tcPr>
          <w:tcW w:w="4962" w:type="dxa"/>
          <w:vAlign w:val="center"/>
        </w:tcPr>
        <w:p w:rsidR="00565EFE" w:rsidRPr="00BB4B02" w:rsidRDefault="00EB48A6" w:rsidP="00E71F64">
          <w:pPr>
            <w:rPr>
              <w:rFonts w:ascii="Palatino Linotype" w:eastAsia="Palatino Linotype" w:hAnsi="Palatino Linotype" w:cs="Palatino Linotype"/>
              <w:bCs/>
            </w:rPr>
          </w:pPr>
          <w:r w:rsidRPr="00BB4B02">
            <w:rPr>
              <w:rFonts w:ascii="Palatino Linotype" w:eastAsia="Palatino Linotype" w:hAnsi="Palatino Linotype" w:cs="Palatino Linotype"/>
              <w:bCs/>
            </w:rPr>
            <w:t>Organismo Público Descentralizado de Agua Potable Alcantarillado y Saneamiento de Chimalhuacán</w:t>
          </w:r>
        </w:p>
      </w:tc>
    </w:tr>
    <w:tr w:rsidR="00565EFE" w:rsidTr="00BB4B02">
      <w:trPr>
        <w:trHeight w:val="83"/>
      </w:trPr>
      <w:tc>
        <w:tcPr>
          <w:tcW w:w="2693" w:type="dxa"/>
          <w:vAlign w:val="center"/>
        </w:tcPr>
        <w:p w:rsidR="00565EFE" w:rsidRPr="00BB4B02" w:rsidRDefault="00EB48A6" w:rsidP="00BB4B02">
          <w:pPr>
            <w:jc w:val="right"/>
            <w:rPr>
              <w:rFonts w:ascii="Palatino Linotype" w:eastAsia="Palatino Linotype" w:hAnsi="Palatino Linotype" w:cs="Palatino Linotype"/>
              <w:b/>
              <w:bCs/>
            </w:rPr>
          </w:pPr>
          <w:r w:rsidRPr="00BB4B02">
            <w:rPr>
              <w:rFonts w:ascii="Palatino Linotype" w:eastAsia="Palatino Linotype" w:hAnsi="Palatino Linotype" w:cs="Palatino Linotype"/>
              <w:b/>
              <w:bCs/>
            </w:rPr>
            <w:t>Comisionada Ponente:</w:t>
          </w:r>
        </w:p>
      </w:tc>
      <w:tc>
        <w:tcPr>
          <w:tcW w:w="4962" w:type="dxa"/>
          <w:vAlign w:val="center"/>
        </w:tcPr>
        <w:p w:rsidR="00565EFE" w:rsidRPr="00BB4B02" w:rsidRDefault="00EB48A6" w:rsidP="00E71F64">
          <w:pPr>
            <w:pBdr>
              <w:top w:val="nil"/>
              <w:left w:val="nil"/>
              <w:bottom w:val="nil"/>
              <w:right w:val="nil"/>
              <w:between w:val="nil"/>
            </w:pBdr>
            <w:tabs>
              <w:tab w:val="right" w:pos="8504"/>
            </w:tabs>
            <w:rPr>
              <w:rFonts w:ascii="Palatino Linotype" w:eastAsia="Palatino Linotype" w:hAnsi="Palatino Linotype" w:cs="Palatino Linotype"/>
              <w:bCs/>
              <w:color w:val="000000"/>
            </w:rPr>
          </w:pPr>
          <w:r w:rsidRPr="00BB4B02">
            <w:rPr>
              <w:rFonts w:ascii="Palatino Linotype" w:eastAsia="Palatino Linotype" w:hAnsi="Palatino Linotype" w:cs="Palatino Linotype"/>
              <w:bCs/>
              <w:color w:val="000000"/>
            </w:rPr>
            <w:t>María del Rosario Mejía Ayala</w:t>
          </w:r>
        </w:p>
      </w:tc>
    </w:tr>
  </w:tbl>
  <w:p w:rsidR="00565EFE" w:rsidRDefault="00E71F64">
    <w:pPr>
      <w:pBdr>
        <w:top w:val="nil"/>
        <w:left w:val="nil"/>
        <w:bottom w:val="nil"/>
        <w:right w:val="nil"/>
        <w:between w:val="nil"/>
      </w:pBdr>
      <w:tabs>
        <w:tab w:val="center" w:pos="4252"/>
        <w:tab w:val="right" w:pos="8504"/>
      </w:tabs>
      <w:rPr>
        <w:color w:val="000000"/>
      </w:rPr>
    </w:pPr>
    <w:r>
      <w:rPr>
        <w:noProof/>
        <w:lang w:val="es-MX"/>
      </w:rPr>
      <w:drawing>
        <wp:anchor distT="0" distB="0" distL="0" distR="0" simplePos="0" relativeHeight="251658240" behindDoc="1" locked="0" layoutInCell="1" hidden="0" allowOverlap="1">
          <wp:simplePos x="0" y="0"/>
          <wp:positionH relativeFrom="margin">
            <wp:posOffset>-929053</wp:posOffset>
          </wp:positionH>
          <wp:positionV relativeFrom="paragraph">
            <wp:posOffset>-1506328</wp:posOffset>
          </wp:positionV>
          <wp:extent cx="7809876" cy="10165823"/>
          <wp:effectExtent l="0" t="0" r="635" b="6985"/>
          <wp:wrapNone/>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p w:rsidR="00565EFE" w:rsidRDefault="00565EFE">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2"/>
      <w:tblW w:w="7655" w:type="dxa"/>
      <w:tblInd w:w="268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694"/>
      <w:gridCol w:w="4961"/>
    </w:tblGrid>
    <w:tr w:rsidR="00565EFE" w:rsidTr="00BB4B02">
      <w:trPr>
        <w:trHeight w:val="138"/>
      </w:trPr>
      <w:tc>
        <w:tcPr>
          <w:tcW w:w="2694" w:type="dxa"/>
          <w:vAlign w:val="center"/>
        </w:tcPr>
        <w:p w:rsidR="00565EFE" w:rsidRPr="00BB4B02" w:rsidRDefault="00EB48A6" w:rsidP="00BB4B02">
          <w:pPr>
            <w:jc w:val="right"/>
            <w:rPr>
              <w:rFonts w:ascii="Palatino Linotype" w:eastAsia="Palatino Linotype" w:hAnsi="Palatino Linotype" w:cs="Palatino Linotype"/>
              <w:b/>
              <w:bCs/>
            </w:rPr>
          </w:pPr>
          <w:r w:rsidRPr="00BB4B02">
            <w:rPr>
              <w:rFonts w:ascii="Palatino Linotype" w:eastAsia="Palatino Linotype" w:hAnsi="Palatino Linotype" w:cs="Palatino Linotype"/>
              <w:b/>
              <w:bCs/>
            </w:rPr>
            <w:t>Recurso de Revisión:</w:t>
          </w:r>
        </w:p>
      </w:tc>
      <w:tc>
        <w:tcPr>
          <w:tcW w:w="4961" w:type="dxa"/>
          <w:vAlign w:val="center"/>
        </w:tcPr>
        <w:p w:rsidR="00565EFE" w:rsidRPr="00BB4B02" w:rsidRDefault="00EB48A6" w:rsidP="00E71F64">
          <w:pPr>
            <w:pBdr>
              <w:top w:val="nil"/>
              <w:left w:val="nil"/>
              <w:bottom w:val="nil"/>
              <w:right w:val="nil"/>
              <w:between w:val="nil"/>
            </w:pBdr>
            <w:tabs>
              <w:tab w:val="right" w:pos="8504"/>
            </w:tabs>
            <w:rPr>
              <w:rFonts w:ascii="Palatino Linotype" w:eastAsia="Palatino Linotype" w:hAnsi="Palatino Linotype" w:cs="Palatino Linotype"/>
              <w:color w:val="000000"/>
            </w:rPr>
          </w:pPr>
          <w:r w:rsidRPr="00BB4B02">
            <w:rPr>
              <w:rFonts w:ascii="Palatino Linotype" w:eastAsia="Palatino Linotype" w:hAnsi="Palatino Linotype" w:cs="Palatino Linotype"/>
              <w:color w:val="000000"/>
            </w:rPr>
            <w:t>06028/INFOEM/IP/RR/2025</w:t>
          </w:r>
        </w:p>
      </w:tc>
    </w:tr>
    <w:tr w:rsidR="00565EFE" w:rsidTr="00BB4B02">
      <w:trPr>
        <w:trHeight w:val="227"/>
      </w:trPr>
      <w:tc>
        <w:tcPr>
          <w:tcW w:w="2694" w:type="dxa"/>
          <w:vAlign w:val="center"/>
        </w:tcPr>
        <w:p w:rsidR="00565EFE" w:rsidRPr="00BB4B02" w:rsidRDefault="00EB48A6" w:rsidP="00BB4B02">
          <w:pPr>
            <w:jc w:val="right"/>
            <w:rPr>
              <w:rFonts w:ascii="Palatino Linotype" w:eastAsia="Palatino Linotype" w:hAnsi="Palatino Linotype" w:cs="Palatino Linotype"/>
              <w:b/>
              <w:bCs/>
            </w:rPr>
          </w:pPr>
          <w:r w:rsidRPr="00BB4B02">
            <w:rPr>
              <w:rFonts w:ascii="Palatino Linotype" w:eastAsia="Palatino Linotype" w:hAnsi="Palatino Linotype" w:cs="Palatino Linotype"/>
              <w:b/>
              <w:bCs/>
            </w:rPr>
            <w:t>Recurrente:</w:t>
          </w:r>
        </w:p>
      </w:tc>
      <w:tc>
        <w:tcPr>
          <w:tcW w:w="4961" w:type="dxa"/>
          <w:vAlign w:val="center"/>
        </w:tcPr>
        <w:p w:rsidR="00565EFE" w:rsidRPr="00BB4B02" w:rsidRDefault="000F70C5" w:rsidP="00E71F64">
          <w:pPr>
            <w:pBdr>
              <w:top w:val="nil"/>
              <w:left w:val="nil"/>
              <w:bottom w:val="nil"/>
              <w:right w:val="nil"/>
              <w:between w:val="nil"/>
            </w:pBdr>
            <w:tabs>
              <w:tab w:val="right" w:pos="8504"/>
            </w:tabs>
            <w:rPr>
              <w:rFonts w:ascii="Palatino Linotype" w:eastAsia="Palatino Linotype" w:hAnsi="Palatino Linotype" w:cs="Palatino Linotype"/>
              <w:color w:val="000000"/>
            </w:rPr>
          </w:pPr>
          <w:r>
            <w:rPr>
              <w:rFonts w:ascii="Palatino Linotype" w:eastAsia="Palatino Linotype" w:hAnsi="Palatino Linotype" w:cs="Palatino Linotype"/>
              <w:color w:val="000000"/>
            </w:rPr>
            <w:t>XXXX</w:t>
          </w:r>
        </w:p>
      </w:tc>
    </w:tr>
    <w:tr w:rsidR="00565EFE" w:rsidTr="00BB4B02">
      <w:trPr>
        <w:trHeight w:val="375"/>
      </w:trPr>
      <w:tc>
        <w:tcPr>
          <w:tcW w:w="2694" w:type="dxa"/>
          <w:vAlign w:val="center"/>
        </w:tcPr>
        <w:p w:rsidR="00565EFE" w:rsidRPr="00BB4B02" w:rsidRDefault="00EB48A6" w:rsidP="00BB4B02">
          <w:pPr>
            <w:jc w:val="right"/>
            <w:rPr>
              <w:rFonts w:ascii="Palatino Linotype" w:eastAsia="Palatino Linotype" w:hAnsi="Palatino Linotype" w:cs="Palatino Linotype"/>
              <w:b/>
              <w:bCs/>
            </w:rPr>
          </w:pPr>
          <w:r w:rsidRPr="00BB4B02">
            <w:rPr>
              <w:rFonts w:ascii="Palatino Linotype" w:eastAsia="Palatino Linotype" w:hAnsi="Palatino Linotype" w:cs="Palatino Linotype"/>
              <w:b/>
              <w:bCs/>
            </w:rPr>
            <w:t>Sujeto Obligado:</w:t>
          </w:r>
        </w:p>
        <w:p w:rsidR="00565EFE" w:rsidRPr="00BB4B02" w:rsidRDefault="00565EFE" w:rsidP="00BB4B02">
          <w:pPr>
            <w:jc w:val="right"/>
            <w:rPr>
              <w:rFonts w:ascii="Palatino Linotype" w:eastAsia="Palatino Linotype" w:hAnsi="Palatino Linotype" w:cs="Palatino Linotype"/>
              <w:b/>
              <w:bCs/>
            </w:rPr>
          </w:pPr>
        </w:p>
        <w:p w:rsidR="00565EFE" w:rsidRPr="00BB4B02" w:rsidRDefault="00565EFE" w:rsidP="00BB4B02">
          <w:pPr>
            <w:jc w:val="right"/>
            <w:rPr>
              <w:rFonts w:ascii="Palatino Linotype" w:eastAsia="Palatino Linotype" w:hAnsi="Palatino Linotype" w:cs="Palatino Linotype"/>
              <w:b/>
              <w:bCs/>
            </w:rPr>
          </w:pPr>
        </w:p>
      </w:tc>
      <w:tc>
        <w:tcPr>
          <w:tcW w:w="4961" w:type="dxa"/>
          <w:vAlign w:val="center"/>
        </w:tcPr>
        <w:p w:rsidR="00565EFE" w:rsidRPr="00BB4B02" w:rsidRDefault="00EB48A6" w:rsidP="00E71F64">
          <w:pPr>
            <w:rPr>
              <w:rFonts w:ascii="Palatino Linotype" w:eastAsia="Palatino Linotype" w:hAnsi="Palatino Linotype" w:cs="Palatino Linotype"/>
            </w:rPr>
          </w:pPr>
          <w:r w:rsidRPr="00BB4B02">
            <w:rPr>
              <w:rFonts w:ascii="Palatino Linotype" w:eastAsia="Palatino Linotype" w:hAnsi="Palatino Linotype" w:cs="Palatino Linotype"/>
            </w:rPr>
            <w:t>Organismo Público Descentralizado de Agua Potable Alcantarillado y Saneamiento de Chimalhuacán</w:t>
          </w:r>
        </w:p>
      </w:tc>
    </w:tr>
    <w:tr w:rsidR="00565EFE" w:rsidTr="00BB4B02">
      <w:trPr>
        <w:trHeight w:val="320"/>
      </w:trPr>
      <w:tc>
        <w:tcPr>
          <w:tcW w:w="2694" w:type="dxa"/>
          <w:vAlign w:val="center"/>
        </w:tcPr>
        <w:p w:rsidR="00565EFE" w:rsidRPr="00BB4B02" w:rsidRDefault="00EB48A6" w:rsidP="00BB4B02">
          <w:pPr>
            <w:jc w:val="right"/>
            <w:rPr>
              <w:rFonts w:ascii="Palatino Linotype" w:eastAsia="Palatino Linotype" w:hAnsi="Palatino Linotype" w:cs="Palatino Linotype"/>
              <w:b/>
              <w:bCs/>
            </w:rPr>
          </w:pPr>
          <w:r w:rsidRPr="00BB4B02">
            <w:rPr>
              <w:rFonts w:ascii="Palatino Linotype" w:eastAsia="Palatino Linotype" w:hAnsi="Palatino Linotype" w:cs="Palatino Linotype"/>
              <w:b/>
              <w:bCs/>
            </w:rPr>
            <w:t>Comisionada Ponente:</w:t>
          </w:r>
        </w:p>
      </w:tc>
      <w:tc>
        <w:tcPr>
          <w:tcW w:w="4961" w:type="dxa"/>
          <w:vAlign w:val="center"/>
        </w:tcPr>
        <w:p w:rsidR="00565EFE" w:rsidRPr="00BB4B02" w:rsidRDefault="00EB48A6" w:rsidP="00E71F64">
          <w:pPr>
            <w:pBdr>
              <w:top w:val="nil"/>
              <w:left w:val="nil"/>
              <w:bottom w:val="nil"/>
              <w:right w:val="nil"/>
              <w:between w:val="nil"/>
            </w:pBdr>
            <w:tabs>
              <w:tab w:val="right" w:pos="8504"/>
            </w:tabs>
            <w:rPr>
              <w:rFonts w:ascii="Palatino Linotype" w:eastAsia="Palatino Linotype" w:hAnsi="Palatino Linotype" w:cs="Palatino Linotype"/>
              <w:color w:val="000000"/>
            </w:rPr>
          </w:pPr>
          <w:r w:rsidRPr="00BB4B02">
            <w:rPr>
              <w:rFonts w:ascii="Palatino Linotype" w:eastAsia="Palatino Linotype" w:hAnsi="Palatino Linotype" w:cs="Palatino Linotype"/>
              <w:color w:val="000000"/>
            </w:rPr>
            <w:t>María del Rosario Mejía Ayala</w:t>
          </w:r>
        </w:p>
      </w:tc>
    </w:tr>
  </w:tbl>
  <w:p w:rsidR="00565EFE" w:rsidRDefault="00E71F64">
    <w:pPr>
      <w:pBdr>
        <w:top w:val="nil"/>
        <w:left w:val="nil"/>
        <w:bottom w:val="nil"/>
        <w:right w:val="nil"/>
        <w:between w:val="nil"/>
      </w:pBdr>
      <w:tabs>
        <w:tab w:val="center" w:pos="4252"/>
        <w:tab w:val="right" w:pos="8504"/>
      </w:tabs>
      <w:rPr>
        <w:color w:val="000000"/>
      </w:rPr>
    </w:pPr>
    <w:r>
      <w:rPr>
        <w:noProof/>
        <w:lang w:val="es-MX"/>
      </w:rPr>
      <w:drawing>
        <wp:anchor distT="0" distB="0" distL="0" distR="0" simplePos="0" relativeHeight="251659264" behindDoc="1" locked="0" layoutInCell="1" hidden="0" allowOverlap="1">
          <wp:simplePos x="0" y="0"/>
          <wp:positionH relativeFrom="margin">
            <wp:posOffset>-821630</wp:posOffset>
          </wp:positionH>
          <wp:positionV relativeFrom="paragraph">
            <wp:posOffset>-1682115</wp:posOffset>
          </wp:positionV>
          <wp:extent cx="7809876" cy="10165823"/>
          <wp:effectExtent l="0" t="0" r="635" b="6985"/>
          <wp:wrapNone/>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p w:rsidR="00565EFE" w:rsidRDefault="00565EF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C875D7"/>
    <w:multiLevelType w:val="multilevel"/>
    <w:tmpl w:val="FD24EE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D53D29"/>
    <w:multiLevelType w:val="multilevel"/>
    <w:tmpl w:val="258E0C50"/>
    <w:lvl w:ilvl="0">
      <w:start w:val="1"/>
      <w:numFmt w:val="decimal"/>
      <w:lvlText w:val="%1."/>
      <w:lvlJc w:val="left"/>
      <w:pPr>
        <w:ind w:left="284" w:firstLine="0"/>
      </w:pPr>
      <w:rPr>
        <w:rFonts w:ascii="Palatino Linotype" w:eastAsia="Palatino Linotype" w:hAnsi="Palatino Linotype" w:cs="Palatino Linotype"/>
        <w:b/>
        <w:bCs/>
        <w:i w:val="0"/>
        <w:iCs w:val="0"/>
        <w:sz w:val="24"/>
        <w:szCs w:val="24"/>
      </w:rPr>
    </w:lvl>
    <w:lvl w:ilvl="1">
      <w:start w:val="1"/>
      <w:numFmt w:val="lowerLetter"/>
      <w:lvlText w:val="%2)"/>
      <w:lvlJc w:val="left"/>
      <w:pPr>
        <w:ind w:left="1440" w:hanging="360"/>
      </w:pPr>
      <w:rPr>
        <w:b/>
        <w:bCs/>
        <w:i w:val="0"/>
        <w:iCs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D630C6"/>
    <w:multiLevelType w:val="multilevel"/>
    <w:tmpl w:val="9C222F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3F17E1F"/>
    <w:multiLevelType w:val="multilevel"/>
    <w:tmpl w:val="97787D12"/>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6467FE7"/>
    <w:multiLevelType w:val="multilevel"/>
    <w:tmpl w:val="2CA2A5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628298D"/>
    <w:multiLevelType w:val="multilevel"/>
    <w:tmpl w:val="8D8CB0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5BC30C8"/>
    <w:multiLevelType w:val="multilevel"/>
    <w:tmpl w:val="64E88C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D4F2F0C"/>
    <w:multiLevelType w:val="multilevel"/>
    <w:tmpl w:val="2206C4B6"/>
    <w:lvl w:ilvl="0">
      <w:start w:val="1"/>
      <w:numFmt w:val="bullet"/>
      <w:lvlText w:val="●"/>
      <w:lvlJc w:val="left"/>
      <w:pPr>
        <w:ind w:left="720" w:hanging="360"/>
      </w:pPr>
      <w:rPr>
        <w:rFonts w:ascii="Noto Sans Symbols" w:eastAsia="Noto Sans Symbols" w:hAnsi="Noto Sans Symbols" w:cs="Noto Sans Symbols"/>
        <w:b/>
        <w:bC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E6B4A7E"/>
    <w:multiLevelType w:val="multilevel"/>
    <w:tmpl w:val="10AAC0B0"/>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num w:numId="1">
    <w:abstractNumId w:val="1"/>
  </w:num>
  <w:num w:numId="2">
    <w:abstractNumId w:val="8"/>
  </w:num>
  <w:num w:numId="3">
    <w:abstractNumId w:val="7"/>
  </w:num>
  <w:num w:numId="4">
    <w:abstractNumId w:val="2"/>
  </w:num>
  <w:num w:numId="5">
    <w:abstractNumId w:val="4"/>
  </w:num>
  <w:num w:numId="6">
    <w:abstractNumId w:val="6"/>
  </w:num>
  <w:num w:numId="7">
    <w:abstractNumId w:val="5"/>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EFE"/>
    <w:rsid w:val="000C3331"/>
    <w:rsid w:val="000F70C5"/>
    <w:rsid w:val="0042766E"/>
    <w:rsid w:val="00565EFE"/>
    <w:rsid w:val="007D6FC9"/>
    <w:rsid w:val="00A5135A"/>
    <w:rsid w:val="00AD7755"/>
    <w:rsid w:val="00BB4B02"/>
    <w:rsid w:val="00C67137"/>
    <w:rsid w:val="00E71F64"/>
    <w:rsid w:val="00EB48A6"/>
    <w:rsid w:val="00FE3D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E6FD74C-8F50-4AAB-87BB-9A63AB50A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line="259" w:lineRule="auto"/>
      <w:outlineLvl w:val="0"/>
    </w:pPr>
    <w:rPr>
      <w:rFonts w:ascii="Palatino Linotype" w:eastAsia="Palatino Linotype" w:hAnsi="Palatino Linotype" w:cs="Palatino Linotype"/>
      <w:b/>
      <w:bCs/>
      <w:color w:val="000000"/>
    </w:rPr>
  </w:style>
  <w:style w:type="paragraph" w:styleId="Ttulo2">
    <w:name w:val="heading 2"/>
    <w:basedOn w:val="Normal"/>
    <w:next w:val="Normal"/>
    <w:pPr>
      <w:keepNext/>
      <w:keepLines/>
      <w:spacing w:before="40" w:line="259" w:lineRule="auto"/>
      <w:outlineLvl w:val="1"/>
    </w:pPr>
    <w:rPr>
      <w:rFonts w:ascii="Palatino Linotype" w:eastAsia="Palatino Linotype" w:hAnsi="Palatino Linotype" w:cs="Palatino Linotype"/>
      <w:b/>
      <w:bCs/>
      <w:color w:val="000000"/>
    </w:rPr>
  </w:style>
  <w:style w:type="paragraph" w:styleId="Ttulo3">
    <w:name w:val="heading 3"/>
    <w:basedOn w:val="Normal"/>
    <w:next w:val="Normal"/>
    <w:pPr>
      <w:keepNext/>
      <w:keepLines/>
      <w:spacing w:before="40"/>
      <w:outlineLvl w:val="2"/>
    </w:pPr>
    <w:rPr>
      <w:rFonts w:ascii="Calibri" w:eastAsia="Calibri" w:hAnsi="Calibri" w:cs="Calibri"/>
      <w:color w:val="243F61"/>
    </w:rPr>
  </w:style>
  <w:style w:type="paragraph" w:styleId="Ttulo4">
    <w:name w:val="heading 4"/>
    <w:basedOn w:val="Normal"/>
    <w:next w:val="Normal"/>
    <w:pPr>
      <w:keepNext/>
      <w:keepLines/>
      <w:spacing w:before="40"/>
      <w:outlineLvl w:val="3"/>
    </w:pPr>
    <w:rPr>
      <w:rFonts w:ascii="Calibri" w:eastAsia="Calibri" w:hAnsi="Calibri" w:cs="Calibri"/>
      <w:i/>
      <w:iCs/>
      <w:color w:val="366091"/>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B37AEC"/>
    <w:pPr>
      <w:tabs>
        <w:tab w:val="left" w:pos="709"/>
        <w:tab w:val="right" w:leader="dot" w:pos="8779"/>
      </w:tabs>
      <w:spacing w:after="100" w:line="48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next w:val="Normal"/>
    <w:uiPriority w:val="39"/>
    <w:unhideWhenUsed/>
    <w:qFormat/>
    <w:rsid w:val="00CD7893"/>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qForma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customStyle="1" w:styleId="Tablanormal11">
    <w:name w:val="Tabla normal 1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rPr>
  </w:style>
  <w:style w:type="character" w:customStyle="1" w:styleId="stytxtare">
    <w:name w:val="stytxtare"/>
    <w:rsid w:val="005B0EC2"/>
  </w:style>
  <w:style w:type="character" w:customStyle="1" w:styleId="Ttulo4Car">
    <w:name w:val="Título 4 Car"/>
    <w:basedOn w:val="Fuentedeprrafopredeter"/>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uiPriority w:val="99"/>
    <w:rsid w:val="00BC13F7"/>
    <w:pPr>
      <w:spacing w:before="100" w:beforeAutospacing="1" w:after="100" w:afterAutospacing="1"/>
    </w:pPr>
    <w:rPr>
      <w:rFonts w:ascii="Times New Roman" w:eastAsia="Times New Roman" w:hAnsi="Times New Roman" w:cs="Times New Roman"/>
      <w:lang w:val="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rPr>
  </w:style>
  <w:style w:type="paragraph" w:customStyle="1" w:styleId="gmail-msolistparagraph">
    <w:name w:val="gmail-msolistparagraph"/>
    <w:basedOn w:val="Normal"/>
    <w:rsid w:val="00CA1CD0"/>
    <w:pPr>
      <w:spacing w:before="100" w:beforeAutospacing="1" w:after="100" w:afterAutospacing="1"/>
    </w:pPr>
    <w:rPr>
      <w:rFonts w:ascii="Times New Roman" w:eastAsia="Times New Roman" w:hAnsi="Times New Roman" w:cs="Times New Roman"/>
      <w:lang w:val="es-MX"/>
    </w:rPr>
  </w:style>
  <w:style w:type="character" w:customStyle="1" w:styleId="vidspn">
    <w:name w:val="vid_spn"/>
    <w:basedOn w:val="Fuentedeprrafopredeter"/>
    <w:rsid w:val="006B78BA"/>
  </w:style>
  <w:style w:type="table" w:styleId="Tablanormal1">
    <w:name w:val="Plain Table 1"/>
    <w:basedOn w:val="Tablanormal"/>
    <w:uiPriority w:val="41"/>
    <w:rsid w:val="00BE721C"/>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itas">
    <w:name w:val="Citas"/>
    <w:basedOn w:val="Normal"/>
    <w:qFormat/>
    <w:rsid w:val="000E0EF6"/>
    <w:pPr>
      <w:spacing w:before="240" w:after="160" w:line="360" w:lineRule="auto"/>
      <w:ind w:left="851" w:right="851"/>
      <w:jc w:val="both"/>
    </w:pPr>
    <w:rPr>
      <w:rFonts w:ascii="Palatino Linotype" w:eastAsia="Times New Roman" w:hAnsi="Palatino Linotype" w:cs="Arial"/>
      <w:i/>
      <w:sz w:val="22"/>
      <w:szCs w:val="22"/>
      <w:lang w:val="es-MX" w:eastAsia="en-US"/>
    </w:rPr>
  </w:style>
  <w:style w:type="table" w:customStyle="1" w:styleId="Tablanormal12">
    <w:name w:val="Tabla normal 12"/>
    <w:basedOn w:val="Tablanormal"/>
    <w:next w:val="Tablanormal1"/>
    <w:uiPriority w:val="41"/>
    <w:rsid w:val="00F82B3B"/>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object">
    <w:name w:val="object"/>
    <w:basedOn w:val="Fuentedeprrafopredeter"/>
    <w:rsid w:val="00977AFF"/>
  </w:style>
  <w:style w:type="paragraph" w:styleId="Listaconvietas2">
    <w:name w:val="List Bullet 2"/>
    <w:basedOn w:val="Normal"/>
    <w:uiPriority w:val="99"/>
    <w:unhideWhenUsed/>
    <w:qFormat/>
    <w:rsid w:val="00D8485E"/>
    <w:pPr>
      <w:numPr>
        <w:numId w:val="9"/>
      </w:numPr>
      <w:contextualSpacing/>
    </w:pPr>
    <w:rPr>
      <w:rFonts w:ascii="Times New Roman" w:eastAsia="Times New Roman" w:hAnsi="Times New Roman" w:cs="Times New Roman"/>
      <w:sz w:val="20"/>
      <w:szCs w:val="20"/>
      <w:lang w:val="es-MX"/>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475608.page"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6ElcesogR+4bJhhyq5Umy55d0A==">CgMxLjAyDmgucm82ZXB3eHd3Y2o1Mg5oLm5ja2t0dTR2b3Y3MjIOaC55d3NjanRoa3g5NzcyDmguYjV2ZHYzM2NwNTJvMg5oLjlpZzl6bXNobGw3cTIOaC5qd3Y4cGYzZHB0cmoyDmguOWJvcnplaG56N3hjMgloLjQ5eDJpazUyCGgudHlqY3d0MgloLjNyZGNyam4yCWguMjZpbjFyZzIOaC4yMDhrOW52MDZtNjE4AHIhMXRreDNaNkl3WHdnT09icjdvWDlUclRuWWtoVEJYamh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32</Pages>
  <Words>7898</Words>
  <Characters>43440</Characters>
  <Application>Microsoft Office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51236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Cuenta Microsoft</cp:lastModifiedBy>
  <cp:revision>7</cp:revision>
  <cp:lastPrinted>2025-12-11T21:56:00Z</cp:lastPrinted>
  <dcterms:created xsi:type="dcterms:W3CDTF">2025-12-02T20:07:00Z</dcterms:created>
  <dcterms:modified xsi:type="dcterms:W3CDTF">2026-01-23T18:29:00Z</dcterms:modified>
</cp:coreProperties>
</file>