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C90" w:rsidRPr="00760C90" w:rsidRDefault="00760C90" w:rsidP="00373347">
      <w:pPr>
        <w:pBdr>
          <w:top w:val="nil"/>
          <w:left w:val="nil"/>
          <w:bottom w:val="nil"/>
          <w:right w:val="nil"/>
          <w:between w:val="nil"/>
        </w:pBdr>
        <w:spacing w:line="360" w:lineRule="auto"/>
        <w:jc w:val="both"/>
        <w:rPr>
          <w:rFonts w:ascii="Palatino Linotype" w:eastAsia="Palatino Linotype" w:hAnsi="Palatino Linotype" w:cs="Palatino Linotype"/>
        </w:rPr>
      </w:pPr>
      <w:bookmarkStart w:id="0" w:name="_Toc452722829"/>
      <w:bookmarkStart w:id="1" w:name="_Toc454373811"/>
      <w:bookmarkStart w:id="2" w:name="_Toc476675991"/>
    </w:p>
    <w:p w:rsidR="00373347" w:rsidRPr="00760C90" w:rsidRDefault="00373347" w:rsidP="00373347">
      <w:pPr>
        <w:pBdr>
          <w:top w:val="nil"/>
          <w:left w:val="nil"/>
          <w:bottom w:val="nil"/>
          <w:right w:val="nil"/>
          <w:between w:val="nil"/>
        </w:pBdr>
        <w:spacing w:line="360" w:lineRule="auto"/>
        <w:jc w:val="both"/>
        <w:rPr>
          <w:rFonts w:ascii="Palatino Linotype" w:eastAsia="Palatino Linotype" w:hAnsi="Palatino Linotype" w:cs="Palatino Linotype"/>
        </w:rPr>
      </w:pPr>
      <w:bookmarkStart w:id="3" w:name="_GoBack"/>
      <w:bookmarkEnd w:id="3"/>
      <w:r w:rsidRPr="00760C90">
        <w:rPr>
          <w:rFonts w:ascii="Palatino Linotype" w:eastAsia="Palatino Linotype" w:hAnsi="Palatino Linotype" w:cs="Palatino Linotype"/>
        </w:rPr>
        <w:t>Resolución del Pleno del Instituto de Transparencia, Acceso a la Información Pública y Protección de Datos Personales</w:t>
      </w:r>
      <w:r w:rsidR="00760C90">
        <w:rPr>
          <w:rFonts w:ascii="Palatino Linotype" w:eastAsia="Palatino Linotype" w:hAnsi="Palatino Linotype" w:cs="Palatino Linotype"/>
        </w:rPr>
        <w:t>, de fecha</w:t>
      </w:r>
      <w:r w:rsidRPr="00760C90">
        <w:rPr>
          <w:rFonts w:ascii="Palatino Linotype" w:eastAsia="Palatino Linotype" w:hAnsi="Palatino Linotype" w:cs="Palatino Linotype"/>
        </w:rPr>
        <w:t xml:space="preserve"> </w:t>
      </w:r>
      <w:r w:rsidRPr="00760C90">
        <w:rPr>
          <w:rFonts w:ascii="Palatino Linotype" w:eastAsia="Palatino Linotype" w:hAnsi="Palatino Linotype" w:cs="Palatino Linotype"/>
          <w:b/>
        </w:rPr>
        <w:t>veinticinco</w:t>
      </w:r>
      <w:r w:rsidR="00760C90">
        <w:rPr>
          <w:rFonts w:ascii="Palatino Linotype" w:eastAsia="Palatino Linotype" w:hAnsi="Palatino Linotype" w:cs="Palatino Linotype"/>
          <w:b/>
        </w:rPr>
        <w:t xml:space="preserve"> (25)</w:t>
      </w:r>
      <w:r w:rsidRPr="00760C90">
        <w:rPr>
          <w:rFonts w:ascii="Palatino Linotype" w:eastAsia="Palatino Linotype" w:hAnsi="Palatino Linotype" w:cs="Palatino Linotype"/>
          <w:b/>
          <w:bCs/>
        </w:rPr>
        <w:t xml:space="preserve"> de febrero de dos mil veintiséis</w:t>
      </w:r>
      <w:r w:rsidRPr="00760C90">
        <w:rPr>
          <w:rFonts w:ascii="Palatino Linotype" w:eastAsia="Palatino Linotype" w:hAnsi="Palatino Linotype" w:cs="Palatino Linotype"/>
        </w:rPr>
        <w:t>.</w:t>
      </w:r>
    </w:p>
    <w:p w:rsidR="00373347" w:rsidRPr="00760C90" w:rsidRDefault="00373347" w:rsidP="00373347">
      <w:pPr>
        <w:pBdr>
          <w:top w:val="nil"/>
          <w:left w:val="nil"/>
          <w:bottom w:val="nil"/>
          <w:right w:val="nil"/>
          <w:between w:val="nil"/>
        </w:pBdr>
        <w:spacing w:line="360" w:lineRule="auto"/>
        <w:jc w:val="both"/>
        <w:rPr>
          <w:rFonts w:ascii="Palatino Linotype" w:eastAsia="Palatino Linotype" w:hAnsi="Palatino Linotype" w:cs="Palatino Linotype"/>
        </w:rPr>
      </w:pPr>
    </w:p>
    <w:p w:rsidR="00373347" w:rsidRDefault="00373347" w:rsidP="00373347">
      <w:pPr>
        <w:pBdr>
          <w:top w:val="nil"/>
          <w:left w:val="nil"/>
          <w:bottom w:val="nil"/>
          <w:right w:val="nil"/>
          <w:between w:val="nil"/>
        </w:pBdr>
        <w:spacing w:line="360" w:lineRule="auto"/>
        <w:jc w:val="both"/>
        <w:rPr>
          <w:rFonts w:ascii="Palatino Linotype" w:eastAsia="Palatino Linotype" w:hAnsi="Palatino Linotype" w:cs="Palatino Linotype"/>
        </w:rPr>
      </w:pPr>
      <w:r w:rsidRPr="00760C90">
        <w:rPr>
          <w:rFonts w:ascii="Palatino Linotype" w:eastAsia="Palatino Linotype" w:hAnsi="Palatino Linotype" w:cs="Palatino Linotype"/>
          <w:b/>
          <w:bCs/>
        </w:rPr>
        <w:t xml:space="preserve">VISTOS </w:t>
      </w:r>
      <w:r w:rsidRPr="00760C90">
        <w:rPr>
          <w:rFonts w:ascii="Palatino Linotype" w:eastAsia="Palatino Linotype" w:hAnsi="Palatino Linotype" w:cs="Palatino Linotype"/>
        </w:rPr>
        <w:t xml:space="preserve">los expedientes electrónicos formados con motivo de los recursos de revisión </w:t>
      </w:r>
      <w:r w:rsidRPr="00760C90">
        <w:rPr>
          <w:rFonts w:ascii="Palatino Linotype" w:eastAsia="Palatino Linotype" w:hAnsi="Palatino Linotype" w:cs="Palatino Linotype"/>
          <w:b/>
          <w:bCs/>
        </w:rPr>
        <w:t xml:space="preserve">06883/INFOEM/ICR-48/IP/RR/2025, 06886/INFOEM/ICR-45/IP/RR/2025, 06888/INFOEM/ICR-43/IP/RR/2025, 06894/INFOEM/ICR-52/IP/RR/2025 y </w:t>
      </w:r>
      <w:r w:rsidR="00793440" w:rsidRPr="00760C90">
        <w:rPr>
          <w:rFonts w:ascii="Palatino Linotype" w:eastAsia="Palatino Linotype" w:hAnsi="Palatino Linotype" w:cs="Palatino Linotype"/>
          <w:b/>
          <w:bCs/>
        </w:rPr>
        <w:t xml:space="preserve">06895/INFOEM/ICR-54/IP/RR/2025, </w:t>
      </w:r>
      <w:r w:rsidRPr="00760C90">
        <w:rPr>
          <w:rFonts w:ascii="Palatino Linotype" w:eastAsia="Palatino Linotype" w:hAnsi="Palatino Linotype" w:cs="Palatino Linotype"/>
          <w:b/>
          <w:bCs/>
        </w:rPr>
        <w:t xml:space="preserve"> </w:t>
      </w:r>
      <w:r w:rsidRPr="00760C90">
        <w:rPr>
          <w:rFonts w:ascii="Palatino Linotype" w:eastAsia="Palatino Linotype" w:hAnsi="Palatino Linotype" w:cs="Palatino Linotype"/>
        </w:rPr>
        <w:t>promovido</w:t>
      </w:r>
      <w:r w:rsidR="00793440" w:rsidRPr="00760C90">
        <w:rPr>
          <w:rFonts w:ascii="Palatino Linotype" w:eastAsia="Palatino Linotype" w:hAnsi="Palatino Linotype" w:cs="Palatino Linotype"/>
        </w:rPr>
        <w:t>s</w:t>
      </w:r>
      <w:r w:rsidRPr="00760C90">
        <w:rPr>
          <w:rFonts w:ascii="Palatino Linotype" w:eastAsia="Palatino Linotype" w:hAnsi="Palatino Linotype" w:cs="Palatino Linotype"/>
        </w:rPr>
        <w:t xml:space="preserve"> por una persona que no proporciona datos de identificación, a quien en lo sucesivo se le identificara como </w:t>
      </w:r>
      <w:r w:rsidRPr="00760C90">
        <w:rPr>
          <w:rFonts w:ascii="Palatino Linotype" w:eastAsia="Palatino Linotype" w:hAnsi="Palatino Linotype" w:cs="Palatino Linotype"/>
          <w:b/>
          <w:bCs/>
        </w:rPr>
        <w:t>EL</w:t>
      </w:r>
      <w:r w:rsidRPr="00760C90">
        <w:rPr>
          <w:rFonts w:ascii="Palatino Linotype" w:eastAsia="Palatino Linotype" w:hAnsi="Palatino Linotype" w:cs="Palatino Linotype"/>
        </w:rPr>
        <w:t xml:space="preserve"> </w:t>
      </w:r>
      <w:r w:rsidRPr="00760C90">
        <w:rPr>
          <w:rFonts w:ascii="Palatino Linotype" w:eastAsia="Palatino Linotype" w:hAnsi="Palatino Linotype" w:cs="Palatino Linotype"/>
          <w:b/>
          <w:bCs/>
        </w:rPr>
        <w:t>RECURRENTE</w:t>
      </w:r>
      <w:r w:rsidRPr="00760C90">
        <w:rPr>
          <w:rFonts w:ascii="Palatino Linotype" w:eastAsia="Palatino Linotype" w:hAnsi="Palatino Linotype" w:cs="Palatino Linotype"/>
        </w:rPr>
        <w:t xml:space="preserve">, en contra de la falta de respuesta del </w:t>
      </w:r>
      <w:r w:rsidR="00793440" w:rsidRPr="00760C90">
        <w:rPr>
          <w:rFonts w:ascii="Palatino Linotype" w:eastAsia="Palatino Linotype" w:hAnsi="Palatino Linotype" w:cs="Palatino Linotype"/>
          <w:b/>
          <w:bCs/>
        </w:rPr>
        <w:t xml:space="preserve">Ayuntamiento de Tepotzotlán </w:t>
      </w:r>
      <w:r w:rsidRPr="00760C90">
        <w:rPr>
          <w:rFonts w:ascii="Palatino Linotype" w:eastAsia="Palatino Linotype" w:hAnsi="Palatino Linotype" w:cs="Palatino Linotype"/>
        </w:rPr>
        <w:t>,</w:t>
      </w:r>
      <w:r w:rsidRPr="00760C90">
        <w:rPr>
          <w:rFonts w:ascii="Palatino Linotype" w:eastAsia="Palatino Linotype" w:hAnsi="Palatino Linotype" w:cs="Palatino Linotype"/>
          <w:b/>
          <w:bCs/>
        </w:rPr>
        <w:t xml:space="preserve"> </w:t>
      </w:r>
      <w:r w:rsidRPr="00760C90">
        <w:rPr>
          <w:rFonts w:ascii="Palatino Linotype" w:eastAsia="Palatino Linotype" w:hAnsi="Palatino Linotype" w:cs="Palatino Linotype"/>
        </w:rPr>
        <w:t xml:space="preserve">en </w:t>
      </w:r>
      <w:r w:rsidR="00760C90">
        <w:rPr>
          <w:rFonts w:ascii="Palatino Linotype" w:eastAsia="Palatino Linotype" w:hAnsi="Palatino Linotype" w:cs="Palatino Linotype"/>
        </w:rPr>
        <w:t>adelante</w:t>
      </w:r>
      <w:r w:rsidRPr="00760C90">
        <w:rPr>
          <w:rFonts w:ascii="Palatino Linotype" w:eastAsia="Palatino Linotype" w:hAnsi="Palatino Linotype" w:cs="Palatino Linotype"/>
        </w:rPr>
        <w:t xml:space="preserve"> el</w:t>
      </w:r>
      <w:r w:rsidRPr="00760C90">
        <w:rPr>
          <w:rFonts w:ascii="Palatino Linotype" w:eastAsia="Palatino Linotype" w:hAnsi="Palatino Linotype" w:cs="Palatino Linotype"/>
          <w:b/>
          <w:bCs/>
        </w:rPr>
        <w:t xml:space="preserve"> SUJETO OBLIGADO, </w:t>
      </w:r>
      <w:r w:rsidRPr="00760C90">
        <w:rPr>
          <w:rFonts w:ascii="Palatino Linotype" w:eastAsia="Palatino Linotype" w:hAnsi="Palatino Linotype" w:cs="Palatino Linotype"/>
        </w:rPr>
        <w:t>se procede a dictar la presente resolución, con base en los siguientes:</w:t>
      </w:r>
    </w:p>
    <w:p w:rsidR="00760C90" w:rsidRPr="00760C90" w:rsidRDefault="00760C90" w:rsidP="00373347">
      <w:pPr>
        <w:pBdr>
          <w:top w:val="nil"/>
          <w:left w:val="nil"/>
          <w:bottom w:val="nil"/>
          <w:right w:val="nil"/>
          <w:between w:val="nil"/>
        </w:pBdr>
        <w:spacing w:line="360" w:lineRule="auto"/>
        <w:jc w:val="both"/>
        <w:rPr>
          <w:rFonts w:ascii="Palatino Linotype" w:eastAsia="Palatino Linotype" w:hAnsi="Palatino Linotype" w:cs="Palatino Linotype"/>
        </w:rPr>
      </w:pPr>
    </w:p>
    <w:p w:rsidR="00373347" w:rsidRPr="00760C90" w:rsidRDefault="00373347" w:rsidP="00373347">
      <w:pPr>
        <w:pBdr>
          <w:top w:val="nil"/>
          <w:left w:val="nil"/>
          <w:bottom w:val="nil"/>
          <w:right w:val="nil"/>
          <w:between w:val="nil"/>
        </w:pBdr>
        <w:spacing w:line="360" w:lineRule="auto"/>
        <w:jc w:val="center"/>
        <w:rPr>
          <w:rFonts w:ascii="Palatino Linotype" w:eastAsia="Palatino Linotype" w:hAnsi="Palatino Linotype" w:cs="Palatino Linotype"/>
          <w:b/>
          <w:bCs/>
        </w:rPr>
      </w:pPr>
      <w:bookmarkStart w:id="4" w:name="_heading=h.vxic84vjz2q1" w:colFirst="0" w:colLast="0"/>
      <w:bookmarkEnd w:id="4"/>
      <w:r w:rsidRPr="00760C90">
        <w:rPr>
          <w:rFonts w:ascii="Palatino Linotype" w:eastAsia="Palatino Linotype" w:hAnsi="Palatino Linotype" w:cs="Palatino Linotype"/>
          <w:b/>
          <w:bCs/>
        </w:rPr>
        <w:t>A N T E C E D E N T E S</w:t>
      </w:r>
    </w:p>
    <w:p w:rsidR="00373347" w:rsidRPr="00760C90" w:rsidRDefault="00373347" w:rsidP="00373347">
      <w:pPr>
        <w:pBdr>
          <w:top w:val="nil"/>
          <w:left w:val="nil"/>
          <w:bottom w:val="nil"/>
          <w:right w:val="nil"/>
          <w:between w:val="nil"/>
        </w:pBdr>
        <w:spacing w:line="360" w:lineRule="auto"/>
        <w:jc w:val="both"/>
        <w:rPr>
          <w:rFonts w:ascii="Palatino Linotype" w:eastAsia="Palatino Linotype" w:hAnsi="Palatino Linotype" w:cs="Palatino Linotype"/>
        </w:rPr>
      </w:pPr>
    </w:p>
    <w:p w:rsidR="00373347" w:rsidRDefault="00373347" w:rsidP="0037334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 xml:space="preserve">El </w:t>
      </w:r>
      <w:r w:rsidR="00793440" w:rsidRPr="00760C90">
        <w:rPr>
          <w:rFonts w:ascii="Palatino Linotype" w:eastAsia="Palatino Linotype" w:hAnsi="Palatino Linotype" w:cs="Palatino Linotype"/>
          <w:b/>
          <w:bCs/>
          <w:color w:val="000000"/>
        </w:rPr>
        <w:t>cuatro, seis, once y doce de mayo</w:t>
      </w:r>
      <w:r w:rsidRPr="00760C90">
        <w:rPr>
          <w:rFonts w:ascii="Palatino Linotype" w:eastAsia="Palatino Linotype" w:hAnsi="Palatino Linotype" w:cs="Palatino Linotype"/>
          <w:b/>
          <w:bCs/>
          <w:color w:val="000000"/>
        </w:rPr>
        <w:t xml:space="preserve"> de dos mil veinticinco</w:t>
      </w:r>
      <w:r w:rsidRPr="00760C90">
        <w:rPr>
          <w:rFonts w:ascii="Palatino Linotype" w:eastAsia="Palatino Linotype" w:hAnsi="Palatino Linotype" w:cs="Palatino Linotype"/>
          <w:color w:val="000000"/>
        </w:rPr>
        <w:t xml:space="preserve">, </w:t>
      </w:r>
      <w:r w:rsidRPr="00760C90">
        <w:rPr>
          <w:rFonts w:ascii="Palatino Linotype" w:eastAsia="Palatino Linotype" w:hAnsi="Palatino Linotype" w:cs="Palatino Linotype"/>
          <w:b/>
          <w:bCs/>
          <w:color w:val="000000"/>
        </w:rPr>
        <w:t xml:space="preserve">EL RECURRENTE </w:t>
      </w:r>
      <w:r w:rsidRPr="00760C90">
        <w:rPr>
          <w:rFonts w:ascii="Palatino Linotype" w:eastAsia="Palatino Linotype" w:hAnsi="Palatino Linotype" w:cs="Palatino Linotype"/>
          <w:color w:val="000000"/>
        </w:rPr>
        <w:t>presentó</w:t>
      </w:r>
      <w:r w:rsidRPr="00760C90">
        <w:rPr>
          <w:rFonts w:ascii="Palatino Linotype" w:eastAsia="Palatino Linotype" w:hAnsi="Palatino Linotype" w:cs="Palatino Linotype"/>
          <w:b/>
          <w:bCs/>
          <w:color w:val="000000"/>
        </w:rPr>
        <w:t>,</w:t>
      </w:r>
      <w:r w:rsidRPr="00760C90">
        <w:rPr>
          <w:rFonts w:ascii="Palatino Linotype" w:eastAsia="Palatino Linotype" w:hAnsi="Palatino Linotype" w:cs="Palatino Linotype"/>
          <w:color w:val="000000"/>
        </w:rPr>
        <w:t xml:space="preserve"> ante el </w:t>
      </w:r>
      <w:r w:rsidRPr="00760C90">
        <w:rPr>
          <w:rFonts w:ascii="Palatino Linotype" w:eastAsia="Palatino Linotype" w:hAnsi="Palatino Linotype" w:cs="Palatino Linotype"/>
          <w:b/>
          <w:bCs/>
          <w:color w:val="000000"/>
        </w:rPr>
        <w:t>SUJETO OBLIGADO</w:t>
      </w:r>
      <w:r w:rsidRPr="00760C90">
        <w:rPr>
          <w:rFonts w:ascii="Palatino Linotype" w:eastAsia="Palatino Linotype" w:hAnsi="Palatino Linotype" w:cs="Palatino Linotype"/>
          <w:color w:val="000000"/>
        </w:rPr>
        <w:t xml:space="preserve"> vía Sistema de Acceso a la Información Mexiquense (SAIMEX), la</w:t>
      </w:r>
      <w:r w:rsidR="00793440" w:rsidRPr="00760C90">
        <w:rPr>
          <w:rFonts w:ascii="Palatino Linotype" w:eastAsia="Palatino Linotype" w:hAnsi="Palatino Linotype" w:cs="Palatino Linotype"/>
          <w:color w:val="000000"/>
        </w:rPr>
        <w:t>s</w:t>
      </w:r>
      <w:r w:rsidRPr="00760C90">
        <w:rPr>
          <w:rFonts w:ascii="Palatino Linotype" w:eastAsia="Palatino Linotype" w:hAnsi="Palatino Linotype" w:cs="Palatino Linotype"/>
          <w:color w:val="000000"/>
        </w:rPr>
        <w:t xml:space="preserve"> solicitud</w:t>
      </w:r>
      <w:r w:rsidR="00793440" w:rsidRPr="00760C90">
        <w:rPr>
          <w:rFonts w:ascii="Palatino Linotype" w:eastAsia="Palatino Linotype" w:hAnsi="Palatino Linotype" w:cs="Palatino Linotype"/>
          <w:color w:val="000000"/>
        </w:rPr>
        <w:t>es</w:t>
      </w:r>
      <w:r w:rsidRPr="00760C90">
        <w:rPr>
          <w:rFonts w:ascii="Palatino Linotype" w:eastAsia="Palatino Linotype" w:hAnsi="Palatino Linotype" w:cs="Palatino Linotype"/>
          <w:color w:val="000000"/>
        </w:rPr>
        <w:t xml:space="preserve"> de información pública</w:t>
      </w:r>
      <w:r w:rsidR="00793440" w:rsidRPr="00760C90">
        <w:rPr>
          <w:rFonts w:ascii="Palatino Linotype" w:eastAsia="Palatino Linotype" w:hAnsi="Palatino Linotype" w:cs="Palatino Linotype"/>
          <w:color w:val="000000"/>
        </w:rPr>
        <w:t>s</w:t>
      </w:r>
      <w:r w:rsidRPr="00760C90">
        <w:rPr>
          <w:rFonts w:ascii="Palatino Linotype" w:eastAsia="Palatino Linotype" w:hAnsi="Palatino Linotype" w:cs="Palatino Linotype"/>
          <w:color w:val="000000"/>
        </w:rPr>
        <w:t xml:space="preserve"> registrada</w:t>
      </w:r>
      <w:r w:rsidR="00793440" w:rsidRPr="00760C90">
        <w:rPr>
          <w:rFonts w:ascii="Palatino Linotype" w:eastAsia="Palatino Linotype" w:hAnsi="Palatino Linotype" w:cs="Palatino Linotype"/>
          <w:color w:val="000000"/>
        </w:rPr>
        <w:t>s</w:t>
      </w:r>
      <w:r w:rsidRPr="00760C90">
        <w:rPr>
          <w:rFonts w:ascii="Palatino Linotype" w:eastAsia="Palatino Linotype" w:hAnsi="Palatino Linotype" w:cs="Palatino Linotype"/>
          <w:color w:val="000000"/>
        </w:rPr>
        <w:t xml:space="preserve"> con el número </w:t>
      </w:r>
      <w:r w:rsidR="00793440" w:rsidRPr="00760C90">
        <w:rPr>
          <w:rFonts w:ascii="Palatino Linotype" w:eastAsia="Palatino Linotype" w:hAnsi="Palatino Linotype" w:cs="Palatino Linotype"/>
          <w:b/>
          <w:bCs/>
          <w:color w:val="000000"/>
        </w:rPr>
        <w:t>00228/TEPOTZOT/IP/2025</w:t>
      </w:r>
      <w:r w:rsidRPr="00760C90">
        <w:rPr>
          <w:rFonts w:ascii="Palatino Linotype" w:eastAsia="Palatino Linotype" w:hAnsi="Palatino Linotype" w:cs="Palatino Linotype"/>
          <w:b/>
          <w:bCs/>
          <w:color w:val="000000"/>
        </w:rPr>
        <w:t>,</w:t>
      </w:r>
      <w:r w:rsidR="00793440" w:rsidRPr="00760C90">
        <w:rPr>
          <w:rFonts w:ascii="Palatino Linotype" w:eastAsia="Palatino Linotype" w:hAnsi="Palatino Linotype" w:cs="Palatino Linotype"/>
          <w:b/>
          <w:bCs/>
          <w:color w:val="000000"/>
        </w:rPr>
        <w:t xml:space="preserve"> 00208/TEPOTZOT/IP/2025, 00232/TEPOTZOT/IP/2025, 00218/TEPOTZOT/IP/2025 y 00217/TEPOTZOT/IP/2025,</w:t>
      </w:r>
      <w:r w:rsidRPr="00760C90">
        <w:rPr>
          <w:rFonts w:ascii="Palatino Linotype" w:eastAsia="Palatino Linotype" w:hAnsi="Palatino Linotype" w:cs="Palatino Linotype"/>
          <w:b/>
          <w:bCs/>
          <w:color w:val="000000"/>
        </w:rPr>
        <w:t xml:space="preserve"> </w:t>
      </w:r>
      <w:r w:rsidR="00760C90">
        <w:rPr>
          <w:rFonts w:ascii="Palatino Linotype" w:eastAsia="Palatino Linotype" w:hAnsi="Palatino Linotype" w:cs="Palatino Linotype"/>
          <w:color w:val="000000"/>
        </w:rPr>
        <w:t>en la que se</w:t>
      </w:r>
      <w:r w:rsidRPr="00760C90">
        <w:rPr>
          <w:rFonts w:ascii="Palatino Linotype" w:eastAsia="Palatino Linotype" w:hAnsi="Palatino Linotype" w:cs="Palatino Linotype"/>
          <w:color w:val="000000"/>
        </w:rPr>
        <w:t xml:space="preserve"> solicitó lo siguiente:</w:t>
      </w:r>
    </w:p>
    <w:p w:rsidR="00760C90" w:rsidRPr="00760C90" w:rsidRDefault="00760C90" w:rsidP="00760C9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Style w:val="Tablaconcuadrcula"/>
        <w:tblW w:w="0" w:type="auto"/>
        <w:jc w:val="center"/>
        <w:tblLook w:val="04A0" w:firstRow="1" w:lastRow="0" w:firstColumn="1" w:lastColumn="0" w:noHBand="0" w:noVBand="1"/>
      </w:tblPr>
      <w:tblGrid>
        <w:gridCol w:w="3983"/>
        <w:gridCol w:w="5651"/>
      </w:tblGrid>
      <w:tr w:rsidR="00793440" w:rsidRPr="00760C90" w:rsidTr="00760C90">
        <w:trPr>
          <w:jc w:val="center"/>
        </w:trPr>
        <w:tc>
          <w:tcPr>
            <w:tcW w:w="3983" w:type="dxa"/>
          </w:tcPr>
          <w:p w:rsidR="00793440" w:rsidRPr="00760C90" w:rsidRDefault="00793440" w:rsidP="00760C90">
            <w:pPr>
              <w:jc w:val="center"/>
              <w:rPr>
                <w:rFonts w:ascii="Palatino Linotype" w:eastAsia="Palatino Linotype" w:hAnsi="Palatino Linotype" w:cs="Palatino Linotype"/>
                <w:b/>
                <w:i/>
              </w:rPr>
            </w:pPr>
            <w:r w:rsidRPr="00760C90">
              <w:rPr>
                <w:rFonts w:ascii="Palatino Linotype" w:eastAsia="Palatino Linotype" w:hAnsi="Palatino Linotype" w:cs="Palatino Linotype"/>
                <w:b/>
                <w:i/>
              </w:rPr>
              <w:t>Solicitud de información</w:t>
            </w:r>
          </w:p>
        </w:tc>
        <w:tc>
          <w:tcPr>
            <w:tcW w:w="5651" w:type="dxa"/>
          </w:tcPr>
          <w:p w:rsidR="00793440" w:rsidRPr="00760C90" w:rsidRDefault="00793440" w:rsidP="00760C90">
            <w:pPr>
              <w:jc w:val="center"/>
              <w:rPr>
                <w:rFonts w:ascii="Palatino Linotype" w:eastAsia="Palatino Linotype" w:hAnsi="Palatino Linotype" w:cs="Palatino Linotype"/>
                <w:b/>
                <w:i/>
              </w:rPr>
            </w:pPr>
            <w:r w:rsidRPr="00760C90">
              <w:rPr>
                <w:rFonts w:ascii="Palatino Linotype" w:eastAsia="Palatino Linotype" w:hAnsi="Palatino Linotype" w:cs="Palatino Linotype"/>
                <w:b/>
                <w:i/>
              </w:rPr>
              <w:t>Información solicitada</w:t>
            </w:r>
          </w:p>
        </w:tc>
      </w:tr>
      <w:tr w:rsidR="00793440" w:rsidRPr="00760C90" w:rsidTr="00760C90">
        <w:trPr>
          <w:jc w:val="center"/>
        </w:trPr>
        <w:tc>
          <w:tcPr>
            <w:tcW w:w="3983" w:type="dxa"/>
          </w:tcPr>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Solicitud  00228/TEPOTZOT/IP/2025</w:t>
            </w:r>
          </w:p>
          <w:p w:rsidR="00793440" w:rsidRPr="00760C90" w:rsidRDefault="00793440" w:rsidP="000F08C0">
            <w:pPr>
              <w:jc w:val="both"/>
              <w:rPr>
                <w:rFonts w:ascii="Palatino Linotype" w:eastAsia="Palatino Linotype" w:hAnsi="Palatino Linotype" w:cs="Palatino Linotype"/>
                <w:i/>
              </w:rPr>
            </w:pPr>
          </w:p>
        </w:tc>
        <w:tc>
          <w:tcPr>
            <w:tcW w:w="5651" w:type="dxa"/>
          </w:tcPr>
          <w:p w:rsidR="00793440" w:rsidRPr="00760C90" w:rsidRDefault="0079344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i/>
              </w:rPr>
              <w:t>“El documento en el que se encuentren los motivos por lo que el cabildo le otorgó licencia a la presidenta municipal María de los Angeles Zuppa Villegas para dejar el cargo”</w:t>
            </w:r>
          </w:p>
        </w:tc>
      </w:tr>
      <w:tr w:rsidR="00793440" w:rsidRPr="00760C90" w:rsidTr="00760C90">
        <w:trPr>
          <w:jc w:val="center"/>
        </w:trPr>
        <w:tc>
          <w:tcPr>
            <w:tcW w:w="3983" w:type="dxa"/>
          </w:tcPr>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Solicitud 00208/TEPOTZOT/IP/2025</w:t>
            </w:r>
          </w:p>
          <w:p w:rsidR="00793440" w:rsidRPr="00760C90" w:rsidRDefault="00793440" w:rsidP="000F08C0">
            <w:pPr>
              <w:jc w:val="both"/>
              <w:rPr>
                <w:rFonts w:ascii="Palatino Linotype" w:eastAsia="Palatino Linotype" w:hAnsi="Palatino Linotype" w:cs="Palatino Linotype"/>
                <w:i/>
              </w:rPr>
            </w:pPr>
          </w:p>
        </w:tc>
        <w:tc>
          <w:tcPr>
            <w:tcW w:w="5651" w:type="dxa"/>
          </w:tcPr>
          <w:p w:rsidR="00793440" w:rsidRPr="00760C90" w:rsidRDefault="0079344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i/>
              </w:rPr>
              <w:t xml:space="preserve">“Cuál fue la causa justificada de la Presidenta María de los Ángeles Zuppa Villegas, para pedir licencia para separarse del cargo, si ya se separó más de 15 días y las faltas temporales que excedan de quince días naturales </w:t>
            </w:r>
            <w:r w:rsidRPr="00760C90">
              <w:rPr>
                <w:rFonts w:ascii="Palatino Linotype" w:eastAsia="Palatino Linotype" w:hAnsi="Palatino Linotype" w:cs="Palatino Linotype"/>
                <w:i/>
              </w:rPr>
              <w:lastRenderedPageBreak/>
              <w:t>serán aprobadas por el Ayuntamiento cuando exista causa justificada, queremos conocer cuál fue esa causa justificada.”</w:t>
            </w:r>
          </w:p>
        </w:tc>
      </w:tr>
      <w:tr w:rsidR="00793440" w:rsidRPr="00760C90" w:rsidTr="00760C90">
        <w:trPr>
          <w:jc w:val="center"/>
        </w:trPr>
        <w:tc>
          <w:tcPr>
            <w:tcW w:w="3983" w:type="dxa"/>
          </w:tcPr>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lastRenderedPageBreak/>
              <w:t>Solicitud 00232/TEPOTZOT/IP/2025</w:t>
            </w:r>
          </w:p>
          <w:p w:rsidR="00793440" w:rsidRPr="00760C90" w:rsidRDefault="00793440" w:rsidP="000F08C0">
            <w:pPr>
              <w:jc w:val="both"/>
              <w:rPr>
                <w:rFonts w:ascii="Palatino Linotype" w:eastAsia="Palatino Linotype" w:hAnsi="Palatino Linotype" w:cs="Palatino Linotype"/>
                <w:i/>
              </w:rPr>
            </w:pPr>
          </w:p>
        </w:tc>
        <w:tc>
          <w:tcPr>
            <w:tcW w:w="5651" w:type="dxa"/>
          </w:tcPr>
          <w:p w:rsidR="00793440" w:rsidRPr="00760C90" w:rsidRDefault="0079344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i/>
              </w:rPr>
              <w:t>“La fecha en la que María de los Ángeles zuppa Villegas regresa al cargo de presidenta municipal.”</w:t>
            </w:r>
          </w:p>
        </w:tc>
      </w:tr>
      <w:tr w:rsidR="00793440" w:rsidRPr="00760C90" w:rsidTr="00760C90">
        <w:trPr>
          <w:jc w:val="center"/>
        </w:trPr>
        <w:tc>
          <w:tcPr>
            <w:tcW w:w="3983" w:type="dxa"/>
          </w:tcPr>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Solicitud</w:t>
            </w:r>
          </w:p>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00218/TEPOTZOT/IP/2025</w:t>
            </w:r>
          </w:p>
        </w:tc>
        <w:tc>
          <w:tcPr>
            <w:tcW w:w="5651" w:type="dxa"/>
          </w:tcPr>
          <w:p w:rsidR="00793440" w:rsidRPr="00760C90" w:rsidRDefault="0079344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i/>
              </w:rPr>
              <w:t>“¿Por qué se separó María de los Angeles Zuppw Villegas del cargo de Presidenta?”</w:t>
            </w:r>
          </w:p>
        </w:tc>
      </w:tr>
      <w:tr w:rsidR="00793440" w:rsidRPr="00760C90" w:rsidTr="00760C90">
        <w:trPr>
          <w:jc w:val="center"/>
        </w:trPr>
        <w:tc>
          <w:tcPr>
            <w:tcW w:w="3983" w:type="dxa"/>
          </w:tcPr>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Solicitud</w:t>
            </w:r>
          </w:p>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00217/TEPOTZOT/IP/2025</w:t>
            </w:r>
          </w:p>
        </w:tc>
        <w:tc>
          <w:tcPr>
            <w:tcW w:w="5651" w:type="dxa"/>
          </w:tcPr>
          <w:p w:rsidR="00793440" w:rsidRPr="00760C90" w:rsidRDefault="0079344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i/>
              </w:rPr>
              <w:t>“¿Cuándo regresa al cargo la Presidenta María de los Ángeles Zuppa Villegas?”</w:t>
            </w:r>
          </w:p>
        </w:tc>
      </w:tr>
    </w:tbl>
    <w:p w:rsidR="00373347" w:rsidRDefault="00373347" w:rsidP="00373347">
      <w:pPr>
        <w:pBdr>
          <w:top w:val="nil"/>
          <w:left w:val="nil"/>
          <w:bottom w:val="nil"/>
          <w:right w:val="nil"/>
          <w:between w:val="nil"/>
        </w:pBdr>
        <w:spacing w:line="360" w:lineRule="auto"/>
        <w:jc w:val="both"/>
        <w:rPr>
          <w:rFonts w:ascii="Palatino Linotype" w:eastAsia="Palatino Linotype" w:hAnsi="Palatino Linotype" w:cs="Palatino Linotype"/>
          <w:i/>
          <w:iCs/>
        </w:rPr>
      </w:pPr>
    </w:p>
    <w:p w:rsidR="00760C90" w:rsidRPr="00760C90" w:rsidRDefault="00760C90" w:rsidP="00373347">
      <w:pPr>
        <w:pBdr>
          <w:top w:val="nil"/>
          <w:left w:val="nil"/>
          <w:bottom w:val="nil"/>
          <w:right w:val="nil"/>
          <w:between w:val="nil"/>
        </w:pBdr>
        <w:spacing w:line="360" w:lineRule="auto"/>
        <w:jc w:val="both"/>
        <w:rPr>
          <w:rFonts w:ascii="Palatino Linotype" w:eastAsia="Palatino Linotype" w:hAnsi="Palatino Linotype" w:cs="Palatino Linotype"/>
          <w:i/>
          <w:iCs/>
        </w:rPr>
      </w:pPr>
    </w:p>
    <w:p w:rsidR="00373347" w:rsidRPr="00760C90" w:rsidRDefault="00373347" w:rsidP="0037334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 xml:space="preserve">Señaló como modalidad de entrega de la información a través del Sistema de Acceso a la Información. </w:t>
      </w:r>
    </w:p>
    <w:p w:rsidR="00373347" w:rsidRPr="00760C90" w:rsidRDefault="00373347" w:rsidP="00373347">
      <w:pPr>
        <w:pBdr>
          <w:top w:val="nil"/>
          <w:left w:val="nil"/>
          <w:bottom w:val="nil"/>
          <w:right w:val="nil"/>
          <w:between w:val="nil"/>
        </w:pBdr>
        <w:ind w:left="720"/>
        <w:rPr>
          <w:rFonts w:ascii="Palatino Linotype" w:eastAsia="Palatino Linotype" w:hAnsi="Palatino Linotype" w:cs="Palatino Linotype"/>
          <w:color w:val="000000"/>
        </w:rPr>
      </w:pPr>
    </w:p>
    <w:p w:rsidR="00793440" w:rsidRPr="00760C90" w:rsidRDefault="00793440" w:rsidP="00793440">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60C90">
        <w:rPr>
          <w:rFonts w:ascii="Palatino Linotype" w:eastAsia="Palatino Linotype" w:hAnsi="Palatino Linotype" w:cs="Palatino Linotype"/>
        </w:rPr>
        <w:t xml:space="preserve">De lo </w:t>
      </w:r>
      <w:r w:rsidRPr="00760C90">
        <w:rPr>
          <w:rFonts w:ascii="Palatino Linotype" w:eastAsia="Palatino Linotype" w:hAnsi="Palatino Linotype" w:cs="Palatino Linotype"/>
          <w:color w:val="000000"/>
        </w:rPr>
        <w:t>anterior</w:t>
      </w:r>
      <w:r w:rsidRPr="00760C90">
        <w:rPr>
          <w:rFonts w:ascii="Palatino Linotype" w:eastAsia="Palatino Linotype" w:hAnsi="Palatino Linotype" w:cs="Palatino Linotype"/>
        </w:rPr>
        <w:t xml:space="preserve">, el </w:t>
      </w:r>
      <w:r w:rsidRPr="00760C90">
        <w:rPr>
          <w:rFonts w:ascii="Palatino Linotype" w:eastAsia="Palatino Linotype" w:hAnsi="Palatino Linotype" w:cs="Palatino Linotype"/>
          <w:b/>
        </w:rPr>
        <w:t xml:space="preserve">trece de mayo de dos mil veinticinco, </w:t>
      </w:r>
      <w:r w:rsidRPr="00760C90">
        <w:rPr>
          <w:rFonts w:ascii="Palatino Linotype" w:eastAsia="Palatino Linotype" w:hAnsi="Palatino Linotype" w:cs="Palatino Linotype"/>
        </w:rPr>
        <w:t xml:space="preserve">giro los requerimientos para que fueran atendidas las solicitudes de información </w:t>
      </w:r>
      <w:r w:rsidRPr="00760C90">
        <w:rPr>
          <w:rFonts w:ascii="Palatino Linotype" w:eastAsia="Palatino Linotype" w:hAnsi="Palatino Linotype" w:cs="Palatino Linotype"/>
          <w:b/>
        </w:rPr>
        <w:t xml:space="preserve">00228/TEPOTZOT/IP/2025, 00208/TEPOTZOT/IP/2025, 00232/TEPOTZOT/IP/2025, 00218/TEPOTZOT/IP/2025 y 00217/TEPOTZOT/IP/2025. </w:t>
      </w:r>
    </w:p>
    <w:p w:rsidR="00793440" w:rsidRPr="00760C90" w:rsidRDefault="00793440" w:rsidP="00793440">
      <w:pPr>
        <w:spacing w:line="360" w:lineRule="auto"/>
        <w:jc w:val="both"/>
        <w:rPr>
          <w:rFonts w:ascii="Palatino Linotype" w:eastAsia="Palatino Linotype" w:hAnsi="Palatino Linotype" w:cs="Palatino Linotype"/>
        </w:rPr>
      </w:pPr>
    </w:p>
    <w:p w:rsidR="00793440" w:rsidRPr="00760C90" w:rsidRDefault="00793440" w:rsidP="00793440">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60C90">
        <w:rPr>
          <w:rFonts w:ascii="Palatino Linotype" w:eastAsia="Palatino Linotype" w:hAnsi="Palatino Linotype" w:cs="Palatino Linotype"/>
          <w:color w:val="000000"/>
        </w:rPr>
        <w:t>Seguidamente</w:t>
      </w:r>
      <w:r w:rsidRPr="00760C90">
        <w:rPr>
          <w:rFonts w:ascii="Palatino Linotype" w:eastAsia="Palatino Linotype" w:hAnsi="Palatino Linotype" w:cs="Palatino Linotype"/>
        </w:rPr>
        <w:t xml:space="preserve">, </w:t>
      </w:r>
      <w:r w:rsidRPr="00760C90">
        <w:rPr>
          <w:rFonts w:ascii="Palatino Linotype" w:eastAsia="Palatino Linotype" w:hAnsi="Palatino Linotype" w:cs="Palatino Linotype"/>
          <w:b/>
        </w:rPr>
        <w:t xml:space="preserve">el veintisiete de mayo y tres de junio de dos mil veinticinco, </w:t>
      </w:r>
      <w:r w:rsidRPr="00760C90">
        <w:rPr>
          <w:rFonts w:ascii="Palatino Linotype" w:eastAsia="Palatino Linotype" w:hAnsi="Palatino Linotype" w:cs="Palatino Linotype"/>
        </w:rPr>
        <w:t xml:space="preserve">el </w:t>
      </w:r>
      <w:r w:rsidRPr="00760C90">
        <w:rPr>
          <w:rFonts w:ascii="Palatino Linotype" w:eastAsia="Palatino Linotype" w:hAnsi="Palatino Linotype" w:cs="Palatino Linotype"/>
          <w:b/>
        </w:rPr>
        <w:t xml:space="preserve">SUJETO OBLIGADO </w:t>
      </w:r>
      <w:r w:rsidRPr="00760C90">
        <w:rPr>
          <w:rFonts w:ascii="Palatino Linotype" w:eastAsia="Palatino Linotype" w:hAnsi="Palatino Linotype" w:cs="Palatino Linotype"/>
        </w:rPr>
        <w:t xml:space="preserve">emitió el acuerdo de prórroga para que fueran atendidas solicitudes de información </w:t>
      </w:r>
      <w:r w:rsidRPr="00760C90">
        <w:rPr>
          <w:rFonts w:ascii="Palatino Linotype" w:eastAsia="Palatino Linotype" w:hAnsi="Palatino Linotype" w:cs="Palatino Linotype"/>
          <w:b/>
        </w:rPr>
        <w:t xml:space="preserve">00228/TEPOTZOT/IP/2025, 00208/TEPOTZOT/IP/2025, 00232/TEPOTZOT/IP/2025, 00218/TEPOTZOT/IP/2025 y 00217/TEPOTZOT/IP/2025. </w:t>
      </w:r>
    </w:p>
    <w:p w:rsidR="00793440" w:rsidRPr="00760C90" w:rsidRDefault="00793440" w:rsidP="00793440">
      <w:pPr>
        <w:spacing w:line="360" w:lineRule="auto"/>
        <w:jc w:val="both"/>
        <w:rPr>
          <w:rFonts w:ascii="Palatino Linotype" w:eastAsia="Palatino Linotype" w:hAnsi="Palatino Linotype" w:cs="Palatino Linotype"/>
        </w:rPr>
      </w:pPr>
    </w:p>
    <w:p w:rsidR="00793440" w:rsidRPr="00760C90" w:rsidRDefault="00793440" w:rsidP="00793440">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 xml:space="preserve">Como se observa del tablero del Sistema de Acceso a la Información el </w:t>
      </w:r>
      <w:r w:rsidRPr="00760C90">
        <w:rPr>
          <w:rFonts w:ascii="Palatino Linotype" w:eastAsia="Palatino Linotype" w:hAnsi="Palatino Linotype" w:cs="Palatino Linotype"/>
          <w:b/>
          <w:color w:val="000000"/>
        </w:rPr>
        <w:t xml:space="preserve">SUJETO OBLIGADO fue omiso en rendir respuesta a las solicitudes de información </w:t>
      </w:r>
      <w:r w:rsidRPr="00760C90">
        <w:rPr>
          <w:rFonts w:ascii="Palatino Linotype" w:eastAsia="Palatino Linotype" w:hAnsi="Palatino Linotype" w:cs="Palatino Linotype"/>
          <w:b/>
        </w:rPr>
        <w:t>00228/TEPOTZOT/IP/2025, 00208/TEPOTZOT/IP/2025, 00232/TEPOTZOT/IP/2025, 00218/TEPOTZOT/IP/2025 y 00217/TEPOTZOT/IP/2025</w:t>
      </w:r>
      <w:r w:rsidRPr="00760C90">
        <w:rPr>
          <w:rFonts w:ascii="Palatino Linotype" w:eastAsia="Palatino Linotype" w:hAnsi="Palatino Linotype" w:cs="Palatino Linotype"/>
          <w:color w:val="000000"/>
        </w:rPr>
        <w:t xml:space="preserve">. </w:t>
      </w:r>
    </w:p>
    <w:p w:rsidR="00793440" w:rsidRPr="00760C90" w:rsidRDefault="00793440" w:rsidP="00793440">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lastRenderedPageBreak/>
        <w:t xml:space="preserve">De lo anterior, el </w:t>
      </w:r>
      <w:r w:rsidRPr="00760C90">
        <w:rPr>
          <w:rFonts w:ascii="Palatino Linotype" w:eastAsia="Palatino Linotype" w:hAnsi="Palatino Linotype" w:cs="Palatino Linotype"/>
          <w:b/>
          <w:color w:val="000000"/>
        </w:rPr>
        <w:t xml:space="preserve">doce de junio de dos mil veinticinco, </w:t>
      </w:r>
      <w:r w:rsidRPr="00760C90">
        <w:rPr>
          <w:rFonts w:ascii="Palatino Linotype" w:eastAsia="Palatino Linotype" w:hAnsi="Palatino Linotype" w:cs="Palatino Linotype"/>
          <w:color w:val="000000"/>
        </w:rPr>
        <w:t xml:space="preserve">ante la falta de respuesta del </w:t>
      </w:r>
      <w:r w:rsidRPr="00760C90">
        <w:rPr>
          <w:rFonts w:ascii="Palatino Linotype" w:eastAsia="Palatino Linotype" w:hAnsi="Palatino Linotype" w:cs="Palatino Linotype"/>
          <w:b/>
          <w:color w:val="000000"/>
        </w:rPr>
        <w:t xml:space="preserve">SUJETO </w:t>
      </w:r>
      <w:r w:rsidRPr="00760C90">
        <w:rPr>
          <w:rFonts w:ascii="Palatino Linotype" w:eastAsia="Palatino Linotype" w:hAnsi="Palatino Linotype" w:cs="Palatino Linotype"/>
          <w:color w:val="000000"/>
        </w:rPr>
        <w:t>OBLIGADO</w:t>
      </w:r>
      <w:r w:rsidRPr="00760C90">
        <w:rPr>
          <w:rFonts w:ascii="Palatino Linotype" w:eastAsia="Palatino Linotype" w:hAnsi="Palatino Linotype" w:cs="Palatino Linotype"/>
          <w:b/>
          <w:color w:val="000000"/>
        </w:rPr>
        <w:t xml:space="preserve"> </w:t>
      </w:r>
      <w:r w:rsidRPr="00760C90">
        <w:rPr>
          <w:rFonts w:ascii="Palatino Linotype" w:eastAsia="Palatino Linotype" w:hAnsi="Palatino Linotype" w:cs="Palatino Linotype"/>
          <w:color w:val="000000"/>
        </w:rPr>
        <w:t xml:space="preserve">el entonces </w:t>
      </w:r>
      <w:r w:rsidRPr="00760C90">
        <w:rPr>
          <w:rFonts w:ascii="Palatino Linotype" w:eastAsia="Palatino Linotype" w:hAnsi="Palatino Linotype" w:cs="Palatino Linotype"/>
          <w:b/>
          <w:color w:val="000000"/>
        </w:rPr>
        <w:t xml:space="preserve">SOLICITANTE </w:t>
      </w:r>
      <w:r w:rsidRPr="00760C90">
        <w:rPr>
          <w:rFonts w:ascii="Palatino Linotype" w:eastAsia="Palatino Linotype" w:hAnsi="Palatino Linotype" w:cs="Palatino Linotype"/>
          <w:color w:val="000000"/>
        </w:rPr>
        <w:t xml:space="preserve">interpuso recurso de revisión por cada solicitud de información, mediante los cuales señalo lo siguiente. </w:t>
      </w:r>
    </w:p>
    <w:p w:rsidR="00793440" w:rsidRPr="00760C90" w:rsidRDefault="00793440" w:rsidP="00793440">
      <w:pPr>
        <w:pStyle w:val="Prrafodelista"/>
        <w:rPr>
          <w:rFonts w:ascii="Palatino Linotype" w:eastAsia="Palatino Linotype" w:hAnsi="Palatino Linotype" w:cs="Palatino Linotype"/>
          <w:color w:val="000000"/>
          <w:sz w:val="24"/>
        </w:rPr>
      </w:pPr>
    </w:p>
    <w:tbl>
      <w:tblPr>
        <w:tblStyle w:val="Tablaconcuadrcula"/>
        <w:tblW w:w="10060" w:type="dxa"/>
        <w:tblLook w:val="04A0" w:firstRow="1" w:lastRow="0" w:firstColumn="1" w:lastColumn="0" w:noHBand="0" w:noVBand="1"/>
      </w:tblPr>
      <w:tblGrid>
        <w:gridCol w:w="4086"/>
        <w:gridCol w:w="5974"/>
      </w:tblGrid>
      <w:tr w:rsidR="00793440" w:rsidRPr="00760C90" w:rsidTr="00760C90">
        <w:tc>
          <w:tcPr>
            <w:tcW w:w="4086" w:type="dxa"/>
          </w:tcPr>
          <w:p w:rsidR="00793440" w:rsidRPr="00760C90" w:rsidRDefault="0079344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i/>
              </w:rPr>
              <w:t xml:space="preserve">Recurso de revisión  </w:t>
            </w:r>
          </w:p>
        </w:tc>
        <w:tc>
          <w:tcPr>
            <w:tcW w:w="5974" w:type="dxa"/>
          </w:tcPr>
          <w:p w:rsidR="00793440" w:rsidRPr="00760C90" w:rsidRDefault="0079344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i/>
              </w:rPr>
              <w:t xml:space="preserve">Información solicitada </w:t>
            </w:r>
          </w:p>
        </w:tc>
      </w:tr>
      <w:tr w:rsidR="00793440" w:rsidRPr="00760C90" w:rsidTr="00760C90">
        <w:tc>
          <w:tcPr>
            <w:tcW w:w="4086" w:type="dxa"/>
          </w:tcPr>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00228/TEPOTZOT/IP/2025</w:t>
            </w:r>
          </w:p>
          <w:p w:rsidR="00793440" w:rsidRPr="00760C90" w:rsidRDefault="00793440" w:rsidP="000F08C0">
            <w:pPr>
              <w:ind w:right="900"/>
              <w:jc w:val="both"/>
              <w:rPr>
                <w:rFonts w:ascii="Palatino Linotype" w:eastAsia="Palatino Linotype" w:hAnsi="Palatino Linotype" w:cs="Palatino Linotype"/>
                <w:b/>
                <w:i/>
              </w:rPr>
            </w:pPr>
          </w:p>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06883/INFOEM/IP/RR/2025</w:t>
            </w:r>
          </w:p>
        </w:tc>
        <w:tc>
          <w:tcPr>
            <w:tcW w:w="5974" w:type="dxa"/>
          </w:tcPr>
          <w:p w:rsidR="00793440" w:rsidRPr="00760C90" w:rsidRDefault="00760C90" w:rsidP="000F08C0">
            <w:pPr>
              <w:jc w:val="both"/>
              <w:rPr>
                <w:rFonts w:ascii="Palatino Linotype" w:eastAsia="Palatino Linotype" w:hAnsi="Palatino Linotype" w:cs="Palatino Linotype"/>
                <w:b/>
                <w:i/>
              </w:rPr>
            </w:pPr>
            <w:r w:rsidRPr="00760C90">
              <w:rPr>
                <w:rFonts w:ascii="Palatino Linotype" w:eastAsia="Palatino Linotype" w:hAnsi="Palatino Linotype" w:cs="Palatino Linotype"/>
                <w:b/>
              </w:rPr>
              <w:t>ACTO IMPUGNADO</w:t>
            </w:r>
            <w:r w:rsidR="00793440" w:rsidRPr="00760C90">
              <w:rPr>
                <w:rFonts w:ascii="Palatino Linotype" w:eastAsia="Palatino Linotype" w:hAnsi="Palatino Linotype" w:cs="Palatino Linotype"/>
                <w:b/>
                <w:i/>
              </w:rPr>
              <w:t xml:space="preserve">: </w:t>
            </w:r>
            <w:r w:rsidR="00793440" w:rsidRPr="00760C90">
              <w:rPr>
                <w:rFonts w:ascii="Palatino Linotype" w:eastAsia="Palatino Linotype" w:hAnsi="Palatino Linotype" w:cs="Palatino Linotype"/>
                <w:i/>
              </w:rPr>
              <w:t>“No contestaron.”</w:t>
            </w:r>
            <w:r w:rsidR="00793440" w:rsidRPr="00760C90">
              <w:rPr>
                <w:rFonts w:ascii="Palatino Linotype" w:eastAsia="Palatino Linotype" w:hAnsi="Palatino Linotype" w:cs="Palatino Linotype"/>
                <w:b/>
                <w:i/>
              </w:rPr>
              <w:t xml:space="preserve"> </w:t>
            </w:r>
          </w:p>
          <w:p w:rsidR="00793440" w:rsidRPr="00760C90" w:rsidRDefault="00793440" w:rsidP="000F08C0">
            <w:pPr>
              <w:jc w:val="both"/>
              <w:rPr>
                <w:rFonts w:ascii="Palatino Linotype" w:eastAsia="Palatino Linotype" w:hAnsi="Palatino Linotype" w:cs="Palatino Linotype"/>
                <w:b/>
                <w:i/>
              </w:rPr>
            </w:pPr>
          </w:p>
          <w:p w:rsidR="00793440" w:rsidRPr="00760C90" w:rsidRDefault="00760C90" w:rsidP="000F08C0">
            <w:pPr>
              <w:jc w:val="both"/>
              <w:rPr>
                <w:rFonts w:ascii="Palatino Linotype" w:eastAsia="Palatino Linotype" w:hAnsi="Palatino Linotype" w:cs="Palatino Linotype"/>
                <w:b/>
                <w:i/>
              </w:rPr>
            </w:pPr>
            <w:r w:rsidRPr="00760C90">
              <w:rPr>
                <w:rFonts w:ascii="Palatino Linotype" w:eastAsia="Palatino Linotype" w:hAnsi="Palatino Linotype" w:cs="Palatino Linotype"/>
                <w:b/>
              </w:rPr>
              <w:t>RAZONES O MOTIVOS DE INCONFORMIDAD</w:t>
            </w:r>
            <w:r w:rsidR="00793440" w:rsidRPr="00760C90">
              <w:rPr>
                <w:rFonts w:ascii="Palatino Linotype" w:eastAsia="Palatino Linotype" w:hAnsi="Palatino Linotype" w:cs="Palatino Linotype"/>
                <w:b/>
                <w:i/>
              </w:rPr>
              <w:t xml:space="preserve">: </w:t>
            </w:r>
            <w:r w:rsidR="00793440" w:rsidRPr="00760C90">
              <w:rPr>
                <w:rFonts w:ascii="Palatino Linotype" w:eastAsia="Palatino Linotype" w:hAnsi="Palatino Linotype" w:cs="Palatino Linotype"/>
                <w:i/>
              </w:rPr>
              <w:t>“No contestaron.”</w:t>
            </w:r>
            <w:r w:rsidR="00793440" w:rsidRPr="00760C90">
              <w:rPr>
                <w:rFonts w:ascii="Palatino Linotype" w:eastAsia="Palatino Linotype" w:hAnsi="Palatino Linotype" w:cs="Palatino Linotype"/>
                <w:b/>
                <w:i/>
              </w:rPr>
              <w:t xml:space="preserve"> </w:t>
            </w:r>
          </w:p>
          <w:p w:rsidR="00793440" w:rsidRPr="00760C90" w:rsidRDefault="00793440" w:rsidP="000F08C0">
            <w:pPr>
              <w:jc w:val="both"/>
              <w:rPr>
                <w:rFonts w:ascii="Palatino Linotype" w:eastAsia="Palatino Linotype" w:hAnsi="Palatino Linotype" w:cs="Palatino Linotype"/>
                <w:i/>
              </w:rPr>
            </w:pPr>
          </w:p>
          <w:p w:rsidR="00793440" w:rsidRPr="00760C90" w:rsidRDefault="00793440" w:rsidP="000F08C0">
            <w:pPr>
              <w:jc w:val="both"/>
              <w:rPr>
                <w:rFonts w:ascii="Palatino Linotype" w:eastAsia="Palatino Linotype" w:hAnsi="Palatino Linotype" w:cs="Palatino Linotype"/>
                <w:i/>
              </w:rPr>
            </w:pPr>
          </w:p>
        </w:tc>
      </w:tr>
      <w:tr w:rsidR="00793440" w:rsidRPr="00760C90" w:rsidTr="00760C90">
        <w:tc>
          <w:tcPr>
            <w:tcW w:w="4086" w:type="dxa"/>
          </w:tcPr>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00208/TEPOTZOT/IP/2025</w:t>
            </w:r>
          </w:p>
          <w:p w:rsidR="00793440" w:rsidRPr="00760C90" w:rsidRDefault="00793440" w:rsidP="000F08C0">
            <w:pPr>
              <w:ind w:right="900"/>
              <w:jc w:val="both"/>
              <w:rPr>
                <w:rFonts w:ascii="Palatino Linotype" w:eastAsia="Palatino Linotype" w:hAnsi="Palatino Linotype" w:cs="Palatino Linotype"/>
                <w:b/>
                <w:i/>
              </w:rPr>
            </w:pPr>
          </w:p>
          <w:p w:rsidR="00793440" w:rsidRPr="00760C90" w:rsidRDefault="0079344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i/>
              </w:rPr>
              <w:t>06886/INFOEM/IP/RR/2025</w:t>
            </w:r>
          </w:p>
        </w:tc>
        <w:tc>
          <w:tcPr>
            <w:tcW w:w="5974" w:type="dxa"/>
          </w:tcPr>
          <w:p w:rsidR="00793440" w:rsidRPr="00760C90" w:rsidRDefault="00760C9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rPr>
              <w:t>ACTO IMPUGNADO</w:t>
            </w:r>
            <w:r w:rsidR="00793440" w:rsidRPr="00760C90">
              <w:rPr>
                <w:rFonts w:ascii="Palatino Linotype" w:eastAsia="Palatino Linotype" w:hAnsi="Palatino Linotype" w:cs="Palatino Linotype"/>
                <w:b/>
                <w:i/>
              </w:rPr>
              <w:t xml:space="preserve">: </w:t>
            </w:r>
            <w:r w:rsidR="00793440" w:rsidRPr="00760C90">
              <w:rPr>
                <w:rFonts w:ascii="Palatino Linotype" w:eastAsia="Palatino Linotype" w:hAnsi="Palatino Linotype" w:cs="Palatino Linotype"/>
                <w:i/>
              </w:rPr>
              <w:t>“No hay respuesta”</w:t>
            </w:r>
          </w:p>
          <w:p w:rsidR="00793440" w:rsidRPr="00760C90" w:rsidRDefault="00793440" w:rsidP="000F08C0">
            <w:pPr>
              <w:jc w:val="both"/>
              <w:rPr>
                <w:rFonts w:ascii="Palatino Linotype" w:eastAsia="Palatino Linotype" w:hAnsi="Palatino Linotype" w:cs="Palatino Linotype"/>
                <w:i/>
              </w:rPr>
            </w:pPr>
          </w:p>
          <w:p w:rsidR="00793440" w:rsidRPr="00760C90" w:rsidRDefault="00760C9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rPr>
              <w:t>RAZONES O MOTIVOS DE INCONFORMIDAD</w:t>
            </w:r>
            <w:r w:rsidR="00793440" w:rsidRPr="00760C90">
              <w:rPr>
                <w:rFonts w:ascii="Palatino Linotype" w:eastAsia="Palatino Linotype" w:hAnsi="Palatino Linotype" w:cs="Palatino Linotype"/>
                <w:b/>
                <w:i/>
              </w:rPr>
              <w:t xml:space="preserve">: </w:t>
            </w:r>
            <w:r w:rsidR="00793440" w:rsidRPr="00760C90">
              <w:rPr>
                <w:rFonts w:ascii="Palatino Linotype" w:eastAsia="Palatino Linotype" w:hAnsi="Palatino Linotype" w:cs="Palatino Linotype"/>
                <w:i/>
              </w:rPr>
              <w:t>“Sin respuesta”</w:t>
            </w:r>
          </w:p>
          <w:p w:rsidR="00793440" w:rsidRPr="00760C90" w:rsidRDefault="00793440" w:rsidP="000F08C0">
            <w:pPr>
              <w:jc w:val="both"/>
              <w:rPr>
                <w:rFonts w:ascii="Palatino Linotype" w:eastAsia="Palatino Linotype" w:hAnsi="Palatino Linotype" w:cs="Palatino Linotype"/>
                <w:i/>
              </w:rPr>
            </w:pPr>
          </w:p>
        </w:tc>
      </w:tr>
      <w:tr w:rsidR="00793440" w:rsidRPr="00760C90" w:rsidTr="00760C90">
        <w:tc>
          <w:tcPr>
            <w:tcW w:w="4086" w:type="dxa"/>
          </w:tcPr>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00232/TEPOTZOT/IP/2025</w:t>
            </w:r>
          </w:p>
          <w:p w:rsidR="00793440" w:rsidRPr="00760C90" w:rsidRDefault="00793440" w:rsidP="000F08C0">
            <w:pPr>
              <w:ind w:right="900"/>
              <w:jc w:val="both"/>
              <w:rPr>
                <w:rFonts w:ascii="Palatino Linotype" w:eastAsia="Palatino Linotype" w:hAnsi="Palatino Linotype" w:cs="Palatino Linotype"/>
                <w:b/>
                <w:i/>
              </w:rPr>
            </w:pPr>
          </w:p>
          <w:p w:rsidR="00793440" w:rsidRPr="00760C90" w:rsidRDefault="0079344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i/>
              </w:rPr>
              <w:t>06888/INFOEM/IP/RR/2025</w:t>
            </w:r>
          </w:p>
        </w:tc>
        <w:tc>
          <w:tcPr>
            <w:tcW w:w="5974" w:type="dxa"/>
          </w:tcPr>
          <w:p w:rsidR="00793440" w:rsidRPr="00760C90" w:rsidRDefault="00760C9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rPr>
              <w:t>ACTO IMPUGNADO</w:t>
            </w:r>
            <w:r w:rsidR="00793440" w:rsidRPr="00760C90">
              <w:rPr>
                <w:rFonts w:ascii="Palatino Linotype" w:eastAsia="Palatino Linotype" w:hAnsi="Palatino Linotype" w:cs="Palatino Linotype"/>
                <w:b/>
                <w:i/>
              </w:rPr>
              <w:t xml:space="preserve">: </w:t>
            </w:r>
            <w:r w:rsidR="00793440" w:rsidRPr="00760C90">
              <w:rPr>
                <w:rFonts w:ascii="Palatino Linotype" w:eastAsia="Palatino Linotype" w:hAnsi="Palatino Linotype" w:cs="Palatino Linotype"/>
                <w:i/>
              </w:rPr>
              <w:t>“No hay respuesta”</w:t>
            </w:r>
          </w:p>
          <w:p w:rsidR="00793440" w:rsidRPr="00760C90" w:rsidRDefault="00793440" w:rsidP="000F08C0">
            <w:pPr>
              <w:jc w:val="both"/>
              <w:rPr>
                <w:rFonts w:ascii="Palatino Linotype" w:eastAsia="Palatino Linotype" w:hAnsi="Palatino Linotype" w:cs="Palatino Linotype"/>
                <w:i/>
              </w:rPr>
            </w:pPr>
          </w:p>
          <w:p w:rsidR="00793440" w:rsidRPr="00760C90" w:rsidRDefault="00760C9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rPr>
              <w:t>RAZONES O MOTIVOS DE INCONFORMIDAD</w:t>
            </w:r>
            <w:r w:rsidR="00793440" w:rsidRPr="00760C90">
              <w:rPr>
                <w:rFonts w:ascii="Palatino Linotype" w:eastAsia="Palatino Linotype" w:hAnsi="Palatino Linotype" w:cs="Palatino Linotype"/>
                <w:b/>
                <w:i/>
              </w:rPr>
              <w:t xml:space="preserve">: </w:t>
            </w:r>
            <w:r w:rsidR="00793440" w:rsidRPr="00760C90">
              <w:rPr>
                <w:rFonts w:ascii="Palatino Linotype" w:eastAsia="Palatino Linotype" w:hAnsi="Palatino Linotype" w:cs="Palatino Linotype"/>
                <w:i/>
              </w:rPr>
              <w:t>“No hay respuesta”</w:t>
            </w:r>
          </w:p>
          <w:p w:rsidR="00793440" w:rsidRPr="00760C90" w:rsidRDefault="00793440" w:rsidP="000F08C0">
            <w:pPr>
              <w:jc w:val="both"/>
              <w:rPr>
                <w:rFonts w:ascii="Palatino Linotype" w:eastAsia="Palatino Linotype" w:hAnsi="Palatino Linotype" w:cs="Palatino Linotype"/>
                <w:i/>
              </w:rPr>
            </w:pPr>
          </w:p>
        </w:tc>
      </w:tr>
      <w:tr w:rsidR="00793440" w:rsidRPr="00760C90" w:rsidTr="00760C90">
        <w:tc>
          <w:tcPr>
            <w:tcW w:w="4086" w:type="dxa"/>
          </w:tcPr>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00218/TEPOTZOT/IP/2025</w:t>
            </w:r>
          </w:p>
          <w:p w:rsidR="00793440" w:rsidRPr="00760C90" w:rsidRDefault="00793440" w:rsidP="000F08C0">
            <w:pPr>
              <w:ind w:right="900"/>
              <w:jc w:val="both"/>
              <w:rPr>
                <w:rFonts w:ascii="Palatino Linotype" w:eastAsia="Palatino Linotype" w:hAnsi="Palatino Linotype" w:cs="Palatino Linotype"/>
                <w:b/>
                <w:i/>
              </w:rPr>
            </w:pPr>
          </w:p>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 xml:space="preserve">06894/INFOEM/IP/RR/2025  </w:t>
            </w:r>
          </w:p>
        </w:tc>
        <w:tc>
          <w:tcPr>
            <w:tcW w:w="5974" w:type="dxa"/>
          </w:tcPr>
          <w:p w:rsidR="00793440" w:rsidRPr="00760C90" w:rsidRDefault="00760C9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rPr>
              <w:t>ACTO IMPUGNADO</w:t>
            </w:r>
            <w:r w:rsidR="00793440" w:rsidRPr="00760C90">
              <w:rPr>
                <w:rFonts w:ascii="Palatino Linotype" w:eastAsia="Palatino Linotype" w:hAnsi="Palatino Linotype" w:cs="Palatino Linotype"/>
                <w:b/>
                <w:i/>
              </w:rPr>
              <w:t xml:space="preserve">: </w:t>
            </w:r>
            <w:r w:rsidR="00793440" w:rsidRPr="00760C90">
              <w:rPr>
                <w:rFonts w:ascii="Palatino Linotype" w:eastAsia="Palatino Linotype" w:hAnsi="Palatino Linotype" w:cs="Palatino Linotype"/>
                <w:i/>
              </w:rPr>
              <w:t>“Sin respuesta”</w:t>
            </w:r>
          </w:p>
          <w:p w:rsidR="00793440" w:rsidRPr="00760C90" w:rsidRDefault="00793440" w:rsidP="000F08C0">
            <w:pPr>
              <w:jc w:val="both"/>
              <w:rPr>
                <w:rFonts w:ascii="Palatino Linotype" w:eastAsia="Palatino Linotype" w:hAnsi="Palatino Linotype" w:cs="Palatino Linotype"/>
                <w:i/>
              </w:rPr>
            </w:pPr>
          </w:p>
          <w:p w:rsidR="00793440" w:rsidRPr="00760C90" w:rsidRDefault="00760C9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rPr>
              <w:t>RAZONES O MOTIVOS DE INCONFORMIDAD</w:t>
            </w:r>
            <w:r w:rsidR="00793440" w:rsidRPr="00760C90">
              <w:rPr>
                <w:rFonts w:ascii="Palatino Linotype" w:eastAsia="Palatino Linotype" w:hAnsi="Palatino Linotype" w:cs="Palatino Linotype"/>
                <w:b/>
                <w:i/>
              </w:rPr>
              <w:t xml:space="preserve">: </w:t>
            </w:r>
            <w:r w:rsidR="00793440" w:rsidRPr="00760C90">
              <w:rPr>
                <w:rFonts w:ascii="Palatino Linotype" w:eastAsia="Palatino Linotype" w:hAnsi="Palatino Linotype" w:cs="Palatino Linotype"/>
                <w:i/>
              </w:rPr>
              <w:t>“No hay respuesta”</w:t>
            </w:r>
          </w:p>
          <w:p w:rsidR="00793440" w:rsidRPr="00760C90" w:rsidRDefault="00793440" w:rsidP="000F08C0">
            <w:pPr>
              <w:jc w:val="both"/>
              <w:rPr>
                <w:rFonts w:ascii="Palatino Linotype" w:eastAsia="Palatino Linotype" w:hAnsi="Palatino Linotype" w:cs="Palatino Linotype"/>
                <w:i/>
              </w:rPr>
            </w:pPr>
          </w:p>
        </w:tc>
      </w:tr>
      <w:tr w:rsidR="00793440" w:rsidRPr="00760C90" w:rsidTr="00760C90">
        <w:tc>
          <w:tcPr>
            <w:tcW w:w="4086" w:type="dxa"/>
          </w:tcPr>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00217/TEPOTZOT/IP/2025</w:t>
            </w:r>
          </w:p>
          <w:p w:rsidR="00793440" w:rsidRPr="00760C90" w:rsidRDefault="00793440" w:rsidP="000F08C0">
            <w:pPr>
              <w:ind w:right="900"/>
              <w:jc w:val="both"/>
              <w:rPr>
                <w:rFonts w:ascii="Palatino Linotype" w:eastAsia="Palatino Linotype" w:hAnsi="Palatino Linotype" w:cs="Palatino Linotype"/>
                <w:b/>
                <w:i/>
              </w:rPr>
            </w:pPr>
          </w:p>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06895/INFOEM/IP/RR/2025</w:t>
            </w:r>
          </w:p>
        </w:tc>
        <w:tc>
          <w:tcPr>
            <w:tcW w:w="5974" w:type="dxa"/>
          </w:tcPr>
          <w:p w:rsidR="00793440" w:rsidRPr="00760C90" w:rsidRDefault="00760C9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rPr>
              <w:t>ACTO IMPUGNADO</w:t>
            </w:r>
            <w:r w:rsidR="00793440" w:rsidRPr="00760C90">
              <w:rPr>
                <w:rFonts w:ascii="Palatino Linotype" w:eastAsia="Palatino Linotype" w:hAnsi="Palatino Linotype" w:cs="Palatino Linotype"/>
                <w:b/>
                <w:i/>
              </w:rPr>
              <w:t xml:space="preserve">: </w:t>
            </w:r>
            <w:r w:rsidR="00793440" w:rsidRPr="00760C90">
              <w:rPr>
                <w:rFonts w:ascii="Palatino Linotype" w:eastAsia="Palatino Linotype" w:hAnsi="Palatino Linotype" w:cs="Palatino Linotype"/>
                <w:i/>
              </w:rPr>
              <w:t>“No hay respuesta”</w:t>
            </w:r>
          </w:p>
          <w:p w:rsidR="00793440" w:rsidRPr="00760C90" w:rsidRDefault="00793440" w:rsidP="000F08C0">
            <w:pPr>
              <w:jc w:val="both"/>
              <w:rPr>
                <w:rFonts w:ascii="Palatino Linotype" w:eastAsia="Palatino Linotype" w:hAnsi="Palatino Linotype" w:cs="Palatino Linotype"/>
                <w:i/>
              </w:rPr>
            </w:pPr>
          </w:p>
          <w:p w:rsidR="00793440" w:rsidRPr="00760C90" w:rsidRDefault="00760C9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rPr>
              <w:t>RAZONES O MOTIVOS DE INCONFORMIDAD</w:t>
            </w:r>
            <w:r w:rsidR="00793440" w:rsidRPr="00760C90">
              <w:rPr>
                <w:rFonts w:ascii="Palatino Linotype" w:eastAsia="Palatino Linotype" w:hAnsi="Palatino Linotype" w:cs="Palatino Linotype"/>
                <w:b/>
                <w:i/>
              </w:rPr>
              <w:t xml:space="preserve">: </w:t>
            </w:r>
            <w:r w:rsidR="00793440" w:rsidRPr="00760C90">
              <w:rPr>
                <w:rFonts w:ascii="Palatino Linotype" w:eastAsia="Palatino Linotype" w:hAnsi="Palatino Linotype" w:cs="Palatino Linotype"/>
                <w:i/>
              </w:rPr>
              <w:t>“No hay respuesta”</w:t>
            </w:r>
          </w:p>
        </w:tc>
      </w:tr>
    </w:tbl>
    <w:p w:rsidR="00793440" w:rsidRPr="00760C90" w:rsidRDefault="00793440" w:rsidP="00793440">
      <w:pPr>
        <w:spacing w:line="360" w:lineRule="auto"/>
        <w:rPr>
          <w:rFonts w:ascii="Palatino Linotype" w:eastAsia="Palatino Linotype" w:hAnsi="Palatino Linotype" w:cs="Palatino Linotype"/>
          <w:i/>
          <w:color w:val="000000"/>
        </w:rPr>
      </w:pPr>
    </w:p>
    <w:p w:rsidR="00793440" w:rsidRPr="00760C90" w:rsidRDefault="00793440" w:rsidP="00793440">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60C90">
        <w:rPr>
          <w:rFonts w:ascii="Palatino Linotype" w:eastAsia="Palatino Linotype" w:hAnsi="Palatino Linotype" w:cs="Palatino Linotype"/>
        </w:rPr>
        <w:t>Consecutivamente</w:t>
      </w:r>
      <w:r w:rsidRPr="00760C90">
        <w:rPr>
          <w:rFonts w:ascii="Palatino Linotype" w:eastAsia="Palatino Linotype" w:hAnsi="Palatino Linotype" w:cs="Palatino Linotype"/>
          <w:i/>
        </w:rPr>
        <w:t xml:space="preserve">, </w:t>
      </w:r>
      <w:r w:rsidRPr="00760C90">
        <w:rPr>
          <w:rFonts w:ascii="Palatino Linotype" w:eastAsia="Palatino Linotype" w:hAnsi="Palatino Linotype" w:cs="Palatino Linotype"/>
        </w:rPr>
        <w:t xml:space="preserve">con fundamento en lo dispuesto por el artículo 185 fracción I de la Ley de Transparencia y Acceso a la Información Pública del Estado de </w:t>
      </w:r>
      <w:r w:rsidRPr="00760C90">
        <w:rPr>
          <w:rFonts w:ascii="Palatino Linotype" w:eastAsia="Palatino Linotype" w:hAnsi="Palatino Linotype" w:cs="Palatino Linotype"/>
          <w:color w:val="000000"/>
        </w:rPr>
        <w:t>México</w:t>
      </w:r>
      <w:r w:rsidRPr="00760C90">
        <w:rPr>
          <w:rFonts w:ascii="Palatino Linotype" w:eastAsia="Palatino Linotype" w:hAnsi="Palatino Linotype" w:cs="Palatino Linotype"/>
        </w:rPr>
        <w:t xml:space="preserve"> y Municipios, los recursos de referencia, fueron turnados</w:t>
      </w:r>
      <w:r w:rsidRPr="00760C90">
        <w:rPr>
          <w:rFonts w:ascii="Palatino Linotype" w:eastAsia="Palatino Linotype" w:hAnsi="Palatino Linotype" w:cs="Palatino Linotype"/>
          <w:b/>
        </w:rPr>
        <w:t xml:space="preserve"> </w:t>
      </w:r>
      <w:r w:rsidRPr="00760C90">
        <w:rPr>
          <w:rFonts w:ascii="Palatino Linotype" w:eastAsia="Palatino Linotype" w:hAnsi="Palatino Linotype" w:cs="Palatino Linotype"/>
        </w:rPr>
        <w:t>a las Comisionadas</w:t>
      </w:r>
      <w:r w:rsidRPr="00760C90">
        <w:rPr>
          <w:rFonts w:ascii="Palatino Linotype" w:eastAsia="Palatino Linotype" w:hAnsi="Palatino Linotype" w:cs="Palatino Linotype"/>
          <w:b/>
        </w:rPr>
        <w:t xml:space="preserve"> María del Rosario Mejía Ayala, </w:t>
      </w:r>
      <w:r w:rsidRPr="00760C90">
        <w:rPr>
          <w:rFonts w:ascii="Palatino Linotype" w:eastAsia="Palatino Linotype" w:hAnsi="Palatino Linotype" w:cs="Palatino Linotype"/>
          <w:b/>
        </w:rPr>
        <w:lastRenderedPageBreak/>
        <w:t>Sharon Cristina Morales Martínez y Guadalupe Ramírez Peña</w:t>
      </w:r>
      <w:r w:rsidRPr="00760C90">
        <w:rPr>
          <w:rFonts w:ascii="Palatino Linotype" w:eastAsia="Palatino Linotype" w:hAnsi="Palatino Linotype" w:cs="Palatino Linotype"/>
        </w:rPr>
        <w:t xml:space="preserve">, así como al Comisionado </w:t>
      </w:r>
      <w:r w:rsidR="00760C90">
        <w:rPr>
          <w:rFonts w:ascii="Palatino Linotype" w:eastAsia="Palatino Linotype" w:hAnsi="Palatino Linotype" w:cs="Palatino Linotype"/>
          <w:b/>
        </w:rPr>
        <w:t xml:space="preserve">Luis Gustavo Parra Noriega </w:t>
      </w:r>
      <w:r w:rsidRPr="00760C90">
        <w:rPr>
          <w:rFonts w:ascii="Palatino Linotype" w:eastAsia="Palatino Linotype" w:hAnsi="Palatino Linotype" w:cs="Palatino Linotype"/>
        </w:rPr>
        <w:t>respectivamente,</w:t>
      </w:r>
      <w:r w:rsidRPr="00760C90">
        <w:rPr>
          <w:rFonts w:ascii="Palatino Linotype" w:eastAsia="Palatino Linotype" w:hAnsi="Palatino Linotype" w:cs="Palatino Linotype"/>
          <w:b/>
        </w:rPr>
        <w:t xml:space="preserve"> </w:t>
      </w:r>
      <w:r w:rsidRPr="00760C90">
        <w:rPr>
          <w:rFonts w:ascii="Palatino Linotype" w:eastAsia="Palatino Linotype" w:hAnsi="Palatino Linotype" w:cs="Palatino Linotype"/>
        </w:rPr>
        <w:t xml:space="preserve">para su análisis. </w:t>
      </w:r>
    </w:p>
    <w:p w:rsidR="00793440" w:rsidRPr="00760C90" w:rsidRDefault="00793440" w:rsidP="00793440">
      <w:pPr>
        <w:spacing w:line="360" w:lineRule="auto"/>
        <w:jc w:val="both"/>
        <w:rPr>
          <w:rFonts w:ascii="Palatino Linotype" w:eastAsia="Palatino Linotype" w:hAnsi="Palatino Linotype" w:cs="Palatino Linotype"/>
        </w:rPr>
      </w:pPr>
    </w:p>
    <w:p w:rsidR="00793440" w:rsidRPr="00760C90" w:rsidRDefault="00760C90" w:rsidP="00793440">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Comisionados p</w:t>
      </w:r>
      <w:r w:rsidR="00793440" w:rsidRPr="00760C90">
        <w:rPr>
          <w:rFonts w:ascii="Palatino Linotype" w:eastAsia="Palatino Linotype" w:hAnsi="Palatino Linotype" w:cs="Palatino Linotype"/>
          <w:color w:val="000000"/>
        </w:rPr>
        <w:t xml:space="preserve">onentes de origen con fundamento en lo dispuesto por el artículo 185 </w:t>
      </w:r>
      <w:r w:rsidR="00793440" w:rsidRPr="00760C90">
        <w:rPr>
          <w:rFonts w:ascii="Palatino Linotype" w:eastAsia="Palatino Linotype" w:hAnsi="Palatino Linotype" w:cs="Palatino Linotype"/>
        </w:rPr>
        <w:t>fracción</w:t>
      </w:r>
      <w:r w:rsidR="00793440" w:rsidRPr="00760C90">
        <w:rPr>
          <w:rFonts w:ascii="Palatino Linotype" w:eastAsia="Palatino Linotype" w:hAnsi="Palatino Linotype" w:cs="Palatino Linotype"/>
          <w:color w:val="000000"/>
        </w:rPr>
        <w:t xml:space="preserve"> II de la ley de la materia, a través de los </w:t>
      </w:r>
      <w:r w:rsidR="00793440" w:rsidRPr="00760C90">
        <w:rPr>
          <w:rFonts w:ascii="Palatino Linotype" w:eastAsia="Palatino Linotype" w:hAnsi="Palatino Linotype" w:cs="Palatino Linotype"/>
          <w:b/>
          <w:color w:val="000000"/>
        </w:rPr>
        <w:t xml:space="preserve">acuerdos de admisión </w:t>
      </w:r>
      <w:r w:rsidR="00793440" w:rsidRPr="00760C90">
        <w:rPr>
          <w:rFonts w:ascii="Palatino Linotype" w:eastAsia="Palatino Linotype" w:hAnsi="Palatino Linotype" w:cs="Palatino Linotype"/>
          <w:color w:val="000000"/>
        </w:rPr>
        <w:t xml:space="preserve">de fecha </w:t>
      </w:r>
      <w:r w:rsidR="00793440" w:rsidRPr="00760C90">
        <w:rPr>
          <w:rFonts w:ascii="Palatino Linotype" w:eastAsia="Palatino Linotype" w:hAnsi="Palatino Linotype" w:cs="Palatino Linotype"/>
          <w:b/>
        </w:rPr>
        <w:t>trece, dieciséis, diecisiete y dieciocho  de junio de dos mil veinticinco</w:t>
      </w:r>
      <w:r w:rsidR="00793440" w:rsidRPr="00760C90">
        <w:rPr>
          <w:rFonts w:ascii="Palatino Linotype" w:eastAsia="Palatino Linotype" w:hAnsi="Palatino Linotype" w:cs="Palatino Linotype"/>
          <w:color w:val="000000"/>
        </w:rPr>
        <w:t xml:space="preserve">, pusieron a disposición de las partes el expediente electrónico vía SAIMEX a efecto de que en un plazo máximo de siete días </w:t>
      </w:r>
      <w:r w:rsidR="00793440" w:rsidRPr="00760C90">
        <w:rPr>
          <w:rFonts w:ascii="Palatino Linotype" w:eastAsia="Palatino Linotype" w:hAnsi="Palatino Linotype" w:cs="Palatino Linotype"/>
        </w:rPr>
        <w:t>manifestara</w:t>
      </w:r>
      <w:r w:rsidR="00793440" w:rsidRPr="00760C90">
        <w:rPr>
          <w:rFonts w:ascii="Palatino Linotype" w:eastAsia="Palatino Linotype" w:hAnsi="Palatino Linotype" w:cs="Palatino Linotype"/>
          <w:color w:val="000000"/>
        </w:rPr>
        <w:t xml:space="preserve"> lo que a su derecho conviniera, </w:t>
      </w:r>
      <w:r w:rsidR="00793440" w:rsidRPr="00760C90">
        <w:rPr>
          <w:rFonts w:ascii="Palatino Linotype" w:eastAsia="Palatino Linotype" w:hAnsi="Palatino Linotype" w:cs="Palatino Linotype"/>
        </w:rPr>
        <w:t>ofreciera</w:t>
      </w:r>
      <w:r w:rsidR="00793440" w:rsidRPr="00760C90">
        <w:rPr>
          <w:rFonts w:ascii="Palatino Linotype" w:eastAsia="Palatino Linotype" w:hAnsi="Palatino Linotype" w:cs="Palatino Linotype"/>
          <w:color w:val="000000"/>
        </w:rPr>
        <w:t xml:space="preserve"> pruebas y alegatos según corresponda al caso concreto, de esta forma para que el </w:t>
      </w:r>
      <w:r w:rsidR="00793440" w:rsidRPr="00760C90">
        <w:rPr>
          <w:rFonts w:ascii="Palatino Linotype" w:eastAsia="Palatino Linotype" w:hAnsi="Palatino Linotype" w:cs="Palatino Linotype"/>
          <w:b/>
          <w:color w:val="000000"/>
        </w:rPr>
        <w:t xml:space="preserve">SUJETO OBLIGADO </w:t>
      </w:r>
      <w:r w:rsidR="00793440" w:rsidRPr="00760C90">
        <w:rPr>
          <w:rFonts w:ascii="Palatino Linotype" w:eastAsia="Palatino Linotype" w:hAnsi="Palatino Linotype" w:cs="Palatino Linotype"/>
        </w:rPr>
        <w:t>presentará</w:t>
      </w:r>
      <w:r w:rsidR="00793440" w:rsidRPr="00760C90">
        <w:rPr>
          <w:rFonts w:ascii="Palatino Linotype" w:eastAsia="Palatino Linotype" w:hAnsi="Palatino Linotype" w:cs="Palatino Linotype"/>
          <w:color w:val="000000"/>
        </w:rPr>
        <w:t xml:space="preserve"> el Informe Justificado procedente.</w:t>
      </w:r>
    </w:p>
    <w:p w:rsidR="00793440" w:rsidRPr="00760C90" w:rsidRDefault="00793440" w:rsidP="00793440">
      <w:pPr>
        <w:spacing w:line="360" w:lineRule="auto"/>
        <w:jc w:val="both"/>
        <w:rPr>
          <w:rFonts w:ascii="Palatino Linotype" w:eastAsia="Palatino Linotype" w:hAnsi="Palatino Linotype" w:cs="Palatino Linotype"/>
          <w:color w:val="000000"/>
        </w:rPr>
      </w:pPr>
    </w:p>
    <w:p w:rsidR="00793440" w:rsidRPr="00760C90" w:rsidRDefault="00793440" w:rsidP="00793440">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60C90">
        <w:rPr>
          <w:rFonts w:ascii="Palatino Linotype" w:eastAsia="Palatino Linotype" w:hAnsi="Palatino Linotype" w:cs="Palatino Linotype"/>
          <w:color w:val="000000"/>
        </w:rPr>
        <w:t>Posteriormente</w:t>
      </w:r>
      <w:r w:rsidRPr="00760C90">
        <w:rPr>
          <w:rFonts w:ascii="Palatino Linotype" w:eastAsia="Palatino Linotype" w:hAnsi="Palatino Linotype" w:cs="Palatino Linotype"/>
        </w:rPr>
        <w:t xml:space="preserve"> el Pleno de este Órgano Autónomo, en la</w:t>
      </w:r>
      <w:r w:rsidRPr="00760C90">
        <w:rPr>
          <w:rFonts w:ascii="Palatino Linotype" w:eastAsia="Palatino Linotype" w:hAnsi="Palatino Linotype" w:cs="Palatino Linotype"/>
          <w:b/>
        </w:rPr>
        <w:t xml:space="preserve"> Vigésima Tercera Sesión ordinaria </w:t>
      </w:r>
      <w:r w:rsidRPr="00760C90">
        <w:rPr>
          <w:rFonts w:ascii="Palatino Linotype" w:eastAsia="Palatino Linotype" w:hAnsi="Palatino Linotype" w:cs="Palatino Linotype"/>
        </w:rPr>
        <w:t>de fecha</w:t>
      </w:r>
      <w:r w:rsidRPr="00760C90">
        <w:rPr>
          <w:rFonts w:ascii="Palatino Linotype" w:eastAsia="Palatino Linotype" w:hAnsi="Palatino Linotype" w:cs="Palatino Linotype"/>
          <w:b/>
        </w:rPr>
        <w:t xml:space="preserve"> veinticinco de junio de dos mil veinticinco</w:t>
      </w:r>
      <w:r w:rsidRPr="00760C90">
        <w:rPr>
          <w:rFonts w:ascii="Palatino Linotype" w:eastAsia="Palatino Linotype" w:hAnsi="Palatino Linotype" w:cs="Palatino Linotype"/>
        </w:rPr>
        <w:t xml:space="preserve">; se ordenó la acumulación de los recursos de revisión de mérito, a efecto de que la Ponencia de la </w:t>
      </w:r>
      <w:r w:rsidRPr="00760C90">
        <w:rPr>
          <w:rFonts w:ascii="Palatino Linotype" w:eastAsia="Palatino Linotype" w:hAnsi="Palatino Linotype" w:cs="Palatino Linotype"/>
          <w:b/>
        </w:rPr>
        <w:t xml:space="preserve">Comisionada María del Rosario Mejía Ayala </w:t>
      </w:r>
      <w:r w:rsidRPr="00760C90">
        <w:rPr>
          <w:rFonts w:ascii="Palatino Linotype" w:eastAsia="Palatino Linotype" w:hAnsi="Palatino Linotype" w:cs="Palatino Linotype"/>
        </w:rPr>
        <w:t>formulará y presentara el proyecto de resolución correspondiente, de conformidad con el numeral ONCE incisos b) y c) de los Lineamientos para la Recepción, Trámite y Resolución de las Solicitudes de Acceso a la Información Pública, así como de los Recursos de Revisión que deberán observar los Sujetos Obligados por la Ley de Transparencia Estatal</w:t>
      </w:r>
      <w:r w:rsidRPr="00760C90">
        <w:rPr>
          <w:rFonts w:ascii="Palatino Linotype" w:eastAsia="Palatino Linotype" w:hAnsi="Palatino Linotype" w:cs="Palatino Linotype"/>
          <w:i/>
          <w:vertAlign w:val="superscript"/>
        </w:rPr>
        <w:footnoteReference w:id="1"/>
      </w:r>
      <w:r w:rsidRPr="00760C90">
        <w:rPr>
          <w:rFonts w:ascii="Palatino Linotype" w:eastAsia="Palatino Linotype" w:hAnsi="Palatino Linotype" w:cs="Palatino Linotype"/>
        </w:rPr>
        <w:t>, que señala:</w:t>
      </w:r>
    </w:p>
    <w:p w:rsidR="00793440" w:rsidRPr="00760C90" w:rsidRDefault="00793440" w:rsidP="00793440">
      <w:pPr>
        <w:tabs>
          <w:tab w:val="left" w:pos="0"/>
          <w:tab w:val="left" w:pos="1134"/>
          <w:tab w:val="left" w:pos="7938"/>
        </w:tabs>
        <w:ind w:left="1134" w:right="851"/>
        <w:jc w:val="both"/>
        <w:rPr>
          <w:rFonts w:ascii="Palatino Linotype" w:eastAsia="Palatino Linotype" w:hAnsi="Palatino Linotype" w:cs="Palatino Linotype"/>
          <w:i/>
        </w:rPr>
      </w:pPr>
      <w:r w:rsidRPr="00760C90">
        <w:rPr>
          <w:rFonts w:ascii="Palatino Linotype" w:eastAsia="Palatino Linotype" w:hAnsi="Palatino Linotype" w:cs="Palatino Linotype"/>
          <w:b/>
          <w:i/>
        </w:rPr>
        <w:t>“ONCE.</w:t>
      </w:r>
      <w:r w:rsidRPr="00760C90">
        <w:rPr>
          <w:rFonts w:ascii="Palatino Linotype" w:eastAsia="Palatino Linotype" w:hAnsi="Palatino Linotype" w:cs="Palatino Linotype"/>
          <w:i/>
        </w:rPr>
        <w:t xml:space="preserve"> El Instituto, para mejor resolver y evitar la emisión de resoluciones contradictorias, podrá acordar la acumulación de los expedientes de recursos de revisión, de oficio o a petición de parte cuando:</w:t>
      </w:r>
    </w:p>
    <w:p w:rsidR="00793440" w:rsidRPr="00760C90" w:rsidRDefault="00793440" w:rsidP="00793440">
      <w:pPr>
        <w:tabs>
          <w:tab w:val="left" w:pos="0"/>
          <w:tab w:val="left" w:pos="426"/>
          <w:tab w:val="left" w:pos="7938"/>
        </w:tabs>
        <w:ind w:left="567" w:right="851" w:firstLine="567"/>
        <w:jc w:val="both"/>
        <w:rPr>
          <w:rFonts w:ascii="Palatino Linotype" w:eastAsia="Palatino Linotype" w:hAnsi="Palatino Linotype" w:cs="Palatino Linotype"/>
          <w:i/>
        </w:rPr>
      </w:pPr>
      <w:r w:rsidRPr="00760C90">
        <w:rPr>
          <w:rFonts w:ascii="Palatino Linotype" w:eastAsia="Palatino Linotype" w:hAnsi="Palatino Linotype" w:cs="Palatino Linotype"/>
          <w:i/>
        </w:rPr>
        <w:t>…</w:t>
      </w:r>
      <w:r w:rsidRPr="00760C90">
        <w:rPr>
          <w:rFonts w:ascii="Palatino Linotype" w:eastAsia="Palatino Linotype" w:hAnsi="Palatino Linotype" w:cs="Palatino Linotype"/>
          <w:i/>
        </w:rPr>
        <w:tab/>
      </w:r>
    </w:p>
    <w:p w:rsidR="00793440" w:rsidRPr="00760C90" w:rsidRDefault="00793440" w:rsidP="00793440">
      <w:pPr>
        <w:tabs>
          <w:tab w:val="left" w:pos="0"/>
          <w:tab w:val="left" w:pos="426"/>
          <w:tab w:val="left" w:pos="7938"/>
        </w:tabs>
        <w:ind w:left="567" w:right="851" w:firstLine="567"/>
        <w:jc w:val="both"/>
        <w:rPr>
          <w:rFonts w:ascii="Palatino Linotype" w:eastAsia="Palatino Linotype" w:hAnsi="Palatino Linotype" w:cs="Palatino Linotype"/>
          <w:i/>
        </w:rPr>
      </w:pPr>
      <w:r w:rsidRPr="00760C90">
        <w:rPr>
          <w:rFonts w:ascii="Palatino Linotype" w:eastAsia="Palatino Linotype" w:hAnsi="Palatino Linotype" w:cs="Palatino Linotype"/>
          <w:i/>
        </w:rPr>
        <w:t>b) Las partes o los actos impugnados sean iguales</w:t>
      </w:r>
    </w:p>
    <w:p w:rsidR="00793440" w:rsidRPr="00760C90" w:rsidRDefault="00793440" w:rsidP="00793440">
      <w:pPr>
        <w:tabs>
          <w:tab w:val="left" w:pos="0"/>
          <w:tab w:val="left" w:pos="7938"/>
        </w:tabs>
        <w:ind w:left="1134" w:right="851"/>
        <w:jc w:val="both"/>
        <w:rPr>
          <w:rFonts w:ascii="Palatino Linotype" w:eastAsia="Palatino Linotype" w:hAnsi="Palatino Linotype" w:cs="Palatino Linotype"/>
          <w:i/>
        </w:rPr>
      </w:pPr>
      <w:r w:rsidRPr="00760C90">
        <w:rPr>
          <w:rFonts w:ascii="Palatino Linotype" w:eastAsia="Palatino Linotype" w:hAnsi="Palatino Linotype" w:cs="Palatino Linotype"/>
          <w:i/>
        </w:rPr>
        <w:t>c) Cuando se trate del mismo solicitante, el mismo SUJETO OBLIGADO, aunque se trate de solicitudes diversas;</w:t>
      </w:r>
    </w:p>
    <w:p w:rsidR="00793440" w:rsidRPr="00760C90" w:rsidRDefault="00793440" w:rsidP="00793440">
      <w:pPr>
        <w:tabs>
          <w:tab w:val="left" w:pos="0"/>
          <w:tab w:val="left" w:pos="426"/>
          <w:tab w:val="left" w:pos="7938"/>
        </w:tabs>
        <w:ind w:left="567" w:right="851" w:firstLine="567"/>
        <w:jc w:val="both"/>
        <w:rPr>
          <w:rFonts w:ascii="Palatino Linotype" w:eastAsia="Palatino Linotype" w:hAnsi="Palatino Linotype" w:cs="Palatino Linotype"/>
          <w:i/>
        </w:rPr>
      </w:pPr>
      <w:r w:rsidRPr="00760C90">
        <w:rPr>
          <w:rFonts w:ascii="Palatino Linotype" w:eastAsia="Palatino Linotype" w:hAnsi="Palatino Linotype" w:cs="Palatino Linotype"/>
          <w:i/>
        </w:rPr>
        <w:lastRenderedPageBreak/>
        <w:t>(…)”</w:t>
      </w:r>
    </w:p>
    <w:p w:rsidR="00793440" w:rsidRPr="00760C90" w:rsidRDefault="00793440" w:rsidP="00793440">
      <w:pPr>
        <w:tabs>
          <w:tab w:val="left" w:pos="0"/>
          <w:tab w:val="left" w:pos="426"/>
        </w:tabs>
        <w:ind w:left="567" w:right="851" w:firstLine="567"/>
        <w:jc w:val="both"/>
        <w:rPr>
          <w:rFonts w:ascii="Palatino Linotype" w:eastAsia="Palatino Linotype" w:hAnsi="Palatino Linotype" w:cs="Palatino Linotype"/>
          <w:i/>
        </w:rPr>
      </w:pPr>
      <w:r w:rsidRPr="00760C90">
        <w:rPr>
          <w:rFonts w:ascii="Palatino Linotype" w:eastAsia="Palatino Linotype" w:hAnsi="Palatino Linotype" w:cs="Palatino Linotype"/>
          <w:i/>
        </w:rPr>
        <w:t>(Énfasis añadido)</w:t>
      </w:r>
    </w:p>
    <w:p w:rsidR="00793440" w:rsidRPr="00760C90" w:rsidRDefault="00793440" w:rsidP="00793440">
      <w:pPr>
        <w:tabs>
          <w:tab w:val="left" w:pos="0"/>
          <w:tab w:val="left" w:pos="426"/>
        </w:tabs>
        <w:ind w:left="567" w:right="851" w:firstLine="567"/>
        <w:jc w:val="both"/>
        <w:rPr>
          <w:rFonts w:ascii="Palatino Linotype" w:eastAsia="Palatino Linotype" w:hAnsi="Palatino Linotype" w:cs="Palatino Linotype"/>
        </w:rPr>
      </w:pPr>
    </w:p>
    <w:p w:rsidR="00793440" w:rsidRPr="00760C90" w:rsidRDefault="00793440" w:rsidP="00793440">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60C90">
        <w:rPr>
          <w:rFonts w:ascii="Palatino Linotype" w:eastAsia="Palatino Linotype" w:hAnsi="Palatino Linotype" w:cs="Palatino Linotype"/>
        </w:rPr>
        <w:t>Es así que,</w:t>
      </w:r>
      <w:r w:rsidRPr="00760C90">
        <w:rPr>
          <w:rFonts w:ascii="Palatino Linotype" w:eastAsia="Palatino Linotype" w:hAnsi="Palatino Linotype" w:cs="Palatino Linotype"/>
          <w:i/>
        </w:rPr>
        <w:t xml:space="preserve"> </w:t>
      </w:r>
      <w:r w:rsidRPr="00760C90">
        <w:rPr>
          <w:rFonts w:ascii="Palatino Linotype" w:eastAsia="Palatino Linotype" w:hAnsi="Palatino Linotype" w:cs="Palatino Linotype"/>
        </w:rPr>
        <w:t>resulta conveniente su trámite de forma unificada para mejor resolver y evitar la emisión de resoluciones contradictorias, por ello resultó procedente que este Órgano Garante realizará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 que a la letra señalan:</w:t>
      </w:r>
    </w:p>
    <w:p w:rsidR="00793440" w:rsidRPr="00760C90" w:rsidRDefault="00793440" w:rsidP="00793440">
      <w:pPr>
        <w:ind w:left="1134" w:right="851"/>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Código de Procedimientos Administrativos del Estado de México.</w:t>
      </w:r>
    </w:p>
    <w:p w:rsidR="00793440" w:rsidRPr="00760C90" w:rsidRDefault="00793440" w:rsidP="00793440">
      <w:pPr>
        <w:ind w:left="1134" w:right="851"/>
        <w:jc w:val="both"/>
        <w:rPr>
          <w:rFonts w:ascii="Palatino Linotype" w:eastAsia="Palatino Linotype" w:hAnsi="Palatino Linotype" w:cs="Palatino Linotype"/>
          <w:i/>
        </w:rPr>
      </w:pPr>
      <w:r w:rsidRPr="00760C90">
        <w:rPr>
          <w:rFonts w:ascii="Palatino Linotype" w:eastAsia="Palatino Linotype" w:hAnsi="Palatino Linotype" w:cs="Palatino Linotype"/>
          <w:b/>
          <w:i/>
        </w:rPr>
        <w:t>“Artículo 18.-</w:t>
      </w:r>
      <w:r w:rsidRPr="00760C90">
        <w:rPr>
          <w:rFonts w:ascii="Palatino Linotype" w:eastAsia="Palatino Linotype" w:hAnsi="Palatino Linotype" w:cs="Palatino Linotype"/>
          <w:i/>
        </w:rPr>
        <w:t xml:space="preserve"> La autoridad administrativa o el Tribunal acordarán la acumulación de los expedientes del procedimiento y proceso administrativo que ante ellos se sigan, de oficio o a petición de parte, cuando las partes o los actos administrativos sean iguales, se trate de actos conexos o resulte conveniente el trámite unificado de los asuntos, para evitar la emisión de resoluciones contradictorias. La misma regla se aplicará, en lo conducente, para la separación de los expedientes.”</w:t>
      </w:r>
    </w:p>
    <w:p w:rsidR="00793440" w:rsidRPr="00760C90" w:rsidRDefault="00793440" w:rsidP="00793440">
      <w:pPr>
        <w:ind w:left="1134" w:right="851"/>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Ley de Transparencia y Acceso a la Información Pública del Estado de México y Municipios</w:t>
      </w:r>
    </w:p>
    <w:p w:rsidR="00793440" w:rsidRPr="00760C90" w:rsidRDefault="00793440" w:rsidP="00793440">
      <w:pPr>
        <w:ind w:left="1134" w:right="851"/>
        <w:jc w:val="both"/>
        <w:rPr>
          <w:rFonts w:ascii="Palatino Linotype" w:eastAsia="Palatino Linotype" w:hAnsi="Palatino Linotype" w:cs="Palatino Linotype"/>
          <w:i/>
        </w:rPr>
      </w:pPr>
      <w:r w:rsidRPr="00760C90">
        <w:rPr>
          <w:rFonts w:ascii="Palatino Linotype" w:eastAsia="Palatino Linotype" w:hAnsi="Palatino Linotype" w:cs="Palatino Linotype"/>
          <w:b/>
          <w:i/>
        </w:rPr>
        <w:t>“Artículo 195.</w:t>
      </w:r>
      <w:r w:rsidRPr="00760C90">
        <w:rPr>
          <w:rFonts w:ascii="Palatino Linotype" w:eastAsia="Palatino Linotype" w:hAnsi="Palatino Linotype" w:cs="Palatino Linotype"/>
          <w:i/>
        </w:rPr>
        <w:t xml:space="preserve"> En la tramitación del recurso de revisión se aplicarán supletoriamente las disposiciones contenidas en el Código de Procedimientos Administrativos del Estado de México.”</w:t>
      </w:r>
    </w:p>
    <w:p w:rsidR="00793440" w:rsidRPr="00760C90" w:rsidRDefault="00793440" w:rsidP="00793440">
      <w:pPr>
        <w:ind w:left="1134" w:right="851"/>
        <w:jc w:val="both"/>
        <w:rPr>
          <w:rFonts w:ascii="Palatino Linotype" w:eastAsia="Palatino Linotype" w:hAnsi="Palatino Linotype" w:cs="Palatino Linotype"/>
          <w:i/>
        </w:rPr>
      </w:pPr>
      <w:r w:rsidRPr="00760C90">
        <w:rPr>
          <w:rFonts w:ascii="Palatino Linotype" w:eastAsia="Palatino Linotype" w:hAnsi="Palatino Linotype" w:cs="Palatino Linotype"/>
          <w:i/>
        </w:rPr>
        <w:t>(Énfasis añadido)</w:t>
      </w:r>
    </w:p>
    <w:p w:rsidR="00793440" w:rsidRPr="00760C90" w:rsidRDefault="00793440" w:rsidP="0079344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93440" w:rsidRPr="00760C90" w:rsidRDefault="00793440" w:rsidP="00793440">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 xml:space="preserve">De lo anterior, el </w:t>
      </w:r>
      <w:r w:rsidRPr="00760C90">
        <w:rPr>
          <w:rFonts w:ascii="Palatino Linotype" w:eastAsia="Palatino Linotype" w:hAnsi="Palatino Linotype" w:cs="Palatino Linotype"/>
          <w:b/>
          <w:color w:val="000000"/>
        </w:rPr>
        <w:t>SUJETO OBLIGAD</w:t>
      </w:r>
      <w:r w:rsidRPr="00760C90">
        <w:rPr>
          <w:rFonts w:ascii="Palatino Linotype" w:eastAsia="Palatino Linotype" w:hAnsi="Palatino Linotype" w:cs="Palatino Linotype"/>
          <w:color w:val="000000"/>
        </w:rPr>
        <w:t xml:space="preserve">O en fecha </w:t>
      </w:r>
      <w:r w:rsidRPr="00760C90">
        <w:rPr>
          <w:rFonts w:ascii="Palatino Linotype" w:eastAsia="Palatino Linotype" w:hAnsi="Palatino Linotype" w:cs="Palatino Linotype"/>
          <w:b/>
          <w:color w:val="000000"/>
        </w:rPr>
        <w:t xml:space="preserve">catorce, diecisiete, dieciocho y veintitrés de junio de dos mil veinticinco, </w:t>
      </w:r>
      <w:r w:rsidRPr="00760C90">
        <w:rPr>
          <w:rFonts w:ascii="Palatino Linotype" w:eastAsia="Palatino Linotype" w:hAnsi="Palatino Linotype" w:cs="Palatino Linotype"/>
          <w:color w:val="000000"/>
        </w:rPr>
        <w:t xml:space="preserve">entrego un archivo electrónico en formato pdf, para cada recurso de revisión, cuyo contenido a grosso modo es el siguiente. </w:t>
      </w:r>
    </w:p>
    <w:tbl>
      <w:tblPr>
        <w:tblStyle w:val="Tablaconcuadrcula"/>
        <w:tblW w:w="10060" w:type="dxa"/>
        <w:tblLook w:val="04A0" w:firstRow="1" w:lastRow="0" w:firstColumn="1" w:lastColumn="0" w:noHBand="0" w:noVBand="1"/>
      </w:tblPr>
      <w:tblGrid>
        <w:gridCol w:w="4086"/>
        <w:gridCol w:w="5974"/>
      </w:tblGrid>
      <w:tr w:rsidR="00793440" w:rsidRPr="00760C90" w:rsidTr="00760C90">
        <w:tc>
          <w:tcPr>
            <w:tcW w:w="4086" w:type="dxa"/>
          </w:tcPr>
          <w:p w:rsidR="00793440" w:rsidRPr="00760C90" w:rsidRDefault="00793440" w:rsidP="00760C90">
            <w:pPr>
              <w:jc w:val="center"/>
              <w:rPr>
                <w:rFonts w:ascii="Palatino Linotype" w:eastAsia="Palatino Linotype" w:hAnsi="Palatino Linotype" w:cs="Palatino Linotype"/>
                <w:i/>
              </w:rPr>
            </w:pPr>
            <w:r w:rsidRPr="00760C90">
              <w:rPr>
                <w:rFonts w:ascii="Palatino Linotype" w:eastAsia="Palatino Linotype" w:hAnsi="Palatino Linotype" w:cs="Palatino Linotype"/>
                <w:i/>
              </w:rPr>
              <w:t>Recurso de revisión</w:t>
            </w:r>
          </w:p>
        </w:tc>
        <w:tc>
          <w:tcPr>
            <w:tcW w:w="5974" w:type="dxa"/>
          </w:tcPr>
          <w:p w:rsidR="00793440" w:rsidRPr="00760C90" w:rsidRDefault="00793440" w:rsidP="00760C90">
            <w:pPr>
              <w:jc w:val="center"/>
              <w:rPr>
                <w:rFonts w:ascii="Palatino Linotype" w:eastAsia="Palatino Linotype" w:hAnsi="Palatino Linotype" w:cs="Palatino Linotype"/>
                <w:i/>
              </w:rPr>
            </w:pPr>
            <w:r w:rsidRPr="00760C90">
              <w:rPr>
                <w:rFonts w:ascii="Palatino Linotype" w:eastAsia="Palatino Linotype" w:hAnsi="Palatino Linotype" w:cs="Palatino Linotype"/>
                <w:i/>
              </w:rPr>
              <w:t>Manifestaciones</w:t>
            </w:r>
          </w:p>
        </w:tc>
      </w:tr>
      <w:tr w:rsidR="00793440" w:rsidRPr="00760C90" w:rsidTr="00760C90">
        <w:tc>
          <w:tcPr>
            <w:tcW w:w="4086" w:type="dxa"/>
          </w:tcPr>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00228/TEPOTZOT/IP/2025</w:t>
            </w:r>
          </w:p>
          <w:p w:rsidR="00793440" w:rsidRPr="00760C90" w:rsidRDefault="00793440" w:rsidP="000F08C0">
            <w:pPr>
              <w:ind w:right="900"/>
              <w:jc w:val="both"/>
              <w:rPr>
                <w:rFonts w:ascii="Palatino Linotype" w:eastAsia="Palatino Linotype" w:hAnsi="Palatino Linotype" w:cs="Palatino Linotype"/>
                <w:b/>
                <w:i/>
              </w:rPr>
            </w:pPr>
          </w:p>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06883/INFOEM/IP/RR/2025</w:t>
            </w:r>
          </w:p>
        </w:tc>
        <w:tc>
          <w:tcPr>
            <w:tcW w:w="5974" w:type="dxa"/>
          </w:tcPr>
          <w:p w:rsidR="00793440" w:rsidRPr="00760C90" w:rsidRDefault="0079344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i/>
              </w:rPr>
              <w:t>HAT-SA-OI-478-2025.pdf:</w:t>
            </w:r>
            <w:r w:rsidRPr="00760C90">
              <w:rPr>
                <w:rFonts w:ascii="Palatino Linotype" w:eastAsia="Palatino Linotype" w:hAnsi="Palatino Linotype" w:cs="Palatino Linotype"/>
                <w:i/>
              </w:rPr>
              <w:t xml:space="preserve"> Oficio del Secretario del Ayuntamiento, mediante el cual anexa el link </w:t>
            </w:r>
            <w:hyperlink r:id="rId7" w:history="1">
              <w:r w:rsidRPr="00760C90">
                <w:rPr>
                  <w:rStyle w:val="Hipervnculo"/>
                  <w:rFonts w:ascii="Palatino Linotype" w:eastAsia="Palatino Linotype" w:hAnsi="Palatino Linotype" w:cs="Palatino Linotype"/>
                  <w:i/>
                </w:rPr>
                <w:t>www.tepotzotlan.gob.mx</w:t>
              </w:r>
            </w:hyperlink>
            <w:r w:rsidRPr="00760C90">
              <w:rPr>
                <w:rFonts w:ascii="Palatino Linotype" w:eastAsia="Palatino Linotype" w:hAnsi="Palatino Linotype" w:cs="Palatino Linotype"/>
                <w:i/>
              </w:rPr>
              <w:t xml:space="preserve">, en formato abierto, del cual refiere se encuentra la información, sin embargo al dar click en el mismo te remite a una página global. </w:t>
            </w:r>
          </w:p>
        </w:tc>
      </w:tr>
      <w:tr w:rsidR="00793440" w:rsidRPr="00760C90" w:rsidTr="00760C90">
        <w:tc>
          <w:tcPr>
            <w:tcW w:w="4086" w:type="dxa"/>
          </w:tcPr>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lastRenderedPageBreak/>
              <w:t>00208/TEPOTZOT/IP/2025</w:t>
            </w:r>
          </w:p>
          <w:p w:rsidR="00793440" w:rsidRPr="00760C90" w:rsidRDefault="00793440" w:rsidP="000F08C0">
            <w:pPr>
              <w:ind w:right="900"/>
              <w:jc w:val="both"/>
              <w:rPr>
                <w:rFonts w:ascii="Palatino Linotype" w:eastAsia="Palatino Linotype" w:hAnsi="Palatino Linotype" w:cs="Palatino Linotype"/>
                <w:b/>
                <w:i/>
              </w:rPr>
            </w:pPr>
          </w:p>
          <w:p w:rsidR="00793440" w:rsidRPr="00760C90" w:rsidRDefault="0079344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i/>
              </w:rPr>
              <w:t>06886/INFOEM/IP/RR/2025</w:t>
            </w:r>
          </w:p>
        </w:tc>
        <w:tc>
          <w:tcPr>
            <w:tcW w:w="5974" w:type="dxa"/>
          </w:tcPr>
          <w:p w:rsidR="00793440" w:rsidRPr="00760C90" w:rsidRDefault="0079344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i/>
              </w:rPr>
              <w:t>HAT-SA-OI-450-2025.pdf:</w:t>
            </w:r>
            <w:r w:rsidRPr="00760C90">
              <w:rPr>
                <w:rFonts w:ascii="Palatino Linotype" w:eastAsia="Palatino Linotype" w:hAnsi="Palatino Linotype" w:cs="Palatino Linotype"/>
                <w:i/>
              </w:rPr>
              <w:t xml:space="preserve"> Oficio del Secretario del Ayuntamiento mediante el cual informa que la Presidenta Municipal solicitó una licencia para separarse del cargo por motivos personales. </w:t>
            </w:r>
          </w:p>
        </w:tc>
      </w:tr>
      <w:tr w:rsidR="00793440" w:rsidRPr="00760C90" w:rsidTr="00760C90">
        <w:tc>
          <w:tcPr>
            <w:tcW w:w="4086" w:type="dxa"/>
          </w:tcPr>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00232/TEPOTZOT/IP/2025</w:t>
            </w:r>
          </w:p>
          <w:p w:rsidR="00793440" w:rsidRPr="00760C90" w:rsidRDefault="00793440" w:rsidP="000F08C0">
            <w:pPr>
              <w:ind w:right="900"/>
              <w:jc w:val="both"/>
              <w:rPr>
                <w:rFonts w:ascii="Palatino Linotype" w:eastAsia="Palatino Linotype" w:hAnsi="Palatino Linotype" w:cs="Palatino Linotype"/>
                <w:b/>
                <w:i/>
              </w:rPr>
            </w:pPr>
          </w:p>
          <w:p w:rsidR="00793440" w:rsidRPr="00760C90" w:rsidRDefault="0079344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i/>
              </w:rPr>
              <w:t>06888/INFOEM/IP/RR/2025</w:t>
            </w:r>
          </w:p>
        </w:tc>
        <w:tc>
          <w:tcPr>
            <w:tcW w:w="5974" w:type="dxa"/>
          </w:tcPr>
          <w:p w:rsidR="00793440" w:rsidRPr="00760C90" w:rsidRDefault="0079344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i/>
              </w:rPr>
              <w:t>HAT-SA-OI-469-2025.pdf:</w:t>
            </w:r>
            <w:r w:rsidRPr="00760C90">
              <w:rPr>
                <w:rFonts w:ascii="Palatino Linotype" w:eastAsia="Palatino Linotype" w:hAnsi="Palatino Linotype" w:cs="Palatino Linotype"/>
                <w:i/>
              </w:rPr>
              <w:t xml:space="preserve"> Oficio del Secretario del Ayuntamiento, mediante el cual informa que durante Vigésima Segunda Sesión Extraordinaria de Cabildo celebrada el día viernes veintitrés de mayo de la presente anualidad la Presidenta Municipal Constitucional regresó a las actividades. </w:t>
            </w:r>
          </w:p>
        </w:tc>
      </w:tr>
      <w:tr w:rsidR="00793440" w:rsidRPr="00760C90" w:rsidTr="00760C90">
        <w:tc>
          <w:tcPr>
            <w:tcW w:w="4086" w:type="dxa"/>
          </w:tcPr>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00218/TEPOTZOT/IP/2025</w:t>
            </w:r>
          </w:p>
          <w:p w:rsidR="00793440" w:rsidRPr="00760C90" w:rsidRDefault="00793440" w:rsidP="000F08C0">
            <w:pPr>
              <w:ind w:right="900"/>
              <w:jc w:val="both"/>
              <w:rPr>
                <w:rFonts w:ascii="Palatino Linotype" w:eastAsia="Palatino Linotype" w:hAnsi="Palatino Linotype" w:cs="Palatino Linotype"/>
                <w:b/>
                <w:i/>
              </w:rPr>
            </w:pPr>
          </w:p>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 xml:space="preserve">06894/INFOEM/IP/RR/2025  </w:t>
            </w:r>
          </w:p>
        </w:tc>
        <w:tc>
          <w:tcPr>
            <w:tcW w:w="5974" w:type="dxa"/>
          </w:tcPr>
          <w:p w:rsidR="00793440" w:rsidRPr="00760C90" w:rsidRDefault="0079344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i/>
              </w:rPr>
              <w:t>HAT-SA-OI-454-2025.pdf:</w:t>
            </w:r>
            <w:r w:rsidRPr="00760C90">
              <w:rPr>
                <w:rFonts w:ascii="Palatino Linotype" w:eastAsia="Palatino Linotype" w:hAnsi="Palatino Linotype" w:cs="Palatino Linotype"/>
                <w:i/>
              </w:rPr>
              <w:t xml:space="preserve"> Oficio del Secretario del Ayuntamiento, mediante el cual informa que no existe el archivo de la Secretaría del Ayuntamiento sobre la separación del cargo de Presidenta Municipal. </w:t>
            </w:r>
          </w:p>
        </w:tc>
      </w:tr>
      <w:tr w:rsidR="00793440" w:rsidRPr="00760C90" w:rsidTr="00760C90">
        <w:tc>
          <w:tcPr>
            <w:tcW w:w="4086" w:type="dxa"/>
          </w:tcPr>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00217/TEPOTZOT/IP/2025</w:t>
            </w:r>
          </w:p>
          <w:p w:rsidR="00793440" w:rsidRPr="00760C90" w:rsidRDefault="00793440" w:rsidP="000F08C0">
            <w:pPr>
              <w:ind w:right="900"/>
              <w:jc w:val="both"/>
              <w:rPr>
                <w:rFonts w:ascii="Palatino Linotype" w:eastAsia="Palatino Linotype" w:hAnsi="Palatino Linotype" w:cs="Palatino Linotype"/>
                <w:b/>
                <w:i/>
              </w:rPr>
            </w:pPr>
          </w:p>
          <w:p w:rsidR="00793440" w:rsidRPr="00760C90" w:rsidRDefault="00793440" w:rsidP="000F08C0">
            <w:pPr>
              <w:ind w:right="900"/>
              <w:jc w:val="both"/>
              <w:rPr>
                <w:rFonts w:ascii="Palatino Linotype" w:eastAsia="Palatino Linotype" w:hAnsi="Palatino Linotype" w:cs="Palatino Linotype"/>
                <w:b/>
                <w:i/>
              </w:rPr>
            </w:pPr>
            <w:r w:rsidRPr="00760C90">
              <w:rPr>
                <w:rFonts w:ascii="Palatino Linotype" w:eastAsia="Palatino Linotype" w:hAnsi="Palatino Linotype" w:cs="Palatino Linotype"/>
                <w:b/>
                <w:i/>
              </w:rPr>
              <w:t>06895/INFOEM/IP/RR/2025</w:t>
            </w:r>
          </w:p>
        </w:tc>
        <w:tc>
          <w:tcPr>
            <w:tcW w:w="5974" w:type="dxa"/>
          </w:tcPr>
          <w:p w:rsidR="00793440" w:rsidRPr="00760C90" w:rsidRDefault="00793440" w:rsidP="000F08C0">
            <w:pPr>
              <w:jc w:val="both"/>
              <w:rPr>
                <w:rFonts w:ascii="Palatino Linotype" w:eastAsia="Palatino Linotype" w:hAnsi="Palatino Linotype" w:cs="Palatino Linotype"/>
                <w:i/>
              </w:rPr>
            </w:pPr>
            <w:r w:rsidRPr="00760C90">
              <w:rPr>
                <w:rFonts w:ascii="Palatino Linotype" w:eastAsia="Palatino Linotype" w:hAnsi="Palatino Linotype" w:cs="Palatino Linotype"/>
                <w:b/>
                <w:i/>
              </w:rPr>
              <w:t>HAT-SA-OI-453-2025.pdf:</w:t>
            </w:r>
            <w:r w:rsidRPr="00760C90">
              <w:rPr>
                <w:rFonts w:ascii="Palatino Linotype" w:eastAsia="Palatino Linotype" w:hAnsi="Palatino Linotype" w:cs="Palatino Linotype"/>
                <w:i/>
              </w:rPr>
              <w:t xml:space="preserve"> Oficio del Secretario del Ayuntamiento, mediante el cual informa que durante Vigésima Segunda Sesión Extraordinaria de Cabildo celebrada el día viernes veintitrés de mayo de la presente anualidad la Presidenta Municipal Constitucional regresó a las actividades.</w:t>
            </w:r>
          </w:p>
        </w:tc>
      </w:tr>
    </w:tbl>
    <w:p w:rsidR="004E21DC" w:rsidRPr="00760C90" w:rsidRDefault="004E21DC" w:rsidP="004E21D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93440" w:rsidRPr="00760C90" w:rsidRDefault="00793440" w:rsidP="00793440">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 xml:space="preserve">Seguidamente, posterior a la fecha de cierre de instrucción del </w:t>
      </w:r>
      <w:r w:rsidRPr="00760C90">
        <w:rPr>
          <w:rFonts w:ascii="Palatino Linotype" w:eastAsia="Palatino Linotype" w:hAnsi="Palatino Linotype" w:cs="Palatino Linotype"/>
          <w:b/>
          <w:color w:val="000000"/>
        </w:rPr>
        <w:t xml:space="preserve">catorce de julio de dos mil veinticinco, </w:t>
      </w:r>
      <w:r w:rsidRPr="00760C90">
        <w:rPr>
          <w:rFonts w:ascii="Palatino Linotype" w:eastAsia="Palatino Linotype" w:hAnsi="Palatino Linotype" w:cs="Palatino Linotype"/>
          <w:color w:val="000000"/>
        </w:rPr>
        <w:t xml:space="preserve">el </w:t>
      </w:r>
      <w:r w:rsidRPr="00760C90">
        <w:rPr>
          <w:rFonts w:ascii="Palatino Linotype" w:eastAsia="Palatino Linotype" w:hAnsi="Palatino Linotype" w:cs="Palatino Linotype"/>
          <w:b/>
          <w:color w:val="000000"/>
        </w:rPr>
        <w:t xml:space="preserve">cuatro de agosto de la misma anualidad </w:t>
      </w:r>
      <w:r w:rsidRPr="00760C90">
        <w:rPr>
          <w:rFonts w:ascii="Palatino Linotype" w:eastAsia="Palatino Linotype" w:hAnsi="Palatino Linotype" w:cs="Palatino Linotype"/>
          <w:color w:val="000000"/>
        </w:rPr>
        <w:t xml:space="preserve">se notificó la resolución que emitió este Órgano Garante a las solicitudes de información </w:t>
      </w:r>
      <w:r w:rsidRPr="00760C90">
        <w:rPr>
          <w:rFonts w:ascii="Palatino Linotype" w:eastAsia="Palatino Linotype" w:hAnsi="Palatino Linotype" w:cs="Palatino Linotype"/>
          <w:b/>
        </w:rPr>
        <w:t>00228/TEPOTZOT/IP/2025, 00208/TEPOTZOT/IP/2025, 00232/TEPOTZOT/IP/2025, 00218/TEPOTZOT/IP/2025 y 00217/TEPOTZOT/IP/2025</w:t>
      </w:r>
      <w:r w:rsidRPr="00760C90">
        <w:rPr>
          <w:rFonts w:ascii="Palatino Linotype" w:eastAsia="Palatino Linotype" w:hAnsi="Palatino Linotype" w:cs="Palatino Linotype"/>
          <w:color w:val="000000"/>
        </w:rPr>
        <w:t xml:space="preserve">, el </w:t>
      </w:r>
      <w:r w:rsidRPr="00760C90">
        <w:rPr>
          <w:rFonts w:ascii="Palatino Linotype" w:eastAsia="Palatino Linotype" w:hAnsi="Palatino Linotype" w:cs="Palatino Linotype"/>
          <w:b/>
          <w:color w:val="000000"/>
        </w:rPr>
        <w:t xml:space="preserve">SUJETO OBLIGADO </w:t>
      </w:r>
      <w:r w:rsidR="00372DBA" w:rsidRPr="00760C90">
        <w:rPr>
          <w:rFonts w:ascii="Palatino Linotype" w:eastAsia="Palatino Linotype" w:hAnsi="Palatino Linotype" w:cs="Palatino Linotype"/>
          <w:color w:val="000000"/>
        </w:rPr>
        <w:t xml:space="preserve">entrego información el </w:t>
      </w:r>
      <w:r w:rsidR="00372DBA" w:rsidRPr="00760C90">
        <w:rPr>
          <w:rFonts w:ascii="Palatino Linotype" w:eastAsia="Palatino Linotype" w:hAnsi="Palatino Linotype" w:cs="Palatino Linotype"/>
          <w:b/>
          <w:color w:val="000000"/>
        </w:rPr>
        <w:t xml:space="preserve">dieciocho de agosto subsecuente, </w:t>
      </w:r>
      <w:r w:rsidR="00372DBA" w:rsidRPr="00760C90">
        <w:rPr>
          <w:rFonts w:ascii="Palatino Linotype" w:eastAsia="Palatino Linotype" w:hAnsi="Palatino Linotype" w:cs="Palatino Linotype"/>
          <w:color w:val="000000"/>
        </w:rPr>
        <w:t xml:space="preserve">mediante los siguientes archivos electrónicos. </w:t>
      </w:r>
    </w:p>
    <w:tbl>
      <w:tblPr>
        <w:tblStyle w:val="Tablaconcuadrcula"/>
        <w:tblW w:w="0" w:type="auto"/>
        <w:tblLook w:val="04A0" w:firstRow="1" w:lastRow="0" w:firstColumn="1" w:lastColumn="0" w:noHBand="0" w:noVBand="1"/>
      </w:tblPr>
      <w:tblGrid>
        <w:gridCol w:w="3823"/>
        <w:gridCol w:w="5953"/>
      </w:tblGrid>
      <w:tr w:rsidR="00372DBA" w:rsidRPr="00760C90" w:rsidTr="00760C90">
        <w:tc>
          <w:tcPr>
            <w:tcW w:w="3823" w:type="dxa"/>
          </w:tcPr>
          <w:p w:rsidR="00372DBA" w:rsidRPr="00760C90" w:rsidRDefault="00372DBA" w:rsidP="00760C90">
            <w:pPr>
              <w:jc w:val="center"/>
              <w:rPr>
                <w:rFonts w:ascii="Palatino Linotype" w:eastAsia="Palatino Linotype" w:hAnsi="Palatino Linotype" w:cs="Palatino Linotype"/>
                <w:b/>
                <w:i/>
                <w:color w:val="000000"/>
              </w:rPr>
            </w:pPr>
            <w:r w:rsidRPr="00760C90">
              <w:rPr>
                <w:rFonts w:ascii="Palatino Linotype" w:eastAsia="Palatino Linotype" w:hAnsi="Palatino Linotype" w:cs="Palatino Linotype"/>
                <w:b/>
                <w:i/>
                <w:color w:val="000000"/>
              </w:rPr>
              <w:t>Recurso de revisión</w:t>
            </w:r>
          </w:p>
        </w:tc>
        <w:tc>
          <w:tcPr>
            <w:tcW w:w="5953" w:type="dxa"/>
          </w:tcPr>
          <w:p w:rsidR="00372DBA" w:rsidRPr="00760C90" w:rsidRDefault="00372DBA" w:rsidP="00760C90">
            <w:pPr>
              <w:jc w:val="center"/>
              <w:rPr>
                <w:rFonts w:ascii="Palatino Linotype" w:eastAsia="Palatino Linotype" w:hAnsi="Palatino Linotype" w:cs="Palatino Linotype"/>
                <w:b/>
                <w:i/>
                <w:color w:val="000000"/>
              </w:rPr>
            </w:pPr>
            <w:r w:rsidRPr="00760C90">
              <w:rPr>
                <w:rFonts w:ascii="Palatino Linotype" w:eastAsia="Palatino Linotype" w:hAnsi="Palatino Linotype" w:cs="Palatino Linotype"/>
                <w:b/>
                <w:i/>
                <w:color w:val="000000"/>
              </w:rPr>
              <w:t>Entrega de información</w:t>
            </w:r>
          </w:p>
        </w:tc>
      </w:tr>
      <w:tr w:rsidR="00372DBA" w:rsidRPr="00760C90" w:rsidTr="00760C90">
        <w:tc>
          <w:tcPr>
            <w:tcW w:w="3823" w:type="dxa"/>
          </w:tcPr>
          <w:p w:rsidR="00372DBA" w:rsidRPr="00760C90" w:rsidRDefault="004E21DC" w:rsidP="00372DBA">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bCs/>
                <w:i/>
              </w:rPr>
              <w:t>06883/INFOEM/ICR-48/IP/RR/2025</w:t>
            </w:r>
          </w:p>
        </w:tc>
        <w:tc>
          <w:tcPr>
            <w:tcW w:w="5953" w:type="dxa"/>
          </w:tcPr>
          <w:p w:rsidR="00372DBA" w:rsidRPr="00760C90" w:rsidRDefault="004E21DC" w:rsidP="00372DBA">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i/>
                <w:color w:val="000000"/>
              </w:rPr>
              <w:t xml:space="preserve">ACTA-7 EXT.pdf: </w:t>
            </w:r>
            <w:r w:rsidRPr="00760C90">
              <w:rPr>
                <w:rFonts w:ascii="Palatino Linotype" w:eastAsia="Palatino Linotype" w:hAnsi="Palatino Linotype" w:cs="Palatino Linotype"/>
                <w:i/>
                <w:color w:val="000000"/>
              </w:rPr>
              <w:t xml:space="preserve">Acta de la Séptima Sesión Extraordinaria, mediante la cual en el punto cuatro se autoriza la licencia temporal para separación del cargo de la Presidente Municipal, por tiempo indefinido. </w:t>
            </w:r>
          </w:p>
          <w:p w:rsidR="004E21DC" w:rsidRPr="00760C90" w:rsidRDefault="004E21DC" w:rsidP="00372DBA">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i/>
                <w:color w:val="000000"/>
              </w:rPr>
              <w:t>HAT-SA-OI-683-2025.pdf:</w:t>
            </w:r>
            <w:r w:rsidRPr="00760C90">
              <w:rPr>
                <w:rFonts w:ascii="Palatino Linotype" w:eastAsia="Palatino Linotype" w:hAnsi="Palatino Linotype" w:cs="Palatino Linotype"/>
                <w:i/>
                <w:color w:val="000000"/>
              </w:rPr>
              <w:t xml:space="preserve"> oficio del Secretario del Ayuntamiento, mediante el cual se informa que anexa el </w:t>
            </w:r>
            <w:r w:rsidRPr="00760C90">
              <w:rPr>
                <w:rFonts w:ascii="Palatino Linotype" w:eastAsia="Palatino Linotype" w:hAnsi="Palatino Linotype" w:cs="Palatino Linotype"/>
                <w:i/>
                <w:color w:val="000000"/>
              </w:rPr>
              <w:lastRenderedPageBreak/>
              <w:t xml:space="preserve">documento que contienen los motivos de la licencia de separación del cargo de la Presidenta Municipal. </w:t>
            </w:r>
          </w:p>
        </w:tc>
      </w:tr>
      <w:tr w:rsidR="00372DBA" w:rsidRPr="00760C90" w:rsidTr="00760C90">
        <w:tc>
          <w:tcPr>
            <w:tcW w:w="3823" w:type="dxa"/>
          </w:tcPr>
          <w:p w:rsidR="00372DBA" w:rsidRPr="00760C90" w:rsidRDefault="004E21DC" w:rsidP="00372DBA">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bCs/>
                <w:i/>
              </w:rPr>
              <w:lastRenderedPageBreak/>
              <w:t>06886/INFOEM/ICR-45/IP/RR/2025</w:t>
            </w:r>
          </w:p>
        </w:tc>
        <w:tc>
          <w:tcPr>
            <w:tcW w:w="5953" w:type="dxa"/>
          </w:tcPr>
          <w:p w:rsidR="004E21DC" w:rsidRPr="00760C90" w:rsidRDefault="004E21DC" w:rsidP="004E21DC">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i/>
                <w:color w:val="000000"/>
              </w:rPr>
              <w:t xml:space="preserve">ACTA-7 EXT.pdf: </w:t>
            </w:r>
            <w:r w:rsidRPr="00760C90">
              <w:rPr>
                <w:rFonts w:ascii="Palatino Linotype" w:eastAsia="Palatino Linotype" w:hAnsi="Palatino Linotype" w:cs="Palatino Linotype"/>
                <w:i/>
                <w:color w:val="000000"/>
              </w:rPr>
              <w:t xml:space="preserve">Acta de la Séptima Sesión Extraordinaria, mediante la cual en el punto cuatro se autoriza la licencia temporal para separación del cargo de la Presidente Municipal, por tiempo indefinido. </w:t>
            </w:r>
          </w:p>
          <w:p w:rsidR="00372DBA" w:rsidRPr="00760C90" w:rsidRDefault="004E21DC" w:rsidP="004E21DC">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i/>
                <w:color w:val="000000"/>
              </w:rPr>
              <w:t>HAT-SA-OI-683-2025.pdf:</w:t>
            </w:r>
            <w:r w:rsidRPr="00760C90">
              <w:rPr>
                <w:rFonts w:ascii="Palatino Linotype" w:eastAsia="Palatino Linotype" w:hAnsi="Palatino Linotype" w:cs="Palatino Linotype"/>
                <w:i/>
                <w:color w:val="000000"/>
              </w:rPr>
              <w:t xml:space="preserve"> oficio del Secretario del Ayuntamiento, mediante el cual se informa que anexa el documento que contienen los motivos de la licencia de separación del cargo de la Presidenta Municipal.</w:t>
            </w:r>
          </w:p>
        </w:tc>
      </w:tr>
      <w:tr w:rsidR="00372DBA" w:rsidRPr="00760C90" w:rsidTr="00760C90">
        <w:tc>
          <w:tcPr>
            <w:tcW w:w="3823" w:type="dxa"/>
          </w:tcPr>
          <w:p w:rsidR="00372DBA" w:rsidRPr="00760C90" w:rsidRDefault="004E21DC" w:rsidP="00372DBA">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bCs/>
                <w:i/>
              </w:rPr>
              <w:t>06888/INFOEM/ICR-43/IP/RR/2025</w:t>
            </w:r>
          </w:p>
        </w:tc>
        <w:tc>
          <w:tcPr>
            <w:tcW w:w="5953" w:type="dxa"/>
          </w:tcPr>
          <w:p w:rsidR="004E21DC" w:rsidRPr="00760C90" w:rsidRDefault="004E21DC" w:rsidP="004E21DC">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i/>
                <w:color w:val="000000"/>
              </w:rPr>
              <w:t xml:space="preserve">ACTA-7 EXT.pdf: </w:t>
            </w:r>
            <w:r w:rsidRPr="00760C90">
              <w:rPr>
                <w:rFonts w:ascii="Palatino Linotype" w:eastAsia="Palatino Linotype" w:hAnsi="Palatino Linotype" w:cs="Palatino Linotype"/>
                <w:i/>
                <w:color w:val="000000"/>
              </w:rPr>
              <w:t xml:space="preserve">Acta de la Séptima Sesión Extraordinaria, mediante la cual en el punto cuatro se autoriza la licencia temporal para separación del cargo de la Presidente Municipal, por tiempo indefinido. </w:t>
            </w:r>
          </w:p>
          <w:p w:rsidR="00372DBA" w:rsidRPr="00760C90" w:rsidRDefault="004E21DC" w:rsidP="004E21DC">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i/>
                <w:color w:val="000000"/>
              </w:rPr>
              <w:t>HAT-SA-OI-683-2025.pdf:</w:t>
            </w:r>
            <w:r w:rsidRPr="00760C90">
              <w:rPr>
                <w:rFonts w:ascii="Palatino Linotype" w:eastAsia="Palatino Linotype" w:hAnsi="Palatino Linotype" w:cs="Palatino Linotype"/>
                <w:i/>
                <w:color w:val="000000"/>
              </w:rPr>
              <w:t xml:space="preserve"> oficio del Secretario del Ayuntamiento, mediante el cual se informa que anexa el documento que contienen los motivos de la licencia de separación del cargo de la Presidenta Municipal.</w:t>
            </w:r>
          </w:p>
        </w:tc>
      </w:tr>
      <w:tr w:rsidR="00372DBA" w:rsidRPr="00760C90" w:rsidTr="00760C90">
        <w:tc>
          <w:tcPr>
            <w:tcW w:w="3823" w:type="dxa"/>
          </w:tcPr>
          <w:p w:rsidR="00372DBA" w:rsidRPr="00760C90" w:rsidRDefault="004E21DC" w:rsidP="00372DBA">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bCs/>
                <w:i/>
              </w:rPr>
              <w:t>06894/INFOEM/ICR-52/IP/RR/2025</w:t>
            </w:r>
          </w:p>
        </w:tc>
        <w:tc>
          <w:tcPr>
            <w:tcW w:w="5953" w:type="dxa"/>
          </w:tcPr>
          <w:p w:rsidR="004E21DC" w:rsidRPr="00760C90" w:rsidRDefault="004E21DC" w:rsidP="004E21DC">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i/>
                <w:color w:val="000000"/>
              </w:rPr>
              <w:t xml:space="preserve">ACTA-7 EXT.pdf: </w:t>
            </w:r>
            <w:r w:rsidRPr="00760C90">
              <w:rPr>
                <w:rFonts w:ascii="Palatino Linotype" w:eastAsia="Palatino Linotype" w:hAnsi="Palatino Linotype" w:cs="Palatino Linotype"/>
                <w:i/>
                <w:color w:val="000000"/>
              </w:rPr>
              <w:t xml:space="preserve">Acta de la Séptima Sesión Extraordinaria, mediante la cual en el punto cuatro se autoriza la licencia temporal para separación del cargo de la Presidente Municipal, por tiempo indefinido. </w:t>
            </w:r>
          </w:p>
          <w:p w:rsidR="00372DBA" w:rsidRPr="00760C90" w:rsidRDefault="004E21DC" w:rsidP="004E21DC">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i/>
                <w:color w:val="000000"/>
              </w:rPr>
              <w:t>HAT-SA-OI-683-2025.pdf:</w:t>
            </w:r>
            <w:r w:rsidRPr="00760C90">
              <w:rPr>
                <w:rFonts w:ascii="Palatino Linotype" w:eastAsia="Palatino Linotype" w:hAnsi="Palatino Linotype" w:cs="Palatino Linotype"/>
                <w:i/>
                <w:color w:val="000000"/>
              </w:rPr>
              <w:t xml:space="preserve"> oficio del Secretario del Ayuntamiento, mediante el cual se informa que anexa el documento que contienen los motivos de la licencia de separación del cargo de la Presidenta Municipal.</w:t>
            </w:r>
          </w:p>
        </w:tc>
      </w:tr>
      <w:tr w:rsidR="00372DBA" w:rsidRPr="00760C90" w:rsidTr="00760C90">
        <w:tc>
          <w:tcPr>
            <w:tcW w:w="3823" w:type="dxa"/>
          </w:tcPr>
          <w:p w:rsidR="00372DBA" w:rsidRPr="00760C90" w:rsidRDefault="004E21DC" w:rsidP="00372DBA">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bCs/>
                <w:i/>
              </w:rPr>
              <w:t>06895/INFOEM/ICR-54/IP/RR/2025</w:t>
            </w:r>
          </w:p>
        </w:tc>
        <w:tc>
          <w:tcPr>
            <w:tcW w:w="5953" w:type="dxa"/>
          </w:tcPr>
          <w:p w:rsidR="004E21DC" w:rsidRPr="00760C90" w:rsidRDefault="004E21DC" w:rsidP="004E21DC">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i/>
                <w:color w:val="000000"/>
              </w:rPr>
              <w:t xml:space="preserve">ACTA-7 EXT.pdf: </w:t>
            </w:r>
            <w:r w:rsidRPr="00760C90">
              <w:rPr>
                <w:rFonts w:ascii="Palatino Linotype" w:eastAsia="Palatino Linotype" w:hAnsi="Palatino Linotype" w:cs="Palatino Linotype"/>
                <w:i/>
                <w:color w:val="000000"/>
              </w:rPr>
              <w:t xml:space="preserve">Acta de la Séptima Sesión Extraordinaria, mediante la cual en el punto cuatro se autoriza la licencia temporal para separación del cargo de la Presidente Municipal, por tiempo indefinido. </w:t>
            </w:r>
          </w:p>
          <w:p w:rsidR="00372DBA" w:rsidRPr="00760C90" w:rsidRDefault="004E21DC" w:rsidP="004E21DC">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i/>
                <w:color w:val="000000"/>
              </w:rPr>
              <w:t>HAT-SA-OI-683-2025.pdf:</w:t>
            </w:r>
            <w:r w:rsidRPr="00760C90">
              <w:rPr>
                <w:rFonts w:ascii="Palatino Linotype" w:eastAsia="Palatino Linotype" w:hAnsi="Palatino Linotype" w:cs="Palatino Linotype"/>
                <w:i/>
                <w:color w:val="000000"/>
              </w:rPr>
              <w:t xml:space="preserve"> oficio del Secretario del Ayuntamiento, mediante el cual se informa que anexa el documento que contienen los motivos de la licencia de separación del cargo de la Presidenta Municipal.</w:t>
            </w:r>
          </w:p>
        </w:tc>
      </w:tr>
    </w:tbl>
    <w:p w:rsidR="00793440" w:rsidRPr="00760C90" w:rsidRDefault="00793440" w:rsidP="0079344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11A7A" w:rsidRPr="00760C90" w:rsidRDefault="00D11A7A" w:rsidP="0037334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lastRenderedPageBreak/>
        <w:t xml:space="preserve">De la información entregada al cumplimiento de la resolución emitida por este Órgano Garante el </w:t>
      </w:r>
      <w:r w:rsidRPr="00760C90">
        <w:rPr>
          <w:rFonts w:ascii="Palatino Linotype" w:eastAsia="Palatino Linotype" w:hAnsi="Palatino Linotype" w:cs="Palatino Linotype"/>
          <w:b/>
          <w:color w:val="000000"/>
        </w:rPr>
        <w:t xml:space="preserve">RECURRENTE </w:t>
      </w:r>
      <w:r w:rsidRPr="00760C90">
        <w:rPr>
          <w:rFonts w:ascii="Palatino Linotype" w:eastAsia="Palatino Linotype" w:hAnsi="Palatino Linotype" w:cs="Palatino Linotype"/>
          <w:color w:val="000000"/>
        </w:rPr>
        <w:t xml:space="preserve">interpuso nuevamente los recursos de revisión, el </w:t>
      </w:r>
      <w:r w:rsidRPr="00760C90">
        <w:rPr>
          <w:rFonts w:ascii="Palatino Linotype" w:eastAsia="Palatino Linotype" w:hAnsi="Palatino Linotype" w:cs="Palatino Linotype"/>
          <w:b/>
          <w:color w:val="000000"/>
        </w:rPr>
        <w:t xml:space="preserve">veintiuno y veintiséis de enero de dos mil veintiséis, </w:t>
      </w:r>
      <w:r w:rsidRPr="00760C90">
        <w:rPr>
          <w:rFonts w:ascii="Palatino Linotype" w:eastAsia="Palatino Linotype" w:hAnsi="Palatino Linotype" w:cs="Palatino Linotype"/>
          <w:color w:val="000000"/>
        </w:rPr>
        <w:t xml:space="preserve">mediantes los cuales manifestó lo siguiente. </w:t>
      </w:r>
    </w:p>
    <w:tbl>
      <w:tblPr>
        <w:tblStyle w:val="Tablaconcuadrcula"/>
        <w:tblW w:w="10060" w:type="dxa"/>
        <w:tblLook w:val="04A0" w:firstRow="1" w:lastRow="0" w:firstColumn="1" w:lastColumn="0" w:noHBand="0" w:noVBand="1"/>
      </w:tblPr>
      <w:tblGrid>
        <w:gridCol w:w="3823"/>
        <w:gridCol w:w="6237"/>
      </w:tblGrid>
      <w:tr w:rsidR="00D11A7A" w:rsidRPr="00760C90" w:rsidTr="00760C90">
        <w:tc>
          <w:tcPr>
            <w:tcW w:w="3823" w:type="dxa"/>
          </w:tcPr>
          <w:p w:rsidR="00D11A7A" w:rsidRPr="00760C90" w:rsidRDefault="00D11A7A" w:rsidP="00760C90">
            <w:pPr>
              <w:jc w:val="center"/>
              <w:rPr>
                <w:rFonts w:ascii="Palatino Linotype" w:eastAsia="Palatino Linotype" w:hAnsi="Palatino Linotype" w:cs="Palatino Linotype"/>
                <w:b/>
                <w:i/>
                <w:color w:val="000000"/>
              </w:rPr>
            </w:pPr>
            <w:r w:rsidRPr="00760C90">
              <w:rPr>
                <w:rFonts w:ascii="Palatino Linotype" w:eastAsia="Palatino Linotype" w:hAnsi="Palatino Linotype" w:cs="Palatino Linotype"/>
                <w:b/>
                <w:i/>
                <w:color w:val="000000"/>
              </w:rPr>
              <w:t>Recurso de revisión</w:t>
            </w:r>
          </w:p>
        </w:tc>
        <w:tc>
          <w:tcPr>
            <w:tcW w:w="6237" w:type="dxa"/>
          </w:tcPr>
          <w:p w:rsidR="00D11A7A" w:rsidRPr="00760C90" w:rsidRDefault="00D11A7A" w:rsidP="00760C90">
            <w:pPr>
              <w:jc w:val="center"/>
              <w:rPr>
                <w:rFonts w:ascii="Palatino Linotype" w:eastAsia="Palatino Linotype" w:hAnsi="Palatino Linotype" w:cs="Palatino Linotype"/>
                <w:b/>
                <w:i/>
                <w:color w:val="000000"/>
              </w:rPr>
            </w:pPr>
            <w:r w:rsidRPr="00760C90">
              <w:rPr>
                <w:rFonts w:ascii="Palatino Linotype" w:eastAsia="Palatino Linotype" w:hAnsi="Palatino Linotype" w:cs="Palatino Linotype"/>
                <w:b/>
                <w:i/>
                <w:color w:val="000000"/>
              </w:rPr>
              <w:t>Entrega de información</w:t>
            </w:r>
          </w:p>
        </w:tc>
      </w:tr>
      <w:tr w:rsidR="00D11A7A" w:rsidRPr="00760C90" w:rsidTr="00760C90">
        <w:tc>
          <w:tcPr>
            <w:tcW w:w="3823" w:type="dxa"/>
          </w:tcPr>
          <w:p w:rsidR="00D11A7A" w:rsidRPr="00760C90" w:rsidRDefault="00D11A7A" w:rsidP="000F08C0">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bCs/>
                <w:i/>
              </w:rPr>
              <w:t>06883/INFOEM/ICR-48/IP/RR/2025</w:t>
            </w:r>
          </w:p>
        </w:tc>
        <w:tc>
          <w:tcPr>
            <w:tcW w:w="6237" w:type="dxa"/>
          </w:tcPr>
          <w:p w:rsidR="00D11A7A" w:rsidRPr="00760C90" w:rsidRDefault="00D11A7A" w:rsidP="00D11A7A">
            <w:pPr>
              <w:pBdr>
                <w:top w:val="nil"/>
                <w:left w:val="nil"/>
                <w:bottom w:val="nil"/>
                <w:right w:val="nil"/>
                <w:between w:val="nil"/>
              </w:pBdr>
              <w:ind w:right="284"/>
              <w:jc w:val="both"/>
              <w:rPr>
                <w:rFonts w:ascii="Palatino Linotype" w:eastAsia="Palatino Linotype" w:hAnsi="Palatino Linotype" w:cs="Palatino Linotype"/>
                <w:i/>
                <w:iCs/>
                <w:color w:val="000000"/>
              </w:rPr>
            </w:pPr>
            <w:r w:rsidRPr="00760C90">
              <w:rPr>
                <w:rFonts w:ascii="Palatino Linotype" w:eastAsia="Palatino Linotype" w:hAnsi="Palatino Linotype" w:cs="Palatino Linotype"/>
                <w:i/>
                <w:color w:val="000000"/>
              </w:rPr>
              <w:t xml:space="preserve"> </w:t>
            </w:r>
            <w:r w:rsidRPr="00760C90">
              <w:rPr>
                <w:rFonts w:ascii="Palatino Linotype" w:eastAsia="Palatino Linotype" w:hAnsi="Palatino Linotype" w:cs="Palatino Linotype"/>
                <w:b/>
                <w:bCs/>
                <w:i/>
                <w:iCs/>
                <w:color w:val="000000"/>
              </w:rPr>
              <w:t>Acto impugnado</w:t>
            </w:r>
            <w:r w:rsidRPr="00760C90">
              <w:rPr>
                <w:rFonts w:ascii="Palatino Linotype" w:eastAsia="Palatino Linotype" w:hAnsi="Palatino Linotype" w:cs="Palatino Linotype"/>
                <w:i/>
                <w:iCs/>
                <w:color w:val="000000"/>
              </w:rPr>
              <w:t>: “Información incompleta.” (Sic)</w:t>
            </w:r>
          </w:p>
          <w:p w:rsidR="00D11A7A" w:rsidRPr="00760C90" w:rsidRDefault="00D11A7A" w:rsidP="00D11A7A">
            <w:pPr>
              <w:pBdr>
                <w:top w:val="nil"/>
                <w:left w:val="nil"/>
                <w:bottom w:val="nil"/>
                <w:right w:val="nil"/>
                <w:between w:val="nil"/>
              </w:pBdr>
              <w:ind w:right="284"/>
              <w:jc w:val="both"/>
              <w:rPr>
                <w:rFonts w:ascii="Palatino Linotype" w:eastAsia="Palatino Linotype" w:hAnsi="Palatino Linotype" w:cs="Palatino Linotype"/>
                <w:i/>
                <w:iCs/>
                <w:color w:val="000000"/>
              </w:rPr>
            </w:pPr>
          </w:p>
          <w:p w:rsidR="00D11A7A" w:rsidRPr="00760C90" w:rsidRDefault="00D11A7A" w:rsidP="00D11A7A">
            <w:pPr>
              <w:pBdr>
                <w:top w:val="nil"/>
                <w:left w:val="nil"/>
                <w:bottom w:val="nil"/>
                <w:right w:val="nil"/>
                <w:between w:val="nil"/>
              </w:pBdr>
              <w:ind w:right="284"/>
              <w:jc w:val="both"/>
              <w:rPr>
                <w:rFonts w:ascii="Palatino Linotype" w:eastAsia="Palatino Linotype" w:hAnsi="Palatino Linotype" w:cs="Palatino Linotype"/>
                <w:i/>
                <w:iCs/>
                <w:color w:val="000000"/>
              </w:rPr>
            </w:pPr>
            <w:r w:rsidRPr="00760C90">
              <w:rPr>
                <w:rFonts w:ascii="Palatino Linotype" w:eastAsia="Palatino Linotype" w:hAnsi="Palatino Linotype" w:cs="Palatino Linotype"/>
                <w:b/>
                <w:bCs/>
                <w:i/>
                <w:iCs/>
                <w:color w:val="000000"/>
              </w:rPr>
              <w:t xml:space="preserve">Razones o motivos de inconformidad: </w:t>
            </w:r>
            <w:r w:rsidRPr="00760C90">
              <w:rPr>
                <w:rFonts w:ascii="Palatino Linotype" w:eastAsia="Palatino Linotype" w:hAnsi="Palatino Linotype" w:cs="Palatino Linotype"/>
                <w:i/>
                <w:iCs/>
                <w:color w:val="000000"/>
              </w:rPr>
              <w:t>“Información incompleta.”</w:t>
            </w:r>
          </w:p>
          <w:p w:rsidR="00D11A7A" w:rsidRPr="00760C90" w:rsidRDefault="00D11A7A" w:rsidP="00D11A7A">
            <w:pPr>
              <w:ind w:right="284"/>
              <w:jc w:val="both"/>
              <w:rPr>
                <w:rFonts w:ascii="Palatino Linotype" w:eastAsia="Palatino Linotype" w:hAnsi="Palatino Linotype" w:cs="Palatino Linotype"/>
                <w:i/>
                <w:color w:val="000000"/>
              </w:rPr>
            </w:pPr>
          </w:p>
        </w:tc>
      </w:tr>
      <w:tr w:rsidR="00D11A7A" w:rsidRPr="00760C90" w:rsidTr="00760C90">
        <w:tc>
          <w:tcPr>
            <w:tcW w:w="3823" w:type="dxa"/>
          </w:tcPr>
          <w:p w:rsidR="00D11A7A" w:rsidRPr="00760C90" w:rsidRDefault="00D11A7A" w:rsidP="000F08C0">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bCs/>
                <w:i/>
              </w:rPr>
              <w:t>06886/INFOEM/ICR-45/IP/RR/2025</w:t>
            </w:r>
          </w:p>
        </w:tc>
        <w:tc>
          <w:tcPr>
            <w:tcW w:w="6237" w:type="dxa"/>
          </w:tcPr>
          <w:p w:rsidR="00D11A7A" w:rsidRPr="00760C90" w:rsidRDefault="00D11A7A" w:rsidP="00D11A7A">
            <w:pPr>
              <w:pBdr>
                <w:top w:val="nil"/>
                <w:left w:val="nil"/>
                <w:bottom w:val="nil"/>
                <w:right w:val="nil"/>
                <w:between w:val="nil"/>
              </w:pBdr>
              <w:ind w:right="284"/>
              <w:jc w:val="both"/>
              <w:rPr>
                <w:rFonts w:ascii="Palatino Linotype" w:eastAsia="Palatino Linotype" w:hAnsi="Palatino Linotype" w:cs="Palatino Linotype"/>
                <w:i/>
                <w:iCs/>
                <w:color w:val="000000"/>
              </w:rPr>
            </w:pPr>
            <w:r w:rsidRPr="00760C90">
              <w:rPr>
                <w:rFonts w:ascii="Palatino Linotype" w:eastAsia="Palatino Linotype" w:hAnsi="Palatino Linotype" w:cs="Palatino Linotype"/>
                <w:b/>
                <w:bCs/>
                <w:i/>
                <w:iCs/>
                <w:color w:val="000000"/>
              </w:rPr>
              <w:t>Acto impugnado</w:t>
            </w:r>
            <w:r w:rsidRPr="00760C90">
              <w:rPr>
                <w:rFonts w:ascii="Palatino Linotype" w:eastAsia="Palatino Linotype" w:hAnsi="Palatino Linotype" w:cs="Palatino Linotype"/>
                <w:i/>
                <w:iCs/>
                <w:color w:val="000000"/>
              </w:rPr>
              <w:t>: “Información incompleta.” (Sic)</w:t>
            </w:r>
          </w:p>
          <w:p w:rsidR="00D11A7A" w:rsidRPr="00760C90" w:rsidRDefault="00D11A7A" w:rsidP="00D11A7A">
            <w:pPr>
              <w:pBdr>
                <w:top w:val="nil"/>
                <w:left w:val="nil"/>
                <w:bottom w:val="nil"/>
                <w:right w:val="nil"/>
                <w:between w:val="nil"/>
              </w:pBdr>
              <w:ind w:right="284"/>
              <w:jc w:val="both"/>
              <w:rPr>
                <w:rFonts w:ascii="Palatino Linotype" w:eastAsia="Palatino Linotype" w:hAnsi="Palatino Linotype" w:cs="Palatino Linotype"/>
                <w:i/>
                <w:iCs/>
                <w:color w:val="000000"/>
              </w:rPr>
            </w:pPr>
          </w:p>
          <w:p w:rsidR="00D11A7A" w:rsidRPr="00760C90" w:rsidRDefault="00D11A7A" w:rsidP="00D11A7A">
            <w:pPr>
              <w:pBdr>
                <w:top w:val="nil"/>
                <w:left w:val="nil"/>
                <w:bottom w:val="nil"/>
                <w:right w:val="nil"/>
                <w:between w:val="nil"/>
              </w:pBdr>
              <w:ind w:right="284"/>
              <w:jc w:val="both"/>
              <w:rPr>
                <w:rFonts w:ascii="Palatino Linotype" w:eastAsia="Palatino Linotype" w:hAnsi="Palatino Linotype" w:cs="Palatino Linotype"/>
                <w:i/>
                <w:iCs/>
                <w:color w:val="000000"/>
              </w:rPr>
            </w:pPr>
            <w:r w:rsidRPr="00760C90">
              <w:rPr>
                <w:rFonts w:ascii="Palatino Linotype" w:eastAsia="Palatino Linotype" w:hAnsi="Palatino Linotype" w:cs="Palatino Linotype"/>
                <w:b/>
                <w:bCs/>
                <w:i/>
                <w:iCs/>
                <w:color w:val="000000"/>
              </w:rPr>
              <w:t xml:space="preserve">Razones o motivos de inconformidad: </w:t>
            </w:r>
            <w:r w:rsidRPr="00760C90">
              <w:rPr>
                <w:rFonts w:ascii="Palatino Linotype" w:eastAsia="Palatino Linotype" w:hAnsi="Palatino Linotype" w:cs="Palatino Linotype"/>
                <w:i/>
                <w:iCs/>
                <w:color w:val="000000"/>
              </w:rPr>
              <w:t>“Información incompleta.”</w:t>
            </w:r>
          </w:p>
          <w:p w:rsidR="00D11A7A" w:rsidRPr="00760C90" w:rsidRDefault="00D11A7A" w:rsidP="000F08C0">
            <w:pPr>
              <w:jc w:val="both"/>
              <w:rPr>
                <w:rFonts w:ascii="Palatino Linotype" w:eastAsia="Palatino Linotype" w:hAnsi="Palatino Linotype" w:cs="Palatino Linotype"/>
                <w:i/>
                <w:color w:val="000000"/>
              </w:rPr>
            </w:pPr>
          </w:p>
        </w:tc>
      </w:tr>
      <w:tr w:rsidR="00D11A7A" w:rsidRPr="00760C90" w:rsidTr="00760C90">
        <w:tc>
          <w:tcPr>
            <w:tcW w:w="3823" w:type="dxa"/>
          </w:tcPr>
          <w:p w:rsidR="00D11A7A" w:rsidRPr="00760C90" w:rsidRDefault="00D11A7A" w:rsidP="000F08C0">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bCs/>
                <w:i/>
              </w:rPr>
              <w:t>06888/INFOEM/ICR-43/IP/RR/2025</w:t>
            </w:r>
          </w:p>
        </w:tc>
        <w:tc>
          <w:tcPr>
            <w:tcW w:w="6237" w:type="dxa"/>
          </w:tcPr>
          <w:p w:rsidR="00D11A7A" w:rsidRPr="00760C90" w:rsidRDefault="00D11A7A" w:rsidP="00D11A7A">
            <w:pPr>
              <w:pBdr>
                <w:top w:val="nil"/>
                <w:left w:val="nil"/>
                <w:bottom w:val="nil"/>
                <w:right w:val="nil"/>
                <w:between w:val="nil"/>
              </w:pBdr>
              <w:ind w:right="284"/>
              <w:jc w:val="both"/>
              <w:rPr>
                <w:rFonts w:ascii="Palatino Linotype" w:eastAsia="Palatino Linotype" w:hAnsi="Palatino Linotype" w:cs="Palatino Linotype"/>
                <w:i/>
                <w:iCs/>
                <w:color w:val="000000"/>
              </w:rPr>
            </w:pPr>
            <w:r w:rsidRPr="00760C90">
              <w:rPr>
                <w:rFonts w:ascii="Palatino Linotype" w:eastAsia="Palatino Linotype" w:hAnsi="Palatino Linotype" w:cs="Palatino Linotype"/>
                <w:b/>
                <w:bCs/>
                <w:i/>
                <w:iCs/>
                <w:color w:val="000000"/>
              </w:rPr>
              <w:t>Acto impugnado</w:t>
            </w:r>
            <w:r w:rsidRPr="00760C90">
              <w:rPr>
                <w:rFonts w:ascii="Palatino Linotype" w:eastAsia="Palatino Linotype" w:hAnsi="Palatino Linotype" w:cs="Palatino Linotype"/>
                <w:i/>
                <w:iCs/>
                <w:color w:val="000000"/>
              </w:rPr>
              <w:t>: “Información incompleta.” (Sic)</w:t>
            </w:r>
          </w:p>
          <w:p w:rsidR="00D11A7A" w:rsidRPr="00760C90" w:rsidRDefault="00D11A7A" w:rsidP="00D11A7A">
            <w:pPr>
              <w:pBdr>
                <w:top w:val="nil"/>
                <w:left w:val="nil"/>
                <w:bottom w:val="nil"/>
                <w:right w:val="nil"/>
                <w:between w:val="nil"/>
              </w:pBdr>
              <w:ind w:right="284"/>
              <w:jc w:val="both"/>
              <w:rPr>
                <w:rFonts w:ascii="Palatino Linotype" w:eastAsia="Palatino Linotype" w:hAnsi="Palatino Linotype" w:cs="Palatino Linotype"/>
                <w:i/>
                <w:iCs/>
                <w:color w:val="000000"/>
              </w:rPr>
            </w:pPr>
          </w:p>
          <w:p w:rsidR="00D11A7A" w:rsidRPr="00760C90" w:rsidRDefault="00D11A7A" w:rsidP="00D11A7A">
            <w:pPr>
              <w:pBdr>
                <w:top w:val="nil"/>
                <w:left w:val="nil"/>
                <w:bottom w:val="nil"/>
                <w:right w:val="nil"/>
                <w:between w:val="nil"/>
              </w:pBdr>
              <w:ind w:right="284"/>
              <w:jc w:val="both"/>
              <w:rPr>
                <w:rFonts w:ascii="Palatino Linotype" w:eastAsia="Palatino Linotype" w:hAnsi="Palatino Linotype" w:cs="Palatino Linotype"/>
                <w:i/>
                <w:iCs/>
                <w:color w:val="000000"/>
              </w:rPr>
            </w:pPr>
            <w:r w:rsidRPr="00760C90">
              <w:rPr>
                <w:rFonts w:ascii="Palatino Linotype" w:eastAsia="Palatino Linotype" w:hAnsi="Palatino Linotype" w:cs="Palatino Linotype"/>
                <w:b/>
                <w:bCs/>
                <w:i/>
                <w:iCs/>
                <w:color w:val="000000"/>
              </w:rPr>
              <w:t xml:space="preserve">Razones o motivos de inconformidad: </w:t>
            </w:r>
            <w:r w:rsidRPr="00760C90">
              <w:rPr>
                <w:rFonts w:ascii="Palatino Linotype" w:eastAsia="Palatino Linotype" w:hAnsi="Palatino Linotype" w:cs="Palatino Linotype"/>
                <w:i/>
                <w:iCs/>
                <w:color w:val="000000"/>
              </w:rPr>
              <w:t>“Información incompleta.”</w:t>
            </w:r>
          </w:p>
          <w:p w:rsidR="00D11A7A" w:rsidRPr="00760C90" w:rsidRDefault="00D11A7A" w:rsidP="00D11A7A">
            <w:pPr>
              <w:jc w:val="both"/>
              <w:rPr>
                <w:rFonts w:ascii="Palatino Linotype" w:eastAsia="Palatino Linotype" w:hAnsi="Palatino Linotype" w:cs="Palatino Linotype"/>
                <w:i/>
                <w:color w:val="000000"/>
              </w:rPr>
            </w:pPr>
          </w:p>
        </w:tc>
      </w:tr>
      <w:tr w:rsidR="00D11A7A" w:rsidRPr="00760C90" w:rsidTr="00760C90">
        <w:tc>
          <w:tcPr>
            <w:tcW w:w="3823" w:type="dxa"/>
          </w:tcPr>
          <w:p w:rsidR="00D11A7A" w:rsidRPr="00760C90" w:rsidRDefault="00D11A7A" w:rsidP="000F08C0">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bCs/>
                <w:i/>
              </w:rPr>
              <w:t>06894/INFOEM/ICR-52/IP/RR/2025</w:t>
            </w:r>
          </w:p>
        </w:tc>
        <w:tc>
          <w:tcPr>
            <w:tcW w:w="6237" w:type="dxa"/>
          </w:tcPr>
          <w:p w:rsidR="00D11A7A" w:rsidRPr="00760C90" w:rsidRDefault="00D11A7A" w:rsidP="00D11A7A">
            <w:pPr>
              <w:pBdr>
                <w:top w:val="nil"/>
                <w:left w:val="nil"/>
                <w:bottom w:val="nil"/>
                <w:right w:val="nil"/>
                <w:between w:val="nil"/>
              </w:pBdr>
              <w:ind w:right="284"/>
              <w:jc w:val="both"/>
              <w:rPr>
                <w:rFonts w:ascii="Palatino Linotype" w:eastAsia="Palatino Linotype" w:hAnsi="Palatino Linotype" w:cs="Palatino Linotype"/>
                <w:i/>
                <w:iCs/>
                <w:color w:val="000000"/>
              </w:rPr>
            </w:pPr>
            <w:r w:rsidRPr="00760C90">
              <w:rPr>
                <w:rFonts w:ascii="Palatino Linotype" w:eastAsia="Palatino Linotype" w:hAnsi="Palatino Linotype" w:cs="Palatino Linotype"/>
                <w:b/>
                <w:bCs/>
                <w:i/>
                <w:iCs/>
                <w:color w:val="000000"/>
              </w:rPr>
              <w:t>Acto impugnado</w:t>
            </w:r>
            <w:r w:rsidRPr="00760C90">
              <w:rPr>
                <w:rFonts w:ascii="Palatino Linotype" w:eastAsia="Palatino Linotype" w:hAnsi="Palatino Linotype" w:cs="Palatino Linotype"/>
                <w:i/>
                <w:iCs/>
                <w:color w:val="000000"/>
              </w:rPr>
              <w:t>: “Información incompleta.” (Sic)</w:t>
            </w:r>
          </w:p>
          <w:p w:rsidR="00D11A7A" w:rsidRPr="00760C90" w:rsidRDefault="00D11A7A" w:rsidP="00D11A7A">
            <w:pPr>
              <w:pBdr>
                <w:top w:val="nil"/>
                <w:left w:val="nil"/>
                <w:bottom w:val="nil"/>
                <w:right w:val="nil"/>
                <w:between w:val="nil"/>
              </w:pBdr>
              <w:ind w:right="284"/>
              <w:jc w:val="both"/>
              <w:rPr>
                <w:rFonts w:ascii="Palatino Linotype" w:eastAsia="Palatino Linotype" w:hAnsi="Palatino Linotype" w:cs="Palatino Linotype"/>
                <w:i/>
                <w:iCs/>
                <w:color w:val="000000"/>
              </w:rPr>
            </w:pPr>
          </w:p>
          <w:p w:rsidR="00D11A7A" w:rsidRPr="00760C90" w:rsidRDefault="00D11A7A" w:rsidP="00D11A7A">
            <w:pPr>
              <w:pBdr>
                <w:top w:val="nil"/>
                <w:left w:val="nil"/>
                <w:bottom w:val="nil"/>
                <w:right w:val="nil"/>
                <w:between w:val="nil"/>
              </w:pBdr>
              <w:ind w:right="284"/>
              <w:jc w:val="both"/>
              <w:rPr>
                <w:rFonts w:ascii="Palatino Linotype" w:eastAsia="Palatino Linotype" w:hAnsi="Palatino Linotype" w:cs="Palatino Linotype"/>
                <w:i/>
                <w:iCs/>
                <w:color w:val="000000"/>
              </w:rPr>
            </w:pPr>
            <w:r w:rsidRPr="00760C90">
              <w:rPr>
                <w:rFonts w:ascii="Palatino Linotype" w:eastAsia="Palatino Linotype" w:hAnsi="Palatino Linotype" w:cs="Palatino Linotype"/>
                <w:b/>
                <w:bCs/>
                <w:i/>
                <w:iCs/>
                <w:color w:val="000000"/>
              </w:rPr>
              <w:t xml:space="preserve">Razones o motivos de inconformidad: </w:t>
            </w:r>
            <w:r w:rsidRPr="00760C90">
              <w:rPr>
                <w:rFonts w:ascii="Palatino Linotype" w:eastAsia="Palatino Linotype" w:hAnsi="Palatino Linotype" w:cs="Palatino Linotype"/>
                <w:i/>
                <w:iCs/>
                <w:color w:val="000000"/>
              </w:rPr>
              <w:t>“Información incompleta.”</w:t>
            </w:r>
          </w:p>
          <w:p w:rsidR="00D11A7A" w:rsidRPr="00760C90" w:rsidRDefault="00D11A7A" w:rsidP="000F08C0">
            <w:pPr>
              <w:jc w:val="both"/>
              <w:rPr>
                <w:rFonts w:ascii="Palatino Linotype" w:eastAsia="Palatino Linotype" w:hAnsi="Palatino Linotype" w:cs="Palatino Linotype"/>
                <w:i/>
                <w:color w:val="000000"/>
              </w:rPr>
            </w:pPr>
          </w:p>
        </w:tc>
      </w:tr>
      <w:tr w:rsidR="00D11A7A" w:rsidRPr="00760C90" w:rsidTr="00760C90">
        <w:tc>
          <w:tcPr>
            <w:tcW w:w="3823" w:type="dxa"/>
          </w:tcPr>
          <w:p w:rsidR="00D11A7A" w:rsidRPr="00760C90" w:rsidRDefault="00D11A7A" w:rsidP="000F08C0">
            <w:pPr>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bCs/>
                <w:i/>
              </w:rPr>
              <w:t>06895/INFOEM/ICR-54/IP/RR/2025</w:t>
            </w:r>
          </w:p>
        </w:tc>
        <w:tc>
          <w:tcPr>
            <w:tcW w:w="6237" w:type="dxa"/>
          </w:tcPr>
          <w:p w:rsidR="00D11A7A" w:rsidRPr="00760C90" w:rsidRDefault="00D11A7A" w:rsidP="00D11A7A">
            <w:pPr>
              <w:pBdr>
                <w:top w:val="nil"/>
                <w:left w:val="nil"/>
                <w:bottom w:val="nil"/>
                <w:right w:val="nil"/>
                <w:between w:val="nil"/>
              </w:pBdr>
              <w:ind w:right="284"/>
              <w:jc w:val="both"/>
              <w:rPr>
                <w:rFonts w:ascii="Palatino Linotype" w:eastAsia="Palatino Linotype" w:hAnsi="Palatino Linotype" w:cs="Palatino Linotype"/>
                <w:i/>
                <w:iCs/>
                <w:color w:val="000000"/>
              </w:rPr>
            </w:pPr>
            <w:r w:rsidRPr="00760C90">
              <w:rPr>
                <w:rFonts w:ascii="Palatino Linotype" w:eastAsia="Palatino Linotype" w:hAnsi="Palatino Linotype" w:cs="Palatino Linotype"/>
                <w:b/>
                <w:bCs/>
                <w:i/>
                <w:iCs/>
                <w:color w:val="000000"/>
              </w:rPr>
              <w:t>Acto impugnado</w:t>
            </w:r>
            <w:r w:rsidRPr="00760C90">
              <w:rPr>
                <w:rFonts w:ascii="Palatino Linotype" w:eastAsia="Palatino Linotype" w:hAnsi="Palatino Linotype" w:cs="Palatino Linotype"/>
                <w:i/>
                <w:iCs/>
                <w:color w:val="000000"/>
              </w:rPr>
              <w:t>: “Información incompleta.” (Sic)</w:t>
            </w:r>
          </w:p>
          <w:p w:rsidR="00D11A7A" w:rsidRPr="00760C90" w:rsidRDefault="00D11A7A" w:rsidP="00D11A7A">
            <w:pPr>
              <w:pBdr>
                <w:top w:val="nil"/>
                <w:left w:val="nil"/>
                <w:bottom w:val="nil"/>
                <w:right w:val="nil"/>
                <w:between w:val="nil"/>
              </w:pBdr>
              <w:ind w:right="284"/>
              <w:jc w:val="both"/>
              <w:rPr>
                <w:rFonts w:ascii="Palatino Linotype" w:eastAsia="Palatino Linotype" w:hAnsi="Palatino Linotype" w:cs="Palatino Linotype"/>
                <w:i/>
                <w:iCs/>
                <w:color w:val="000000"/>
              </w:rPr>
            </w:pPr>
          </w:p>
          <w:p w:rsidR="00D11A7A" w:rsidRPr="00760C90" w:rsidRDefault="00D11A7A" w:rsidP="00D11A7A">
            <w:pPr>
              <w:pBdr>
                <w:top w:val="nil"/>
                <w:left w:val="nil"/>
                <w:bottom w:val="nil"/>
                <w:right w:val="nil"/>
                <w:between w:val="nil"/>
              </w:pBdr>
              <w:ind w:right="284"/>
              <w:jc w:val="both"/>
              <w:rPr>
                <w:rFonts w:ascii="Palatino Linotype" w:eastAsia="Palatino Linotype" w:hAnsi="Palatino Linotype" w:cs="Palatino Linotype"/>
                <w:i/>
                <w:iCs/>
                <w:color w:val="000000"/>
              </w:rPr>
            </w:pPr>
            <w:r w:rsidRPr="00760C90">
              <w:rPr>
                <w:rFonts w:ascii="Palatino Linotype" w:eastAsia="Palatino Linotype" w:hAnsi="Palatino Linotype" w:cs="Palatino Linotype"/>
                <w:b/>
                <w:bCs/>
                <w:i/>
                <w:iCs/>
                <w:color w:val="000000"/>
              </w:rPr>
              <w:t xml:space="preserve">Razones o motivos de inconformidad: </w:t>
            </w:r>
            <w:r w:rsidRPr="00760C90">
              <w:rPr>
                <w:rFonts w:ascii="Palatino Linotype" w:eastAsia="Palatino Linotype" w:hAnsi="Palatino Linotype" w:cs="Palatino Linotype"/>
                <w:i/>
                <w:iCs/>
                <w:color w:val="000000"/>
              </w:rPr>
              <w:t>“Información incompleta.”</w:t>
            </w:r>
          </w:p>
          <w:p w:rsidR="00D11A7A" w:rsidRPr="00760C90" w:rsidRDefault="00D11A7A" w:rsidP="000F08C0">
            <w:pPr>
              <w:jc w:val="both"/>
              <w:rPr>
                <w:rFonts w:ascii="Palatino Linotype" w:eastAsia="Palatino Linotype" w:hAnsi="Palatino Linotype" w:cs="Palatino Linotype"/>
                <w:i/>
                <w:color w:val="000000"/>
              </w:rPr>
            </w:pPr>
          </w:p>
        </w:tc>
      </w:tr>
    </w:tbl>
    <w:p w:rsidR="00373347" w:rsidRPr="00760C90" w:rsidRDefault="00373347" w:rsidP="00373347">
      <w:pPr>
        <w:rPr>
          <w:rFonts w:ascii="Palatino Linotype" w:eastAsia="Palatino Linotype" w:hAnsi="Palatino Linotype" w:cs="Palatino Linotype"/>
        </w:rPr>
      </w:pPr>
    </w:p>
    <w:p w:rsidR="00373347" w:rsidRPr="00760C90" w:rsidRDefault="00373347" w:rsidP="00373347">
      <w:pPr>
        <w:pBdr>
          <w:top w:val="nil"/>
          <w:left w:val="nil"/>
          <w:bottom w:val="nil"/>
          <w:right w:val="nil"/>
          <w:between w:val="nil"/>
        </w:pBdr>
        <w:ind w:left="1134" w:right="1106"/>
        <w:jc w:val="both"/>
        <w:rPr>
          <w:rFonts w:ascii="Palatino Linotype" w:eastAsia="Palatino Linotype" w:hAnsi="Palatino Linotype" w:cs="Palatino Linotype"/>
          <w:i/>
          <w:iCs/>
          <w:color w:val="000000"/>
        </w:rPr>
      </w:pPr>
    </w:p>
    <w:p w:rsidR="00373347" w:rsidRPr="00760C90" w:rsidRDefault="00760C90" w:rsidP="0037334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La Comisionada p</w:t>
      </w:r>
      <w:r w:rsidR="00373347" w:rsidRPr="00760C90">
        <w:rPr>
          <w:rFonts w:ascii="Palatino Linotype" w:eastAsia="Palatino Linotype" w:hAnsi="Palatino Linotype" w:cs="Palatino Linotype"/>
          <w:color w:val="000000"/>
        </w:rPr>
        <w:t>onente, con fundamento en lo dispuesto por el artículo 185, fracción II, de la ley de la materia, a través de</w:t>
      </w:r>
      <w:r w:rsidR="00D11A7A" w:rsidRPr="00760C90">
        <w:rPr>
          <w:rFonts w:ascii="Palatino Linotype" w:eastAsia="Palatino Linotype" w:hAnsi="Palatino Linotype" w:cs="Palatino Linotype"/>
          <w:color w:val="000000"/>
        </w:rPr>
        <w:t xml:space="preserve"> </w:t>
      </w:r>
      <w:r w:rsidR="00373347" w:rsidRPr="00760C90">
        <w:rPr>
          <w:rFonts w:ascii="Palatino Linotype" w:eastAsia="Palatino Linotype" w:hAnsi="Palatino Linotype" w:cs="Palatino Linotype"/>
          <w:color w:val="000000"/>
        </w:rPr>
        <w:t>l</w:t>
      </w:r>
      <w:r w:rsidR="00D11A7A" w:rsidRPr="00760C90">
        <w:rPr>
          <w:rFonts w:ascii="Palatino Linotype" w:eastAsia="Palatino Linotype" w:hAnsi="Palatino Linotype" w:cs="Palatino Linotype"/>
          <w:color w:val="000000"/>
        </w:rPr>
        <w:t>os</w:t>
      </w:r>
      <w:r w:rsidR="00373347" w:rsidRPr="00760C90">
        <w:rPr>
          <w:rFonts w:ascii="Palatino Linotype" w:eastAsia="Palatino Linotype" w:hAnsi="Palatino Linotype" w:cs="Palatino Linotype"/>
          <w:color w:val="000000"/>
        </w:rPr>
        <w:t xml:space="preserve"> acuerdo</w:t>
      </w:r>
      <w:r w:rsidR="00D11A7A" w:rsidRPr="00760C90">
        <w:rPr>
          <w:rFonts w:ascii="Palatino Linotype" w:eastAsia="Palatino Linotype" w:hAnsi="Palatino Linotype" w:cs="Palatino Linotype"/>
          <w:color w:val="000000"/>
        </w:rPr>
        <w:t>s</w:t>
      </w:r>
      <w:r w:rsidR="00373347" w:rsidRPr="00760C90">
        <w:rPr>
          <w:rFonts w:ascii="Palatino Linotype" w:eastAsia="Palatino Linotype" w:hAnsi="Palatino Linotype" w:cs="Palatino Linotype"/>
          <w:color w:val="000000"/>
        </w:rPr>
        <w:t xml:space="preserve"> de admisión de</w:t>
      </w:r>
      <w:r w:rsidR="00D11A7A" w:rsidRPr="00760C90">
        <w:rPr>
          <w:rFonts w:ascii="Palatino Linotype" w:eastAsia="Palatino Linotype" w:hAnsi="Palatino Linotype" w:cs="Palatino Linotype"/>
          <w:color w:val="000000"/>
        </w:rPr>
        <w:t xml:space="preserve">l </w:t>
      </w:r>
      <w:r w:rsidR="00373347" w:rsidRPr="00760C90">
        <w:rPr>
          <w:rFonts w:ascii="Palatino Linotype" w:eastAsia="Palatino Linotype" w:hAnsi="Palatino Linotype" w:cs="Palatino Linotype"/>
          <w:color w:val="000000"/>
        </w:rPr>
        <w:t xml:space="preserve"> </w:t>
      </w:r>
      <w:r w:rsidR="00D11A7A" w:rsidRPr="00760C90">
        <w:rPr>
          <w:rFonts w:ascii="Palatino Linotype" w:eastAsia="Palatino Linotype" w:hAnsi="Palatino Linotype" w:cs="Palatino Linotype"/>
          <w:b/>
          <w:bCs/>
          <w:color w:val="000000"/>
        </w:rPr>
        <w:t>veintiocho de enero y tres de febrero de dos mil veintiséis</w:t>
      </w:r>
      <w:r w:rsidR="00373347" w:rsidRPr="00760C90">
        <w:rPr>
          <w:rFonts w:ascii="Palatino Linotype" w:eastAsia="Palatino Linotype" w:hAnsi="Palatino Linotype" w:cs="Palatino Linotype"/>
          <w:color w:val="000000"/>
        </w:rPr>
        <w:t xml:space="preserve">, puso a disposición de las partes el expediente electrónico vía </w:t>
      </w:r>
      <w:r w:rsidR="00373347" w:rsidRPr="00760C90">
        <w:rPr>
          <w:rFonts w:ascii="Palatino Linotype" w:eastAsia="Palatino Linotype" w:hAnsi="Palatino Linotype" w:cs="Palatino Linotype"/>
          <w:b/>
          <w:bCs/>
          <w:color w:val="000000"/>
        </w:rPr>
        <w:t xml:space="preserve">SAIMEX </w:t>
      </w:r>
      <w:r w:rsidR="00373347" w:rsidRPr="00760C90">
        <w:rPr>
          <w:rFonts w:ascii="Palatino Linotype" w:eastAsia="Palatino Linotype" w:hAnsi="Palatino Linotype" w:cs="Palatino Linotype"/>
          <w:color w:val="000000"/>
        </w:rPr>
        <w:t xml:space="preserve">a efecto de que en un plazo máximo de siete días manifestaran lo que a derecho </w:t>
      </w:r>
      <w:r w:rsidR="00373347" w:rsidRPr="00760C90">
        <w:rPr>
          <w:rFonts w:ascii="Palatino Linotype" w:eastAsia="Palatino Linotype" w:hAnsi="Palatino Linotype" w:cs="Palatino Linotype"/>
          <w:color w:val="000000"/>
        </w:rPr>
        <w:lastRenderedPageBreak/>
        <w:t xml:space="preserve">convinieran, ofrecieran pruebas y alegatos según corresponda al caso concreto, de esta forma para que el </w:t>
      </w:r>
      <w:r w:rsidR="00373347" w:rsidRPr="00760C90">
        <w:rPr>
          <w:rFonts w:ascii="Palatino Linotype" w:eastAsia="Palatino Linotype" w:hAnsi="Palatino Linotype" w:cs="Palatino Linotype"/>
          <w:b/>
          <w:bCs/>
          <w:color w:val="000000"/>
        </w:rPr>
        <w:t>SUJETO OBLIGADO</w:t>
      </w:r>
      <w:r w:rsidR="00373347" w:rsidRPr="00760C90">
        <w:rPr>
          <w:rFonts w:ascii="Palatino Linotype" w:eastAsia="Palatino Linotype" w:hAnsi="Palatino Linotype" w:cs="Palatino Linotype"/>
          <w:color w:val="000000"/>
        </w:rPr>
        <w:t xml:space="preserve"> presentara el informe justificado procedente.</w:t>
      </w:r>
    </w:p>
    <w:p w:rsidR="00373347" w:rsidRPr="00760C90" w:rsidRDefault="00373347" w:rsidP="00373347">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373347" w:rsidRPr="00760C90" w:rsidRDefault="00373347" w:rsidP="00D11A7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760C90">
        <w:rPr>
          <w:rFonts w:ascii="Palatino Linotype" w:eastAsia="Palatino Linotype" w:hAnsi="Palatino Linotype" w:cs="Palatino Linotype"/>
          <w:color w:val="000000"/>
        </w:rPr>
        <w:t xml:space="preserve">De lo </w:t>
      </w:r>
      <w:r w:rsidR="00D11A7A" w:rsidRPr="00760C90">
        <w:rPr>
          <w:rFonts w:ascii="Palatino Linotype" w:eastAsia="Palatino Linotype" w:hAnsi="Palatino Linotype" w:cs="Palatino Linotype"/>
          <w:color w:val="000000"/>
        </w:rPr>
        <w:t xml:space="preserve">anterior, tal y como se observa en los expedientes electrónicos el </w:t>
      </w:r>
      <w:r w:rsidR="00D11A7A" w:rsidRPr="00760C90">
        <w:rPr>
          <w:rFonts w:ascii="Palatino Linotype" w:eastAsia="Palatino Linotype" w:hAnsi="Palatino Linotype" w:cs="Palatino Linotype"/>
          <w:b/>
          <w:color w:val="000000"/>
        </w:rPr>
        <w:t xml:space="preserve">SUJETO OBLIGADO </w:t>
      </w:r>
      <w:r w:rsidR="00D11A7A" w:rsidRPr="00760C90">
        <w:rPr>
          <w:rFonts w:ascii="Palatino Linotype" w:eastAsia="Palatino Linotype" w:hAnsi="Palatino Linotype" w:cs="Palatino Linotype"/>
          <w:color w:val="000000"/>
        </w:rPr>
        <w:t xml:space="preserve">y el </w:t>
      </w:r>
      <w:r w:rsidR="00D11A7A" w:rsidRPr="00760C90">
        <w:rPr>
          <w:rFonts w:ascii="Palatino Linotype" w:eastAsia="Palatino Linotype" w:hAnsi="Palatino Linotype" w:cs="Palatino Linotype"/>
          <w:b/>
          <w:color w:val="000000"/>
        </w:rPr>
        <w:t xml:space="preserve">RECURRENTE </w:t>
      </w:r>
      <w:r w:rsidR="00D11A7A" w:rsidRPr="00760C90">
        <w:rPr>
          <w:rFonts w:ascii="Palatino Linotype" w:eastAsia="Palatino Linotype" w:hAnsi="Palatino Linotype" w:cs="Palatino Linotype"/>
          <w:color w:val="000000"/>
        </w:rPr>
        <w:t xml:space="preserve">fueron omisos en manifestar lo que a su derecho conviniera y asistiera, respectivamente. </w:t>
      </w:r>
    </w:p>
    <w:p w:rsidR="00D11A7A" w:rsidRPr="00760C90" w:rsidRDefault="00D11A7A" w:rsidP="00D11A7A">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373347" w:rsidRPr="00760C90" w:rsidRDefault="00373347" w:rsidP="0037334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 xml:space="preserve">Finalmente, el </w:t>
      </w:r>
      <w:r w:rsidR="00D11A7A" w:rsidRPr="00760C90">
        <w:rPr>
          <w:rFonts w:ascii="Palatino Linotype" w:eastAsia="Palatino Linotype" w:hAnsi="Palatino Linotype" w:cs="Palatino Linotype"/>
          <w:b/>
          <w:bCs/>
          <w:color w:val="000000"/>
        </w:rPr>
        <w:t xml:space="preserve">dieciséis de enero </w:t>
      </w:r>
      <w:r w:rsidRPr="00760C90">
        <w:rPr>
          <w:rFonts w:ascii="Palatino Linotype" w:eastAsia="Palatino Linotype" w:hAnsi="Palatino Linotype" w:cs="Palatino Linotype"/>
          <w:b/>
          <w:bCs/>
          <w:color w:val="000000"/>
        </w:rPr>
        <w:t>de dos mil veintiséis</w:t>
      </w:r>
      <w:r w:rsidRPr="00760C90">
        <w:rPr>
          <w:rFonts w:ascii="Palatino Linotype" w:eastAsia="Palatino Linotype" w:hAnsi="Palatino Linotype" w:cs="Palatino Linotype"/>
          <w:color w:val="000000"/>
        </w:rPr>
        <w:t xml:space="preserve">, la Comisionada Ponente decretó el cierre del periodo de instrucción, por lo que ordenó turnar el expediente para su resolución, misma que ahora se pronuncia; y </w:t>
      </w:r>
    </w:p>
    <w:p w:rsidR="00373347" w:rsidRPr="00760C90" w:rsidRDefault="00373347" w:rsidP="00373347">
      <w:pPr>
        <w:pBdr>
          <w:top w:val="nil"/>
          <w:left w:val="nil"/>
          <w:bottom w:val="nil"/>
          <w:right w:val="nil"/>
          <w:between w:val="nil"/>
        </w:pBdr>
        <w:spacing w:line="360" w:lineRule="auto"/>
        <w:jc w:val="center"/>
        <w:rPr>
          <w:rFonts w:ascii="Palatino Linotype" w:eastAsia="Palatino Linotype" w:hAnsi="Palatino Linotype" w:cs="Palatino Linotype"/>
          <w:b/>
          <w:bCs/>
        </w:rPr>
      </w:pPr>
      <w:bookmarkStart w:id="5" w:name="_heading=h.evrpcfqs9692" w:colFirst="0" w:colLast="0"/>
      <w:bookmarkEnd w:id="5"/>
    </w:p>
    <w:p w:rsidR="00373347" w:rsidRPr="00760C90" w:rsidRDefault="00373347" w:rsidP="00373347">
      <w:pPr>
        <w:pBdr>
          <w:top w:val="nil"/>
          <w:left w:val="nil"/>
          <w:bottom w:val="nil"/>
          <w:right w:val="nil"/>
          <w:between w:val="nil"/>
        </w:pBdr>
        <w:spacing w:line="360" w:lineRule="auto"/>
        <w:jc w:val="center"/>
        <w:rPr>
          <w:rFonts w:ascii="Palatino Linotype" w:eastAsia="Palatino Linotype" w:hAnsi="Palatino Linotype" w:cs="Palatino Linotype"/>
          <w:b/>
          <w:bCs/>
        </w:rPr>
      </w:pPr>
      <w:bookmarkStart w:id="6" w:name="_heading=h.q8yyl8bk1kj8" w:colFirst="0" w:colLast="0"/>
      <w:bookmarkEnd w:id="6"/>
      <w:r w:rsidRPr="00760C90">
        <w:rPr>
          <w:rFonts w:ascii="Palatino Linotype" w:eastAsia="Palatino Linotype" w:hAnsi="Palatino Linotype" w:cs="Palatino Linotype"/>
          <w:b/>
          <w:bCs/>
        </w:rPr>
        <w:t>C O N S I D E R A N D O</w:t>
      </w:r>
    </w:p>
    <w:p w:rsidR="00373347" w:rsidRPr="00760C90" w:rsidRDefault="00373347" w:rsidP="00373347">
      <w:pPr>
        <w:pBdr>
          <w:top w:val="nil"/>
          <w:left w:val="nil"/>
          <w:bottom w:val="nil"/>
          <w:right w:val="nil"/>
          <w:between w:val="nil"/>
        </w:pBdr>
        <w:spacing w:line="360" w:lineRule="auto"/>
        <w:jc w:val="both"/>
        <w:rPr>
          <w:rFonts w:ascii="Palatino Linotype" w:eastAsia="Palatino Linotype" w:hAnsi="Palatino Linotype" w:cs="Palatino Linotype"/>
        </w:rPr>
      </w:pPr>
    </w:p>
    <w:p w:rsidR="00373347" w:rsidRPr="00760C90" w:rsidRDefault="00373347" w:rsidP="00373347">
      <w:pPr>
        <w:pBdr>
          <w:top w:val="nil"/>
          <w:left w:val="nil"/>
          <w:bottom w:val="nil"/>
          <w:right w:val="nil"/>
          <w:between w:val="nil"/>
        </w:pBdr>
        <w:spacing w:line="360" w:lineRule="auto"/>
        <w:jc w:val="both"/>
        <w:rPr>
          <w:rFonts w:ascii="Palatino Linotype" w:eastAsia="Palatino Linotype" w:hAnsi="Palatino Linotype" w:cs="Palatino Linotype"/>
          <w:b/>
          <w:bCs/>
        </w:rPr>
      </w:pPr>
      <w:bookmarkStart w:id="7" w:name="_heading=h.d647kve57dsf" w:colFirst="0" w:colLast="0"/>
      <w:bookmarkEnd w:id="7"/>
      <w:r w:rsidRPr="00760C90">
        <w:rPr>
          <w:rFonts w:ascii="Palatino Linotype" w:eastAsia="Palatino Linotype" w:hAnsi="Palatino Linotype" w:cs="Palatino Linotype"/>
          <w:b/>
          <w:bCs/>
        </w:rPr>
        <w:t>PRIMERO. De la competencia</w:t>
      </w:r>
    </w:p>
    <w:p w:rsidR="00373347" w:rsidRPr="00760C90" w:rsidRDefault="00373347" w:rsidP="0037334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ab/>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373347" w:rsidRDefault="00373347" w:rsidP="00373347">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bookmarkStart w:id="8" w:name="_heading=h.8yhgq7uoqchc" w:colFirst="0" w:colLast="0"/>
      <w:bookmarkEnd w:id="8"/>
    </w:p>
    <w:p w:rsidR="00760C90" w:rsidRDefault="00760C90" w:rsidP="00373347">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p>
    <w:p w:rsidR="00760C90" w:rsidRPr="00760C90" w:rsidRDefault="00760C90" w:rsidP="00373347">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p>
    <w:p w:rsidR="00373347" w:rsidRPr="00760C90" w:rsidRDefault="00373347" w:rsidP="00373347">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bookmarkStart w:id="9" w:name="_heading=h.m0stzn3i0efh" w:colFirst="0" w:colLast="0"/>
      <w:bookmarkEnd w:id="9"/>
      <w:r w:rsidRPr="00760C90">
        <w:rPr>
          <w:rFonts w:ascii="Palatino Linotype" w:eastAsia="Palatino Linotype" w:hAnsi="Palatino Linotype" w:cs="Palatino Linotype"/>
          <w:b/>
          <w:bCs/>
          <w:color w:val="000000"/>
        </w:rPr>
        <w:lastRenderedPageBreak/>
        <w:t>SEGUNDO. De la oportunidad y procedencia.</w:t>
      </w:r>
    </w:p>
    <w:bookmarkEnd w:id="0"/>
    <w:bookmarkEnd w:id="1"/>
    <w:bookmarkEnd w:id="2"/>
    <w:p w:rsidR="00B853CA" w:rsidRPr="00760C90" w:rsidRDefault="00B853CA" w:rsidP="00B853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 xml:space="preserve">El presente medio de impugnación fue presentado a través del SAIMEX, en el formato previamente aprobado para tal efecto, contiene las formalidades previstas por el </w:t>
      </w:r>
      <w:r w:rsidRPr="00760C90">
        <w:rPr>
          <w:rFonts w:ascii="Palatino Linotype" w:eastAsia="Palatino Linotype" w:hAnsi="Palatino Linotype" w:cs="Palatino Linotype"/>
          <w:color w:val="000000"/>
          <w:highlight w:val="white"/>
        </w:rPr>
        <w:t>artículo</w:t>
      </w:r>
      <w:r w:rsidRPr="00760C90">
        <w:rPr>
          <w:rFonts w:ascii="Palatino Linotype" w:eastAsia="Palatino Linotype" w:hAnsi="Palatino Linotype" w:cs="Palatino Linotype"/>
          <w:color w:val="000000"/>
        </w:rPr>
        <w:t xml:space="preserve"> 180 último párrafo de la Ley de la materia actual, por lo que es procedente que este Instituto de Transparencia, Acceso a la Información Pública y Protección de Datos Personales del Estado de México y Municipios, conozca y resuelva el presente recurso.</w:t>
      </w:r>
    </w:p>
    <w:p w:rsidR="00B853CA" w:rsidRPr="00760C90" w:rsidRDefault="00B853CA" w:rsidP="00B853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853CA" w:rsidRPr="00760C90" w:rsidRDefault="00B853CA" w:rsidP="00B853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 xml:space="preserve">No obstante lo anterior, el mismo fue presentado encontrándose fuera del plazo de 15 días establecido para tal efecto, es decir, de manera extemporánea, lo anterior en virtud de que el </w:t>
      </w:r>
      <w:r w:rsidRPr="00760C90">
        <w:rPr>
          <w:rFonts w:ascii="Palatino Linotype" w:eastAsia="Palatino Linotype" w:hAnsi="Palatino Linotype" w:cs="Palatino Linotype"/>
          <w:b/>
          <w:color w:val="000000"/>
        </w:rPr>
        <w:t xml:space="preserve">SUJETO OBLIGADO, </w:t>
      </w:r>
      <w:r w:rsidRPr="00760C90">
        <w:rPr>
          <w:rFonts w:ascii="Palatino Linotype" w:eastAsia="Palatino Linotype" w:hAnsi="Palatino Linotype" w:cs="Palatino Linotype"/>
          <w:color w:val="000000"/>
        </w:rPr>
        <w:t xml:space="preserve">dio respuesta el </w:t>
      </w:r>
      <w:r w:rsidRPr="00760C90">
        <w:rPr>
          <w:rFonts w:ascii="Palatino Linotype" w:eastAsia="Palatino Linotype" w:hAnsi="Palatino Linotype" w:cs="Palatino Linotype"/>
          <w:b/>
          <w:color w:val="000000"/>
        </w:rPr>
        <w:t>dieciocho de agosto de dos mil veinticinco,</w:t>
      </w:r>
      <w:r w:rsidRPr="00760C90">
        <w:rPr>
          <w:rFonts w:ascii="Palatino Linotype" w:eastAsia="Palatino Linotype" w:hAnsi="Palatino Linotype" w:cs="Palatino Linotype"/>
          <w:color w:val="000000"/>
        </w:rPr>
        <w:t xml:space="preserve"> por lo que el plazo para interponer el recurso comenzó a contar a partir del</w:t>
      </w:r>
      <w:r w:rsidRPr="00760C90">
        <w:rPr>
          <w:rFonts w:ascii="Palatino Linotype" w:eastAsia="Palatino Linotype" w:hAnsi="Palatino Linotype" w:cs="Palatino Linotype"/>
          <w:b/>
          <w:color w:val="000000"/>
        </w:rPr>
        <w:t xml:space="preserve"> diecinueve de agosto al ocho de septiembre de dos mil veinticinco</w:t>
      </w:r>
      <w:r w:rsidRPr="00760C90">
        <w:rPr>
          <w:rFonts w:ascii="Palatino Linotype" w:eastAsia="Palatino Linotype" w:hAnsi="Palatino Linotype" w:cs="Palatino Linotype"/>
          <w:color w:val="000000"/>
        </w:rPr>
        <w:t xml:space="preserve">, y el </w:t>
      </w:r>
      <w:r w:rsidRPr="00760C90">
        <w:rPr>
          <w:rFonts w:ascii="Palatino Linotype" w:eastAsia="Palatino Linotype" w:hAnsi="Palatino Linotype" w:cs="Palatino Linotype"/>
          <w:b/>
        </w:rPr>
        <w:t>RECURRENTE</w:t>
      </w:r>
      <w:r w:rsidRPr="00760C90">
        <w:rPr>
          <w:rFonts w:ascii="Palatino Linotype" w:eastAsia="Palatino Linotype" w:hAnsi="Palatino Linotype" w:cs="Palatino Linotype"/>
        </w:rPr>
        <w:t xml:space="preserve"> interpuso el recurso de revisión el </w:t>
      </w:r>
      <w:r w:rsidRPr="00760C90">
        <w:rPr>
          <w:rFonts w:ascii="Palatino Linotype" w:eastAsia="Palatino Linotype" w:hAnsi="Palatino Linotype" w:cs="Palatino Linotype"/>
          <w:b/>
        </w:rPr>
        <w:t xml:space="preserve">veintiuno y veintidós de enero de dos mil veintiséis, </w:t>
      </w:r>
      <w:r w:rsidRPr="00760C90">
        <w:rPr>
          <w:rFonts w:ascii="Palatino Linotype" w:eastAsia="Palatino Linotype" w:hAnsi="Palatino Linotype" w:cs="Palatino Linotype"/>
          <w:color w:val="000000"/>
        </w:rPr>
        <w:t xml:space="preserve">por lo que se advierte que se interpuso fuera del plazo establecido para tal efecto. </w:t>
      </w:r>
    </w:p>
    <w:p w:rsidR="00B853CA" w:rsidRPr="00760C90" w:rsidRDefault="00B853CA" w:rsidP="00B853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853CA" w:rsidRPr="00760C90" w:rsidRDefault="00B853CA" w:rsidP="00B853CA">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760C90">
        <w:rPr>
          <w:rFonts w:ascii="Palatino Linotype" w:eastAsia="Palatino Linotype" w:hAnsi="Palatino Linotype" w:cs="Palatino Linotype"/>
          <w:b/>
          <w:color w:val="000000"/>
        </w:rPr>
        <w:t>TERCERO. De las causales de sobreseimiento.</w:t>
      </w:r>
    </w:p>
    <w:p w:rsidR="00B853CA" w:rsidRPr="00760C90" w:rsidRDefault="00B853CA" w:rsidP="00B853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 xml:space="preserve">En </w:t>
      </w:r>
      <w:r w:rsidRPr="00760C90">
        <w:rPr>
          <w:rFonts w:ascii="Palatino Linotype" w:eastAsia="Palatino Linotype" w:hAnsi="Palatino Linotype" w:cs="Palatino Linotype"/>
          <w:color w:val="000000"/>
          <w:highlight w:val="white"/>
        </w:rPr>
        <w:t>ese</w:t>
      </w:r>
      <w:r w:rsidRPr="00760C90">
        <w:rPr>
          <w:rFonts w:ascii="Palatino Linotype" w:eastAsia="Palatino Linotype" w:hAnsi="Palatino Linotype" w:cs="Palatino Linotype"/>
          <w:color w:val="000000"/>
        </w:rPr>
        <w:t xml:space="preserve"> sentido, se estima dable traer a contexto la causal de sobreseimiento contenida en la fracción IV del artículo 192, en relación con el artículo 191 fracción I, de la </w:t>
      </w:r>
      <w:r w:rsidRPr="00760C90">
        <w:rPr>
          <w:rFonts w:ascii="Palatino Linotype" w:eastAsia="Palatino Linotype" w:hAnsi="Palatino Linotype" w:cs="Palatino Linotype"/>
          <w:b/>
          <w:color w:val="000000"/>
        </w:rPr>
        <w:t>Ley de Transparencia y Acceso a la Información Pública del Estado de México y Municipios</w:t>
      </w:r>
      <w:r w:rsidRPr="00760C90">
        <w:rPr>
          <w:rFonts w:ascii="Palatino Linotype" w:eastAsia="Palatino Linotype" w:hAnsi="Palatino Linotype" w:cs="Palatino Linotype"/>
          <w:color w:val="000000"/>
        </w:rPr>
        <w:t>, que establecen lo siguiente:</w:t>
      </w:r>
    </w:p>
    <w:p w:rsidR="00B853CA" w:rsidRPr="00760C90" w:rsidRDefault="00B853CA" w:rsidP="00E127A5">
      <w:pPr>
        <w:pBdr>
          <w:top w:val="nil"/>
          <w:left w:val="nil"/>
          <w:bottom w:val="nil"/>
          <w:right w:val="nil"/>
          <w:between w:val="nil"/>
        </w:pBdr>
        <w:ind w:left="1134" w:right="1106"/>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i/>
          <w:color w:val="000000"/>
        </w:rPr>
        <w:t>"Artículo 192. El recurso será sobreseído, en todo o en parte, cuando una vez admitido, se actualicen alguno de los siguientes supuestos:</w:t>
      </w:r>
    </w:p>
    <w:p w:rsidR="00B853CA" w:rsidRPr="00760C90" w:rsidRDefault="00B853CA" w:rsidP="00E127A5">
      <w:pPr>
        <w:pBdr>
          <w:top w:val="nil"/>
          <w:left w:val="nil"/>
          <w:bottom w:val="nil"/>
          <w:right w:val="nil"/>
          <w:between w:val="nil"/>
        </w:pBdr>
        <w:ind w:left="1134" w:right="1106"/>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i/>
          <w:color w:val="000000"/>
        </w:rPr>
        <w:t xml:space="preserve">IV. </w:t>
      </w:r>
      <w:r w:rsidRPr="00760C90">
        <w:rPr>
          <w:rFonts w:ascii="Palatino Linotype" w:eastAsia="Palatino Linotype" w:hAnsi="Palatino Linotype" w:cs="Palatino Linotype"/>
          <w:b/>
          <w:i/>
          <w:color w:val="000000"/>
        </w:rPr>
        <w:t>Admitido el recurso de revisión, aparezca alguna causal de improcedencia en los términos de la presente Ley; y</w:t>
      </w:r>
      <w:r w:rsidRPr="00760C90">
        <w:rPr>
          <w:rFonts w:ascii="Palatino Linotype" w:eastAsia="Palatino Linotype" w:hAnsi="Palatino Linotype" w:cs="Palatino Linotype"/>
          <w:i/>
          <w:color w:val="000000"/>
        </w:rPr>
        <w:t>;</w:t>
      </w:r>
      <w:r w:rsidRPr="00760C90">
        <w:rPr>
          <w:rFonts w:ascii="Palatino Linotype" w:eastAsia="Palatino Linotype" w:hAnsi="Palatino Linotype" w:cs="Palatino Linotype"/>
          <w:i/>
          <w:color w:val="000000"/>
        </w:rPr>
        <w:br/>
        <w:t>..."</w:t>
      </w:r>
    </w:p>
    <w:p w:rsidR="00B853CA" w:rsidRPr="00760C90" w:rsidRDefault="00B853CA" w:rsidP="00E127A5">
      <w:pPr>
        <w:pBdr>
          <w:top w:val="nil"/>
          <w:left w:val="nil"/>
          <w:bottom w:val="nil"/>
          <w:right w:val="nil"/>
          <w:between w:val="nil"/>
        </w:pBdr>
        <w:ind w:left="1134" w:right="1106"/>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Énfasis añadido</w:t>
      </w:r>
    </w:p>
    <w:p w:rsidR="00B853CA" w:rsidRPr="00760C90" w:rsidRDefault="00B853CA" w:rsidP="00E127A5">
      <w:pPr>
        <w:pBdr>
          <w:top w:val="nil"/>
          <w:left w:val="nil"/>
          <w:bottom w:val="nil"/>
          <w:right w:val="nil"/>
          <w:between w:val="nil"/>
        </w:pBdr>
        <w:ind w:left="1134" w:right="1106"/>
        <w:jc w:val="both"/>
        <w:rPr>
          <w:rFonts w:ascii="Palatino Linotype" w:eastAsia="Palatino Linotype" w:hAnsi="Palatino Linotype" w:cs="Palatino Linotype"/>
          <w:color w:val="000000"/>
        </w:rPr>
      </w:pPr>
    </w:p>
    <w:p w:rsidR="00B853CA" w:rsidRPr="00760C90" w:rsidRDefault="00B853CA" w:rsidP="00E127A5">
      <w:pPr>
        <w:pBdr>
          <w:top w:val="nil"/>
          <w:left w:val="nil"/>
          <w:bottom w:val="nil"/>
          <w:right w:val="nil"/>
          <w:between w:val="nil"/>
        </w:pBdr>
        <w:ind w:left="1134" w:right="1106"/>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i/>
          <w:color w:val="000000"/>
        </w:rPr>
        <w:t>Artículo 191. El recurso será desechado por improcedente cuando:</w:t>
      </w:r>
    </w:p>
    <w:p w:rsidR="00B853CA" w:rsidRPr="00760C90" w:rsidRDefault="00B853CA" w:rsidP="00E127A5">
      <w:pPr>
        <w:numPr>
          <w:ilvl w:val="0"/>
          <w:numId w:val="5"/>
        </w:numPr>
        <w:pBdr>
          <w:top w:val="nil"/>
          <w:left w:val="nil"/>
          <w:bottom w:val="nil"/>
          <w:right w:val="nil"/>
          <w:between w:val="nil"/>
        </w:pBdr>
        <w:ind w:left="1134" w:right="1106" w:firstLine="0"/>
        <w:jc w:val="both"/>
        <w:rPr>
          <w:rFonts w:ascii="Palatino Linotype" w:eastAsia="Palatino Linotype" w:hAnsi="Palatino Linotype" w:cs="Palatino Linotype"/>
          <w:b/>
          <w:i/>
          <w:color w:val="000000"/>
        </w:rPr>
      </w:pPr>
      <w:r w:rsidRPr="00760C90">
        <w:rPr>
          <w:rFonts w:ascii="Palatino Linotype" w:eastAsia="Palatino Linotype" w:hAnsi="Palatino Linotype" w:cs="Palatino Linotype"/>
          <w:b/>
          <w:i/>
          <w:color w:val="000000"/>
        </w:rPr>
        <w:lastRenderedPageBreak/>
        <w:t>Sea extemporáneo por haber transcurrido el plazo establecido en la presente Ley, a partir de la respuesta;</w:t>
      </w:r>
    </w:p>
    <w:p w:rsidR="00B853CA" w:rsidRPr="00760C90" w:rsidRDefault="00B853CA" w:rsidP="00E127A5">
      <w:pPr>
        <w:ind w:left="1134" w:right="1106"/>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i/>
          <w:color w:val="000000"/>
        </w:rPr>
        <w:t>..."</w:t>
      </w:r>
    </w:p>
    <w:p w:rsidR="00B853CA" w:rsidRPr="00760C90" w:rsidRDefault="00B853CA" w:rsidP="00E127A5">
      <w:pPr>
        <w:ind w:left="1134" w:right="1106" w:firstLine="426"/>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Énfasis añadido</w:t>
      </w:r>
    </w:p>
    <w:p w:rsidR="00B853CA" w:rsidRPr="00760C90" w:rsidRDefault="00B853CA" w:rsidP="00B853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853CA" w:rsidRPr="00760C90" w:rsidRDefault="00B853CA" w:rsidP="00B853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 xml:space="preserve">Establecido lo anterior, resulta importante señalar que la figura del </w:t>
      </w:r>
      <w:r w:rsidRPr="00760C90">
        <w:rPr>
          <w:rFonts w:ascii="Palatino Linotype" w:eastAsia="Palatino Linotype" w:hAnsi="Palatino Linotype" w:cs="Palatino Linotype"/>
          <w:color w:val="000000"/>
          <w:highlight w:val="white"/>
        </w:rPr>
        <w:t>sobreseimiento</w:t>
      </w:r>
      <w:r w:rsidRPr="00760C90">
        <w:rPr>
          <w:rFonts w:ascii="Palatino Linotype" w:eastAsia="Palatino Linotype" w:hAnsi="Palatino Linotype" w:cs="Palatino Linotype"/>
          <w:color w:val="000000"/>
        </w:rPr>
        <w:t xml:space="preserve"> privilegia la existencia de elementos de fondo, tal como lo refiere el supuesto que contempla el caso en que el recurso interpuesto </w:t>
      </w:r>
      <w:r w:rsidRPr="00760C90">
        <w:rPr>
          <w:rFonts w:ascii="Palatino Linotype" w:eastAsia="Palatino Linotype" w:hAnsi="Palatino Linotype" w:cs="Palatino Linotype"/>
          <w:b/>
          <w:color w:val="000000"/>
          <w:u w:val="single"/>
        </w:rPr>
        <w:t>Sea extemporáneo por haber transcurrido el plazo establecido en la presente Ley</w:t>
      </w:r>
      <w:r w:rsidRPr="00760C90">
        <w:rPr>
          <w:rFonts w:ascii="Palatino Linotype" w:eastAsia="Palatino Linotype" w:hAnsi="Palatino Linotype" w:cs="Palatino Linotype"/>
          <w:color w:val="000000"/>
        </w:rPr>
        <w:t>; de ahí que la actualización de este supuesto traiga como aparejada consecuencia que se sobresea el medio de impugnación sin que tenga que analizarse de fondo el estudio planteado.</w:t>
      </w:r>
    </w:p>
    <w:p w:rsidR="00B853CA" w:rsidRPr="00760C90" w:rsidRDefault="00B853CA" w:rsidP="00B853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853CA" w:rsidRPr="00760C90" w:rsidRDefault="00B853CA" w:rsidP="00B853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 xml:space="preserve">Sirve como sustento a lo anterior, lo señalado por  el procesalista Niceto Alcalá-Zamora y Castillo en su obra </w:t>
      </w:r>
      <w:r w:rsidRPr="00760C90">
        <w:rPr>
          <w:rFonts w:ascii="Palatino Linotype" w:eastAsia="Palatino Linotype" w:hAnsi="Palatino Linotype" w:cs="Palatino Linotype"/>
          <w:i/>
          <w:color w:val="000000"/>
        </w:rPr>
        <w:t>“</w:t>
      </w:r>
      <w:r w:rsidRPr="00760C90">
        <w:rPr>
          <w:rFonts w:ascii="Palatino Linotype" w:eastAsia="Palatino Linotype" w:hAnsi="Palatino Linotype" w:cs="Palatino Linotype"/>
          <w:color w:val="000000"/>
        </w:rPr>
        <w:t>Cuestiones</w:t>
      </w:r>
      <w:r w:rsidRPr="00760C90">
        <w:rPr>
          <w:rFonts w:ascii="Palatino Linotype" w:eastAsia="Palatino Linotype" w:hAnsi="Palatino Linotype" w:cs="Palatino Linotype"/>
          <w:i/>
          <w:color w:val="000000"/>
        </w:rPr>
        <w:t xml:space="preserve"> de Terminología Procesal”</w:t>
      </w:r>
      <w:r w:rsidRPr="00760C90">
        <w:rPr>
          <w:rFonts w:ascii="Palatino Linotype" w:eastAsia="Palatino Linotype" w:hAnsi="Palatino Linotype" w:cs="Palatino Linotype"/>
          <w:color w:val="000000"/>
        </w:rPr>
        <w:t xml:space="preserve">, el sobreseimiento es </w:t>
      </w:r>
      <w:r w:rsidRPr="00760C90">
        <w:rPr>
          <w:rFonts w:ascii="Palatino Linotype" w:eastAsia="Palatino Linotype" w:hAnsi="Palatino Linotype" w:cs="Palatino Linotype"/>
          <w:i/>
          <w:color w:val="000000"/>
        </w:rPr>
        <w:t>“... una resolución en forma de auto, que produce la suspensión indefinida del procedimiento penal, o que pone fin al proceso, impidiendo en ambos casos, mientras subsista, la apertura del plenario o que en él se pronuncie sentencia...”.</w:t>
      </w:r>
    </w:p>
    <w:p w:rsidR="00B853CA" w:rsidRPr="00760C90" w:rsidRDefault="00B853CA" w:rsidP="00B853CA">
      <w:pPr>
        <w:pBdr>
          <w:top w:val="nil"/>
          <w:left w:val="nil"/>
          <w:bottom w:val="nil"/>
          <w:right w:val="nil"/>
          <w:between w:val="nil"/>
        </w:pBdr>
        <w:spacing w:line="360" w:lineRule="auto"/>
        <w:ind w:left="360"/>
        <w:jc w:val="both"/>
        <w:rPr>
          <w:rFonts w:ascii="Palatino Linotype" w:eastAsia="Palatino Linotype" w:hAnsi="Palatino Linotype" w:cs="Palatino Linotype"/>
          <w:i/>
        </w:rPr>
      </w:pPr>
    </w:p>
    <w:p w:rsidR="00B853CA" w:rsidRPr="00760C90" w:rsidRDefault="00B853CA" w:rsidP="00B853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 xml:space="preserve">Asimismo, Eduardo Pallares, en su artículo </w:t>
      </w:r>
      <w:r w:rsidRPr="00760C90">
        <w:rPr>
          <w:rFonts w:ascii="Palatino Linotype" w:eastAsia="Palatino Linotype" w:hAnsi="Palatino Linotype" w:cs="Palatino Linotype"/>
          <w:i/>
          <w:color w:val="000000"/>
        </w:rPr>
        <w:t>“La caducidad y el sobreseimiento en el amparo”</w:t>
      </w:r>
      <w:r w:rsidRPr="00760C90">
        <w:rPr>
          <w:rFonts w:ascii="Palatino Linotype" w:eastAsia="Palatino Linotype" w:hAnsi="Palatino Linotype" w:cs="Palatino Linotype"/>
          <w:color w:val="000000"/>
        </w:rPr>
        <w:t xml:space="preserve">, cita la definición de Aguilera Paz, aduciendo que se </w:t>
      </w:r>
      <w:r w:rsidRPr="00760C90">
        <w:rPr>
          <w:rFonts w:ascii="Palatino Linotype" w:eastAsia="Palatino Linotype" w:hAnsi="Palatino Linotype" w:cs="Palatino Linotype"/>
          <w:i/>
          <w:color w:val="000000"/>
        </w:rPr>
        <w:t>“...entiende por sobreseimiento en el tecnicismo forense, el hecho de cesar en el procedimiento o curso de la causa, por no existir méritos bastantes para entrar en un juicio o para entablar la contienda judicial que debe ser objeto del mismo...”</w:t>
      </w:r>
      <w:r w:rsidRPr="00760C90">
        <w:rPr>
          <w:rFonts w:ascii="Palatino Linotype" w:eastAsia="Palatino Linotype" w:hAnsi="Palatino Linotype" w:cs="Palatino Linotype"/>
          <w:color w:val="000000"/>
        </w:rPr>
        <w:t>. Asimismo señala que existe el sobreseimiento provisional y el definitivo</w:t>
      </w:r>
      <w:r w:rsidRPr="00760C90">
        <w:rPr>
          <w:rFonts w:ascii="Palatino Linotype" w:eastAsia="Palatino Linotype" w:hAnsi="Palatino Linotype" w:cs="Palatino Linotype"/>
          <w:i/>
          <w:color w:val="000000"/>
        </w:rPr>
        <w:t>: “...el definitivo es una verdadera sentencia que pone fin al juicio, y que una vez dictada, produce cosa juzgada, mientras que el provisorio tiene por efectos suspender la prosecución de la causa...”</w:t>
      </w:r>
    </w:p>
    <w:p w:rsidR="00B853CA" w:rsidRPr="00760C90" w:rsidRDefault="00B853CA" w:rsidP="00B853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853CA" w:rsidRPr="00760C90" w:rsidRDefault="00B853CA" w:rsidP="00B853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lastRenderedPageBreak/>
        <w:t xml:space="preserve">Es así que, para la doctrina el sobreseimiento provoca que un procedimiento se suspenda o se resuelva en definitiva </w:t>
      </w:r>
      <w:r w:rsidRPr="00760C90">
        <w:rPr>
          <w:rFonts w:ascii="Palatino Linotype" w:eastAsia="Palatino Linotype" w:hAnsi="Palatino Linotype" w:cs="Palatino Linotype"/>
          <w:b/>
          <w:color w:val="000000"/>
          <w:u w:val="single"/>
        </w:rPr>
        <w:t>sin que se entre al estudio de los agravios o motivos de inconformidad.</w:t>
      </w:r>
      <w:r w:rsidRPr="00760C90">
        <w:rPr>
          <w:rFonts w:ascii="Palatino Linotype" w:eastAsia="Palatino Linotype" w:hAnsi="Palatino Linotype" w:cs="Palatino Linotype"/>
          <w:b/>
          <w:color w:val="000000"/>
        </w:rPr>
        <w:t xml:space="preserve"> </w:t>
      </w:r>
      <w:r w:rsidRPr="00760C90">
        <w:rPr>
          <w:rFonts w:ascii="Palatino Linotype" w:eastAsia="Palatino Linotype" w:hAnsi="Palatino Linotype" w:cs="Palatino Linotype"/>
          <w:color w:val="000000"/>
        </w:rPr>
        <w:t>Este mismo criterio es compartido por el más alto tribunal del país en múltiples jurisprudencias, por lo que a continuación se agrega una de ellas que sirve como orientador en esta resolución:</w:t>
      </w:r>
    </w:p>
    <w:p w:rsidR="00B853CA" w:rsidRPr="00760C90" w:rsidRDefault="00B853CA" w:rsidP="00E127A5">
      <w:pPr>
        <w:pBdr>
          <w:top w:val="nil"/>
          <w:left w:val="nil"/>
          <w:bottom w:val="nil"/>
          <w:right w:val="nil"/>
          <w:between w:val="nil"/>
        </w:pBdr>
        <w:ind w:left="1134" w:right="1106"/>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b/>
          <w:i/>
          <w:color w:val="000000"/>
        </w:rPr>
        <w:t>SOBRESEIMIENTO EN EL JUICIO DE AMPARO DIRECTO. IMPIDE EL ESTUDIO DE LAS VIOLACIONES PROCESALES PLANTEADAS EN LOS CONCEPTOS DE VIOLACIÓN.</w:t>
      </w:r>
    </w:p>
    <w:p w:rsidR="00B853CA" w:rsidRPr="00760C90" w:rsidRDefault="00B853CA" w:rsidP="00E127A5">
      <w:pPr>
        <w:pBdr>
          <w:top w:val="nil"/>
          <w:left w:val="nil"/>
          <w:bottom w:val="nil"/>
          <w:right w:val="nil"/>
          <w:between w:val="nil"/>
        </w:pBdr>
        <w:ind w:left="1134" w:right="1106"/>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b/>
          <w:i/>
          <w:color w:val="000000"/>
        </w:rPr>
        <w:t>El sobreseimiento</w:t>
      </w:r>
      <w:r w:rsidRPr="00760C90">
        <w:rPr>
          <w:rFonts w:ascii="Palatino Linotype" w:eastAsia="Palatino Linotype" w:hAnsi="Palatino Linotype" w:cs="Palatino Linotype"/>
          <w:i/>
          <w:color w:val="000000"/>
        </w:rPr>
        <w:t xml:space="preserve"> en el juicio de amparo directo </w:t>
      </w:r>
      <w:r w:rsidRPr="00760C90">
        <w:rPr>
          <w:rFonts w:ascii="Palatino Linotype" w:eastAsia="Palatino Linotype" w:hAnsi="Palatino Linotype" w:cs="Palatino Linotype"/>
          <w:b/>
          <w:i/>
          <w:color w:val="000000"/>
        </w:rPr>
        <w:t>provoca la terminación de la controversia planteada</w:t>
      </w:r>
      <w:r w:rsidRPr="00760C90">
        <w:rPr>
          <w:rFonts w:ascii="Palatino Linotype" w:eastAsia="Palatino Linotype" w:hAnsi="Palatino Linotype" w:cs="Palatino Linotype"/>
          <w:i/>
          <w:color w:val="000000"/>
        </w:rPr>
        <w:t xml:space="preserve"> por el quejoso en la demanda de amparo</w:t>
      </w:r>
      <w:r w:rsidRPr="00760C90">
        <w:rPr>
          <w:rFonts w:ascii="Palatino Linotype" w:eastAsia="Palatino Linotype" w:hAnsi="Palatino Linotype" w:cs="Palatino Linotype"/>
          <w:b/>
          <w:i/>
          <w:color w:val="000000"/>
        </w:rPr>
        <w:t>, sin hacer un pronunciamiento de fondo sobre la legalidad o ilegalidad de la sentencia reclamada</w:t>
      </w:r>
      <w:r w:rsidRPr="00760C90">
        <w:rPr>
          <w:rFonts w:ascii="Palatino Linotype" w:eastAsia="Palatino Linotype" w:hAnsi="Palatino Linotype" w:cs="Palatino Linotype"/>
          <w:i/>
          <w:color w:val="000000"/>
        </w:rPr>
        <w:t xml:space="preserve">. </w:t>
      </w:r>
      <w:r w:rsidRPr="00760C90">
        <w:rPr>
          <w:rFonts w:ascii="Palatino Linotype" w:eastAsia="Palatino Linotype" w:hAnsi="Palatino Linotype" w:cs="Palatino Linotype"/>
          <w:b/>
          <w:i/>
          <w:color w:val="000000"/>
        </w:rPr>
        <w:t xml:space="preserve">Por consiguiente, si al sobreseerse en el juicio de amparo </w:t>
      </w:r>
      <w:r w:rsidRPr="00760C90">
        <w:rPr>
          <w:rFonts w:ascii="Palatino Linotype" w:eastAsia="Palatino Linotype" w:hAnsi="Palatino Linotype" w:cs="Palatino Linotype"/>
          <w:b/>
          <w:i/>
          <w:color w:val="000000"/>
          <w:u w:val="single"/>
        </w:rPr>
        <w:t>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760C90">
        <w:rPr>
          <w:rFonts w:ascii="Palatino Linotype" w:eastAsia="Palatino Linotype" w:hAnsi="Palatino Linotype" w:cs="Palatino Linotype"/>
          <w:i/>
          <w:color w:val="000000"/>
        </w:rPr>
        <w:t>.</w:t>
      </w:r>
    </w:p>
    <w:p w:rsidR="00B853CA" w:rsidRPr="00760C90" w:rsidRDefault="00B853CA" w:rsidP="00E127A5">
      <w:pPr>
        <w:pBdr>
          <w:top w:val="nil"/>
          <w:left w:val="nil"/>
          <w:bottom w:val="nil"/>
          <w:right w:val="nil"/>
          <w:between w:val="nil"/>
        </w:pBdr>
        <w:ind w:left="1134" w:right="1106"/>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i/>
          <w:color w:val="000000"/>
        </w:rPr>
        <w:t>SÉPTIMO TRIBUNAL COLEGIADO EN MATERIA CIVIL DEL PRIMER CIRCUITO.</w:t>
      </w:r>
    </w:p>
    <w:p w:rsidR="00B853CA" w:rsidRPr="00760C90" w:rsidRDefault="00B853CA" w:rsidP="00E127A5">
      <w:pPr>
        <w:pBdr>
          <w:top w:val="nil"/>
          <w:left w:val="nil"/>
          <w:bottom w:val="nil"/>
          <w:right w:val="nil"/>
          <w:between w:val="nil"/>
        </w:pBdr>
        <w:ind w:left="1134" w:right="1106"/>
        <w:jc w:val="both"/>
        <w:rPr>
          <w:rFonts w:ascii="Palatino Linotype" w:eastAsia="Palatino Linotype" w:hAnsi="Palatino Linotype" w:cs="Palatino Linotype"/>
          <w:i/>
          <w:color w:val="000000"/>
        </w:rPr>
      </w:pPr>
      <w:r w:rsidRPr="00760C90">
        <w:rPr>
          <w:rFonts w:ascii="Palatino Linotype" w:eastAsia="Palatino Linotype" w:hAnsi="Palatino Linotype" w:cs="Palatino Linotype"/>
          <w:i/>
          <w:color w:val="000000"/>
        </w:rPr>
        <w:t>Amparo directo 699/2008. Mariana Leticia González Steele. 13 de noviembre de 2008. Unanimidad de votos. Ponente: Sara Judith Montalvo Trejo. Secretario: Arnulfo Mateos García.</w:t>
      </w:r>
    </w:p>
    <w:p w:rsidR="00B853CA" w:rsidRPr="00760C90" w:rsidRDefault="00B853CA" w:rsidP="00B853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853CA" w:rsidRPr="00760C90" w:rsidRDefault="00B853CA" w:rsidP="00B853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 xml:space="preserve">En ese tenor, por lo que hace a los motivos de inconformidad vertidos por el </w:t>
      </w:r>
      <w:r w:rsidRPr="00760C90">
        <w:rPr>
          <w:rFonts w:ascii="Palatino Linotype" w:eastAsia="Palatino Linotype" w:hAnsi="Palatino Linotype" w:cs="Palatino Linotype"/>
          <w:b/>
          <w:color w:val="000000"/>
        </w:rPr>
        <w:t>RECURRENTE</w:t>
      </w:r>
      <w:r w:rsidRPr="00760C90">
        <w:rPr>
          <w:rFonts w:ascii="Palatino Linotype" w:eastAsia="Palatino Linotype" w:hAnsi="Palatino Linotype" w:cs="Palatino Linotype"/>
          <w:color w:val="000000"/>
        </w:rPr>
        <w:t>, los mismos resultan inatendibles al actualizarse la figura del sobreseimiento, que impide el estudio de los agravios planteados.</w:t>
      </w:r>
    </w:p>
    <w:p w:rsidR="00B853CA" w:rsidRPr="00760C90" w:rsidRDefault="00B853CA" w:rsidP="00B853CA">
      <w:pPr>
        <w:spacing w:line="360" w:lineRule="auto"/>
        <w:jc w:val="both"/>
        <w:rPr>
          <w:rFonts w:ascii="Palatino Linotype" w:eastAsia="Palatino Linotype" w:hAnsi="Palatino Linotype" w:cs="Palatino Linotype"/>
          <w:color w:val="000000"/>
        </w:rPr>
      </w:pPr>
    </w:p>
    <w:p w:rsidR="00B853CA" w:rsidRPr="00760C90" w:rsidRDefault="00B853CA" w:rsidP="00B853CA">
      <w:pPr>
        <w:pStyle w:val="Ttulo2"/>
        <w:numPr>
          <w:ilvl w:val="0"/>
          <w:numId w:val="6"/>
        </w:numPr>
        <w:spacing w:line="259" w:lineRule="auto"/>
        <w:rPr>
          <w:rFonts w:ascii="Palatino Linotype" w:eastAsia="Palatino Linotype" w:hAnsi="Palatino Linotype" w:cs="Palatino Linotype"/>
          <w:b/>
          <w:color w:val="000000"/>
          <w:sz w:val="24"/>
          <w:szCs w:val="24"/>
        </w:rPr>
      </w:pPr>
      <w:bookmarkStart w:id="10" w:name="_heading=h.1t3h5sf" w:colFirst="0" w:colLast="0"/>
      <w:bookmarkEnd w:id="10"/>
      <w:r w:rsidRPr="00760C90">
        <w:rPr>
          <w:rFonts w:ascii="Palatino Linotype" w:eastAsia="Palatino Linotype" w:hAnsi="Palatino Linotype" w:cs="Palatino Linotype"/>
          <w:b/>
          <w:color w:val="000000"/>
          <w:sz w:val="24"/>
          <w:szCs w:val="24"/>
        </w:rPr>
        <w:t>Determinación</w:t>
      </w:r>
    </w:p>
    <w:p w:rsidR="00B853CA" w:rsidRPr="00760C90" w:rsidRDefault="00B853CA" w:rsidP="00B853CA">
      <w:pPr>
        <w:ind w:left="720"/>
      </w:pPr>
    </w:p>
    <w:p w:rsidR="00B853CA" w:rsidRPr="00760C90" w:rsidRDefault="00B853CA" w:rsidP="00B853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Atento a lo anterior, y en términos del artículo 186 fracción I este Pleno determina el SOBRESEIMIENTO</w:t>
      </w:r>
      <w:r w:rsidRPr="00760C90">
        <w:rPr>
          <w:rFonts w:ascii="Palatino Linotype" w:eastAsia="Palatino Linotype" w:hAnsi="Palatino Linotype" w:cs="Palatino Linotype"/>
          <w:b/>
          <w:color w:val="000000"/>
        </w:rPr>
        <w:t xml:space="preserve"> </w:t>
      </w:r>
      <w:r w:rsidRPr="00760C90">
        <w:rPr>
          <w:rFonts w:ascii="Palatino Linotype" w:eastAsia="Palatino Linotype" w:hAnsi="Palatino Linotype" w:cs="Palatino Linotype"/>
          <w:color w:val="000000"/>
        </w:rPr>
        <w:t xml:space="preserve">del presente recurso de revisión, al actualizarse la causal contemplada en </w:t>
      </w:r>
      <w:r w:rsidRPr="00760C90">
        <w:rPr>
          <w:rFonts w:ascii="Palatino Linotype" w:eastAsia="Palatino Linotype" w:hAnsi="Palatino Linotype" w:cs="Palatino Linotype"/>
          <w:color w:val="000000"/>
        </w:rPr>
        <w:lastRenderedPageBreak/>
        <w:t>el artículo 192 fracción IV en relación con el artículo 191 fracción I de la Ley de Transparencia y Acceso y la Información Pública del Estado de México  Municipios.</w:t>
      </w:r>
    </w:p>
    <w:p w:rsidR="00B853CA" w:rsidRPr="00760C90" w:rsidRDefault="00B853CA" w:rsidP="00B853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853CA" w:rsidRPr="00760C90" w:rsidRDefault="00B853CA" w:rsidP="00B853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Finalmente, se informa a la parte recurrente que se dejan a salvo los derechos para interponer nuevas solicitudes de información ante los sujetos obligados que a sus intereses convenga.</w:t>
      </w:r>
    </w:p>
    <w:p w:rsidR="00B853CA" w:rsidRPr="00760C90" w:rsidRDefault="00B853CA" w:rsidP="00B853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853CA" w:rsidRPr="00760C90" w:rsidRDefault="00B853CA" w:rsidP="00B853CA">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color w:val="000000"/>
        </w:rPr>
        <w:t xml:space="preserve">Por </w:t>
      </w:r>
      <w:r w:rsidRPr="00760C90">
        <w:rPr>
          <w:rFonts w:ascii="Palatino Linotype" w:eastAsia="Palatino Linotype" w:hAnsi="Palatino Linotype" w:cs="Palatino Linotype"/>
          <w:color w:val="000000"/>
          <w:highlight w:val="white"/>
        </w:rPr>
        <w:t>lo</w:t>
      </w:r>
      <w:r w:rsidRPr="00760C90">
        <w:rPr>
          <w:rFonts w:ascii="Palatino Linotype" w:eastAsia="Palatino Linotype" w:hAnsi="Palatino Linotype" w:cs="Palatino Linotype"/>
          <w:color w:val="000000"/>
        </w:rPr>
        <w:t xml:space="preserve"> anteriormente expuesto y fundado, este </w:t>
      </w:r>
      <w:r w:rsidRPr="00760C90">
        <w:rPr>
          <w:rFonts w:ascii="Palatino Linotype" w:eastAsia="Palatino Linotype" w:hAnsi="Palatino Linotype" w:cs="Palatino Linotype"/>
          <w:b/>
          <w:color w:val="000000"/>
        </w:rPr>
        <w:t>ÓRGANO GARANTE</w:t>
      </w:r>
      <w:r w:rsidRPr="00760C90">
        <w:rPr>
          <w:rFonts w:ascii="Palatino Linotype" w:eastAsia="Palatino Linotype" w:hAnsi="Palatino Linotype" w:cs="Palatino Linotype"/>
          <w:color w:val="000000"/>
        </w:rPr>
        <w:t xml:space="preserve"> emite los siguientes:</w:t>
      </w:r>
    </w:p>
    <w:p w:rsidR="00B853CA" w:rsidRPr="00760C90" w:rsidRDefault="00B853CA" w:rsidP="00B853CA">
      <w:bookmarkStart w:id="11" w:name="_heading=h.hb8cj47e50j6" w:colFirst="0" w:colLast="0"/>
      <w:bookmarkStart w:id="12" w:name="_heading=h.rd2v5d33o2w6" w:colFirst="0" w:colLast="0"/>
      <w:bookmarkStart w:id="13" w:name="_heading=h.h9l3iqe0fo2i" w:colFirst="0" w:colLast="0"/>
      <w:bookmarkEnd w:id="11"/>
      <w:bookmarkEnd w:id="12"/>
      <w:bookmarkEnd w:id="13"/>
    </w:p>
    <w:p w:rsidR="00B853CA" w:rsidRPr="00760C90" w:rsidRDefault="00B853CA" w:rsidP="00B853CA">
      <w:pPr>
        <w:pStyle w:val="Ttulo1"/>
        <w:spacing w:before="0" w:line="360" w:lineRule="auto"/>
        <w:jc w:val="center"/>
        <w:rPr>
          <w:rFonts w:ascii="Palatino Linotype" w:eastAsia="Palatino Linotype" w:hAnsi="Palatino Linotype" w:cs="Palatino Linotype"/>
          <w:b/>
          <w:color w:val="000000"/>
          <w:sz w:val="24"/>
          <w:szCs w:val="24"/>
        </w:rPr>
      </w:pPr>
      <w:bookmarkStart w:id="14" w:name="_heading=h.4d34og8" w:colFirst="0" w:colLast="0"/>
      <w:bookmarkEnd w:id="14"/>
      <w:r w:rsidRPr="00760C90">
        <w:rPr>
          <w:rFonts w:ascii="Palatino Linotype" w:eastAsia="Palatino Linotype" w:hAnsi="Palatino Linotype" w:cs="Palatino Linotype"/>
          <w:b/>
          <w:color w:val="000000"/>
          <w:sz w:val="24"/>
          <w:szCs w:val="24"/>
        </w:rPr>
        <w:t>R E S O L U T I V O S</w:t>
      </w:r>
    </w:p>
    <w:p w:rsidR="00B853CA" w:rsidRPr="00760C90" w:rsidRDefault="00B853CA" w:rsidP="00B853CA">
      <w:pPr>
        <w:rPr>
          <w:rFonts w:ascii="Palatino Linotype" w:eastAsia="Palatino Linotype" w:hAnsi="Palatino Linotype" w:cs="Palatino Linotype"/>
          <w:color w:val="000000"/>
        </w:rPr>
      </w:pPr>
    </w:p>
    <w:p w:rsidR="00B853CA" w:rsidRPr="00760C90" w:rsidRDefault="00B853CA" w:rsidP="00B853CA">
      <w:pPr>
        <w:spacing w:before="240" w:after="240" w:line="360" w:lineRule="auto"/>
        <w:jc w:val="both"/>
        <w:rPr>
          <w:rFonts w:ascii="Palatino Linotype" w:eastAsia="Palatino Linotype" w:hAnsi="Palatino Linotype" w:cs="Palatino Linotype"/>
        </w:rPr>
      </w:pPr>
      <w:bookmarkStart w:id="15" w:name="_heading=h.2s8eyo1" w:colFirst="0" w:colLast="0"/>
      <w:bookmarkEnd w:id="15"/>
      <w:r w:rsidRPr="00760C90">
        <w:rPr>
          <w:rFonts w:ascii="Palatino Linotype" w:eastAsia="Palatino Linotype" w:hAnsi="Palatino Linotype" w:cs="Palatino Linotype"/>
          <w:b/>
        </w:rPr>
        <w:t>PRIMERO</w:t>
      </w:r>
      <w:r w:rsidRPr="00760C90">
        <w:rPr>
          <w:rFonts w:ascii="Palatino Linotype" w:eastAsia="Palatino Linotype" w:hAnsi="Palatino Linotype" w:cs="Palatino Linotype"/>
        </w:rPr>
        <w:t xml:space="preserve">. Se </w:t>
      </w:r>
      <w:r w:rsidRPr="00760C90">
        <w:rPr>
          <w:rFonts w:ascii="Palatino Linotype" w:eastAsia="Palatino Linotype" w:hAnsi="Palatino Linotype" w:cs="Palatino Linotype"/>
          <w:b/>
        </w:rPr>
        <w:t>SOBRESEE</w:t>
      </w:r>
      <w:r w:rsidR="00E127A5" w:rsidRPr="00760C90">
        <w:rPr>
          <w:rFonts w:ascii="Palatino Linotype" w:eastAsia="Palatino Linotype" w:hAnsi="Palatino Linotype" w:cs="Palatino Linotype"/>
          <w:b/>
        </w:rPr>
        <w:t>N</w:t>
      </w:r>
      <w:r w:rsidRPr="00760C90">
        <w:rPr>
          <w:rFonts w:ascii="Palatino Linotype" w:eastAsia="Palatino Linotype" w:hAnsi="Palatino Linotype" w:cs="Palatino Linotype"/>
          <w:b/>
        </w:rPr>
        <w:t xml:space="preserve"> </w:t>
      </w:r>
      <w:r w:rsidR="00E127A5" w:rsidRPr="00760C90">
        <w:rPr>
          <w:rFonts w:ascii="Palatino Linotype" w:eastAsia="Palatino Linotype" w:hAnsi="Palatino Linotype" w:cs="Palatino Linotype"/>
        </w:rPr>
        <w:t xml:space="preserve">los </w:t>
      </w:r>
      <w:r w:rsidRPr="00760C90">
        <w:rPr>
          <w:rFonts w:ascii="Palatino Linotype" w:eastAsia="Palatino Linotype" w:hAnsi="Palatino Linotype" w:cs="Palatino Linotype"/>
        </w:rPr>
        <w:t>Recurso</w:t>
      </w:r>
      <w:r w:rsidR="00E127A5" w:rsidRPr="00760C90">
        <w:rPr>
          <w:rFonts w:ascii="Palatino Linotype" w:eastAsia="Palatino Linotype" w:hAnsi="Palatino Linotype" w:cs="Palatino Linotype"/>
        </w:rPr>
        <w:t>s</w:t>
      </w:r>
      <w:r w:rsidRPr="00760C90">
        <w:rPr>
          <w:rFonts w:ascii="Palatino Linotype" w:eastAsia="Palatino Linotype" w:hAnsi="Palatino Linotype" w:cs="Palatino Linotype"/>
        </w:rPr>
        <w:t xml:space="preserve"> de Revisión</w:t>
      </w:r>
      <w:r w:rsidRPr="00760C90">
        <w:rPr>
          <w:rFonts w:ascii="Palatino Linotype" w:eastAsia="Palatino Linotype" w:hAnsi="Palatino Linotype" w:cs="Palatino Linotype"/>
          <w:b/>
        </w:rPr>
        <w:t xml:space="preserve"> </w:t>
      </w:r>
      <w:r w:rsidRPr="00760C90">
        <w:rPr>
          <w:rFonts w:ascii="Palatino Linotype" w:eastAsia="Palatino Linotype" w:hAnsi="Palatino Linotype" w:cs="Palatino Linotype"/>
        </w:rPr>
        <w:t xml:space="preserve">número </w:t>
      </w:r>
      <w:r w:rsidR="00E127A5" w:rsidRPr="00760C90">
        <w:rPr>
          <w:rFonts w:ascii="Palatino Linotype" w:eastAsia="Palatino Linotype" w:hAnsi="Palatino Linotype" w:cs="Palatino Linotype"/>
          <w:b/>
          <w:bCs/>
          <w:color w:val="000000"/>
        </w:rPr>
        <w:t>06883/INFOEM/ICR-48/IP/RR/2025, 06886/INFOEM/ICR-45/IP/RR/2025, 06888/INFOEM/ICR-43/IP/RR/2025, 06894/INFOEM/ICR-52/IP/RR/2025 y 06895/INFOEM/ICR-54/IP/RR/2025</w:t>
      </w:r>
      <w:r w:rsidRPr="00760C90">
        <w:rPr>
          <w:rFonts w:ascii="Palatino Linotype" w:eastAsia="Palatino Linotype" w:hAnsi="Palatino Linotype" w:cs="Palatino Linotype"/>
          <w:b/>
          <w:color w:val="000000"/>
        </w:rPr>
        <w:t>,</w:t>
      </w:r>
      <w:r w:rsidRPr="00760C90">
        <w:rPr>
          <w:rFonts w:ascii="Palatino Linotype" w:eastAsia="Palatino Linotype" w:hAnsi="Palatino Linotype" w:cs="Palatino Linotype"/>
        </w:rPr>
        <w:t xml:space="preserve"> conforme a la fracción IV del artículo 192, en relación con el artículo 191 fracción I, de la Ley de Transparencia y Acceso a la Información Pública del Estado de México y Municipios</w:t>
      </w:r>
      <w:r w:rsidRPr="00760C90">
        <w:rPr>
          <w:rFonts w:ascii="Palatino Linotype" w:eastAsia="Palatino Linotype" w:hAnsi="Palatino Linotype" w:cs="Palatino Linotype"/>
          <w:b/>
        </w:rPr>
        <w:t xml:space="preserve">, </w:t>
      </w:r>
      <w:r w:rsidRPr="00760C90">
        <w:rPr>
          <w:rFonts w:ascii="Palatino Linotype" w:eastAsia="Palatino Linotype" w:hAnsi="Palatino Linotype" w:cs="Palatino Linotype"/>
        </w:rPr>
        <w:t xml:space="preserve">en términos del </w:t>
      </w:r>
      <w:r w:rsidRPr="00760C90">
        <w:rPr>
          <w:rFonts w:ascii="Palatino Linotype" w:eastAsia="Palatino Linotype" w:hAnsi="Palatino Linotype" w:cs="Palatino Linotype"/>
          <w:b/>
        </w:rPr>
        <w:t>Considerando</w:t>
      </w:r>
      <w:r w:rsidRPr="00760C90">
        <w:rPr>
          <w:rFonts w:ascii="Palatino Linotype" w:eastAsia="Palatino Linotype" w:hAnsi="Palatino Linotype" w:cs="Palatino Linotype"/>
        </w:rPr>
        <w:t xml:space="preserve"> </w:t>
      </w:r>
      <w:r w:rsidRPr="00760C90">
        <w:rPr>
          <w:rFonts w:ascii="Palatino Linotype" w:eastAsia="Palatino Linotype" w:hAnsi="Palatino Linotype" w:cs="Palatino Linotype"/>
          <w:b/>
        </w:rPr>
        <w:t>TERCERO</w:t>
      </w:r>
      <w:r w:rsidRPr="00760C90">
        <w:rPr>
          <w:rFonts w:ascii="Palatino Linotype" w:eastAsia="Palatino Linotype" w:hAnsi="Palatino Linotype" w:cs="Palatino Linotype"/>
        </w:rPr>
        <w:t xml:space="preserve"> de la presente resolución.</w:t>
      </w:r>
    </w:p>
    <w:p w:rsidR="00B853CA" w:rsidRPr="00760C90" w:rsidRDefault="00B853CA" w:rsidP="00B853CA">
      <w:pPr>
        <w:shd w:val="clear" w:color="auto" w:fill="FFFFFF"/>
        <w:spacing w:before="240" w:after="360" w:line="360" w:lineRule="auto"/>
        <w:jc w:val="both"/>
        <w:rPr>
          <w:rFonts w:ascii="Palatino Linotype" w:eastAsia="Palatino Linotype" w:hAnsi="Palatino Linotype" w:cs="Palatino Linotype"/>
          <w:b/>
          <w:color w:val="2E75B5"/>
        </w:rPr>
      </w:pPr>
      <w:bookmarkStart w:id="16" w:name="_heading=h.17dp8vu" w:colFirst="0" w:colLast="0"/>
      <w:bookmarkEnd w:id="16"/>
      <w:r w:rsidRPr="00760C90">
        <w:rPr>
          <w:rFonts w:ascii="Palatino Linotype" w:eastAsia="Palatino Linotype" w:hAnsi="Palatino Linotype" w:cs="Palatino Linotype"/>
          <w:b/>
        </w:rPr>
        <w:t>SEGUNDO.</w:t>
      </w:r>
      <w:r w:rsidRPr="00760C90">
        <w:rPr>
          <w:rFonts w:ascii="Palatino Linotype" w:eastAsia="Palatino Linotype" w:hAnsi="Palatino Linotype" w:cs="Palatino Linotype"/>
          <w:color w:val="2E75B5"/>
        </w:rPr>
        <w:t xml:space="preserve"> </w:t>
      </w:r>
      <w:r w:rsidRPr="00760C90">
        <w:rPr>
          <w:rFonts w:ascii="Palatino Linotype" w:eastAsia="Palatino Linotype" w:hAnsi="Palatino Linotype" w:cs="Palatino Linotype"/>
          <w:b/>
          <w:color w:val="222222"/>
        </w:rPr>
        <w:t>Notifíquese</w:t>
      </w:r>
      <w:r w:rsidRPr="00760C90">
        <w:rPr>
          <w:rFonts w:ascii="Palatino Linotype" w:eastAsia="Palatino Linotype" w:hAnsi="Palatino Linotype" w:cs="Palatino Linotype"/>
          <w:b/>
          <w:color w:val="000000"/>
        </w:rPr>
        <w:t xml:space="preserve"> </w:t>
      </w:r>
      <w:r w:rsidRPr="00760C90">
        <w:rPr>
          <w:rFonts w:ascii="Palatino Linotype" w:eastAsia="Palatino Linotype" w:hAnsi="Palatino Linotype" w:cs="Palatino Linotype"/>
          <w:color w:val="000000"/>
        </w:rPr>
        <w:t>al Titular de la Unidad de Transparencia del</w:t>
      </w:r>
      <w:r w:rsidRPr="00760C90">
        <w:rPr>
          <w:rFonts w:ascii="Palatino Linotype" w:eastAsia="Palatino Linotype" w:hAnsi="Palatino Linotype" w:cs="Palatino Linotype"/>
          <w:b/>
          <w:color w:val="000000"/>
        </w:rPr>
        <w:t xml:space="preserve"> SUJETO OBLIGADO</w:t>
      </w:r>
      <w:r w:rsidRPr="00760C90">
        <w:rPr>
          <w:rFonts w:ascii="Palatino Linotype" w:eastAsia="Palatino Linotype" w:hAnsi="Palatino Linotype" w:cs="Palatino Linotype"/>
          <w:color w:val="000000"/>
        </w:rPr>
        <w:t xml:space="preserve"> vía </w:t>
      </w:r>
      <w:r w:rsidRPr="00760C90">
        <w:rPr>
          <w:rFonts w:ascii="Palatino Linotype" w:eastAsia="Palatino Linotype" w:hAnsi="Palatino Linotype" w:cs="Palatino Linotype"/>
          <w:b/>
          <w:color w:val="000000"/>
        </w:rPr>
        <w:t>SAIMEX</w:t>
      </w:r>
      <w:r w:rsidRPr="00760C90">
        <w:rPr>
          <w:rFonts w:ascii="Palatino Linotype" w:eastAsia="Palatino Linotype" w:hAnsi="Palatino Linotype" w:cs="Palatino Linotype"/>
          <w:color w:val="000000"/>
        </w:rPr>
        <w:t>, la presente resolución.</w:t>
      </w:r>
    </w:p>
    <w:p w:rsidR="00B853CA" w:rsidRPr="00760C90" w:rsidRDefault="00B853CA" w:rsidP="00B853CA">
      <w:pPr>
        <w:widowControl w:val="0"/>
        <w:pBdr>
          <w:top w:val="nil"/>
          <w:left w:val="nil"/>
          <w:bottom w:val="nil"/>
          <w:right w:val="nil"/>
          <w:between w:val="nil"/>
        </w:pBdr>
        <w:tabs>
          <w:tab w:val="left" w:pos="1701"/>
        </w:tabs>
        <w:spacing w:before="240" w:line="360" w:lineRule="auto"/>
        <w:jc w:val="both"/>
        <w:rPr>
          <w:rFonts w:ascii="Palatino Linotype" w:eastAsia="Palatino Linotype" w:hAnsi="Palatino Linotype" w:cs="Palatino Linotype"/>
          <w:color w:val="222222"/>
        </w:rPr>
      </w:pPr>
      <w:r w:rsidRPr="00760C90">
        <w:rPr>
          <w:rFonts w:ascii="Palatino Linotype" w:eastAsia="Palatino Linotype" w:hAnsi="Palatino Linotype" w:cs="Palatino Linotype"/>
          <w:b/>
          <w:color w:val="000000"/>
        </w:rPr>
        <w:t>TERCERO</w:t>
      </w:r>
      <w:r w:rsidRPr="00760C90">
        <w:rPr>
          <w:rFonts w:ascii="Palatino Linotype" w:eastAsia="Palatino Linotype" w:hAnsi="Palatino Linotype" w:cs="Palatino Linotype"/>
          <w:b/>
          <w:color w:val="222222"/>
        </w:rPr>
        <w:t xml:space="preserve">. Notifíquese </w:t>
      </w:r>
      <w:r w:rsidRPr="00760C90">
        <w:rPr>
          <w:rFonts w:ascii="Palatino Linotype" w:eastAsia="Palatino Linotype" w:hAnsi="Palatino Linotype" w:cs="Palatino Linotype"/>
          <w:color w:val="222222"/>
        </w:rPr>
        <w:t>a</w:t>
      </w:r>
      <w:r w:rsidRPr="00760C90">
        <w:rPr>
          <w:rFonts w:ascii="Palatino Linotype" w:eastAsia="Palatino Linotype" w:hAnsi="Palatino Linotype" w:cs="Palatino Linotype"/>
          <w:b/>
          <w:color w:val="222222"/>
        </w:rPr>
        <w:t xml:space="preserve"> </w:t>
      </w:r>
      <w:r w:rsidRPr="00760C90">
        <w:rPr>
          <w:rFonts w:ascii="Palatino Linotype" w:eastAsia="Palatino Linotype" w:hAnsi="Palatino Linotype" w:cs="Palatino Linotype"/>
          <w:b/>
          <w:color w:val="000000"/>
        </w:rPr>
        <w:t>EL RECURRENTE</w:t>
      </w:r>
      <w:r w:rsidRPr="00760C90">
        <w:rPr>
          <w:rFonts w:ascii="Palatino Linotype" w:eastAsia="Palatino Linotype" w:hAnsi="Palatino Linotype" w:cs="Palatino Linotype"/>
          <w:color w:val="222222"/>
        </w:rPr>
        <w:t xml:space="preserve"> la presente resolución, vía </w:t>
      </w:r>
      <w:r w:rsidRPr="00760C90">
        <w:rPr>
          <w:rFonts w:ascii="Palatino Linotype" w:eastAsia="Palatino Linotype" w:hAnsi="Palatino Linotype" w:cs="Palatino Linotype"/>
          <w:b/>
          <w:color w:val="222222"/>
        </w:rPr>
        <w:t>SAIMEX</w:t>
      </w:r>
      <w:r w:rsidRPr="00760C90">
        <w:rPr>
          <w:rFonts w:ascii="Palatino Linotype" w:eastAsia="Palatino Linotype" w:hAnsi="Palatino Linotype" w:cs="Palatino Linotype"/>
          <w:color w:val="222222"/>
        </w:rPr>
        <w:t>.</w:t>
      </w:r>
    </w:p>
    <w:p w:rsidR="00B853CA" w:rsidRPr="00760C90" w:rsidRDefault="00B853CA" w:rsidP="00B853CA">
      <w:pPr>
        <w:widowControl w:val="0"/>
        <w:pBdr>
          <w:top w:val="nil"/>
          <w:left w:val="nil"/>
          <w:bottom w:val="nil"/>
          <w:right w:val="nil"/>
          <w:between w:val="nil"/>
        </w:pBdr>
        <w:tabs>
          <w:tab w:val="left" w:pos="1701"/>
        </w:tabs>
        <w:spacing w:line="360" w:lineRule="auto"/>
        <w:jc w:val="both"/>
        <w:rPr>
          <w:rFonts w:ascii="Palatino Linotype" w:eastAsia="Palatino Linotype" w:hAnsi="Palatino Linotype" w:cs="Palatino Linotype"/>
          <w:color w:val="222222"/>
        </w:rPr>
      </w:pPr>
    </w:p>
    <w:p w:rsidR="00B853CA" w:rsidRPr="00760C90" w:rsidRDefault="00B853CA" w:rsidP="00B853CA">
      <w:pPr>
        <w:widowControl w:val="0"/>
        <w:pBdr>
          <w:top w:val="nil"/>
          <w:left w:val="nil"/>
          <w:bottom w:val="nil"/>
          <w:right w:val="nil"/>
          <w:between w:val="nil"/>
        </w:pBdr>
        <w:tabs>
          <w:tab w:val="left" w:pos="1701"/>
        </w:tabs>
        <w:spacing w:after="240" w:line="360" w:lineRule="auto"/>
        <w:jc w:val="both"/>
        <w:rPr>
          <w:rFonts w:ascii="Palatino Linotype" w:eastAsia="Palatino Linotype" w:hAnsi="Palatino Linotype" w:cs="Palatino Linotype"/>
          <w:color w:val="000000"/>
        </w:rPr>
      </w:pPr>
      <w:r w:rsidRPr="00760C90">
        <w:rPr>
          <w:rFonts w:ascii="Palatino Linotype" w:eastAsia="Palatino Linotype" w:hAnsi="Palatino Linotype" w:cs="Palatino Linotype"/>
          <w:b/>
          <w:color w:val="222222"/>
        </w:rPr>
        <w:t xml:space="preserve">CUARTO. </w:t>
      </w:r>
      <w:r w:rsidRPr="00760C90">
        <w:rPr>
          <w:rFonts w:ascii="Palatino Linotype" w:eastAsia="Palatino Linotype" w:hAnsi="Palatino Linotype" w:cs="Palatino Linotype"/>
          <w:color w:val="000000"/>
        </w:rPr>
        <w:t xml:space="preserve">Se hace del conocimiento de </w:t>
      </w:r>
      <w:r w:rsidRPr="00760C90">
        <w:rPr>
          <w:rFonts w:ascii="Palatino Linotype" w:eastAsia="Palatino Linotype" w:hAnsi="Palatino Linotype" w:cs="Palatino Linotype"/>
          <w:b/>
          <w:color w:val="000000"/>
        </w:rPr>
        <w:t>LA RECURRENTE</w:t>
      </w:r>
      <w:r w:rsidRPr="00760C90">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w:t>
      </w:r>
      <w:r w:rsidRPr="00760C90">
        <w:rPr>
          <w:rFonts w:ascii="Palatino Linotype" w:eastAsia="Palatino Linotype" w:hAnsi="Palatino Linotype" w:cs="Palatino Linotype"/>
          <w:color w:val="000000"/>
        </w:rPr>
        <w:lastRenderedPageBreak/>
        <w:t>perjuicio podrá impugnarla vía juicio de amparo en los términos de las leyes aplicables.</w:t>
      </w:r>
    </w:p>
    <w:p w:rsidR="00DB1B94" w:rsidRPr="00760C90" w:rsidRDefault="00DB1B94" w:rsidP="00B853CA">
      <w:pPr>
        <w:widowControl w:val="0"/>
        <w:pBdr>
          <w:top w:val="nil"/>
          <w:left w:val="nil"/>
          <w:bottom w:val="nil"/>
          <w:right w:val="nil"/>
          <w:between w:val="nil"/>
        </w:pBdr>
        <w:tabs>
          <w:tab w:val="left" w:pos="1701"/>
        </w:tabs>
        <w:spacing w:after="240" w:line="360" w:lineRule="auto"/>
        <w:jc w:val="both"/>
        <w:rPr>
          <w:rFonts w:ascii="Palatino Linotype" w:eastAsia="Palatino Linotype" w:hAnsi="Palatino Linotype" w:cs="Palatino Linotype"/>
          <w:color w:val="222222"/>
        </w:rPr>
      </w:pPr>
    </w:p>
    <w:p w:rsidR="00DB1B94" w:rsidRPr="00760C90" w:rsidRDefault="00DB1B94" w:rsidP="00DB1B94">
      <w:pPr>
        <w:spacing w:before="240" w:after="240" w:line="360" w:lineRule="auto"/>
        <w:ind w:firstLine="1"/>
        <w:jc w:val="both"/>
        <w:rPr>
          <w:rFonts w:ascii="Palatino Linotype" w:hAnsi="Palatino Linotype"/>
        </w:rPr>
      </w:pPr>
      <w:bookmarkStart w:id="17" w:name="_Hlk99014733"/>
      <w:r w:rsidRPr="00760C90">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760C90">
        <w:rPr>
          <w:rFonts w:ascii="Palatino Linotype" w:hAnsi="Palatino Linotype" w:cs="Palatino Linotype"/>
          <w:color w:val="000000" w:themeColor="text1"/>
        </w:rPr>
        <w:t>ALEXIS TAPIA RAMÍREZ.</w:t>
      </w:r>
    </w:p>
    <w:bookmarkEnd w:id="17"/>
    <w:p w:rsidR="00B853CA" w:rsidRPr="00760C90" w:rsidRDefault="00B853CA" w:rsidP="00B853CA">
      <w:pPr>
        <w:spacing w:line="360" w:lineRule="auto"/>
        <w:rPr>
          <w:rFonts w:ascii="Palatino Linotype" w:eastAsia="Palatino Linotype" w:hAnsi="Palatino Linotype" w:cs="Palatino Linotype"/>
        </w:rPr>
      </w:pPr>
    </w:p>
    <w:p w:rsidR="00373347" w:rsidRPr="00760C90" w:rsidRDefault="00373347" w:rsidP="00373347">
      <w:pPr>
        <w:spacing w:line="360" w:lineRule="auto"/>
        <w:ind w:right="49"/>
        <w:jc w:val="both"/>
        <w:rPr>
          <w:rFonts w:ascii="Palatino Linotype" w:eastAsiaTheme="minorEastAsia" w:hAnsi="Palatino Linotype" w:cs="Arial"/>
          <w:lang w:val="es-ES_tradnl" w:eastAsia="es-ES"/>
        </w:rPr>
      </w:pPr>
    </w:p>
    <w:p w:rsidR="00373347" w:rsidRPr="00760C90" w:rsidRDefault="00373347" w:rsidP="00373347">
      <w:pPr>
        <w:spacing w:line="360" w:lineRule="auto"/>
        <w:ind w:right="49"/>
        <w:jc w:val="both"/>
        <w:rPr>
          <w:rFonts w:ascii="Palatino Linotype" w:eastAsiaTheme="minorEastAsia" w:hAnsi="Palatino Linotype" w:cs="Arial"/>
          <w:lang w:val="es-ES_tradnl" w:eastAsia="es-ES"/>
        </w:rPr>
      </w:pPr>
    </w:p>
    <w:p w:rsidR="00373347" w:rsidRPr="00760C90" w:rsidRDefault="00373347" w:rsidP="00373347">
      <w:pPr>
        <w:spacing w:line="360" w:lineRule="auto"/>
        <w:ind w:right="49"/>
        <w:jc w:val="both"/>
        <w:rPr>
          <w:rFonts w:ascii="Palatino Linotype" w:eastAsiaTheme="minorEastAsia" w:hAnsi="Palatino Linotype" w:cs="Arial"/>
          <w:lang w:val="es-ES_tradnl" w:eastAsia="es-ES"/>
        </w:rPr>
      </w:pPr>
    </w:p>
    <w:p w:rsidR="00373347" w:rsidRPr="00760C90" w:rsidRDefault="00373347" w:rsidP="00373347">
      <w:pPr>
        <w:spacing w:line="360" w:lineRule="auto"/>
        <w:ind w:right="49"/>
        <w:jc w:val="both"/>
        <w:rPr>
          <w:rFonts w:ascii="Palatino Linotype" w:eastAsiaTheme="minorEastAsia" w:hAnsi="Palatino Linotype" w:cs="Arial"/>
          <w:lang w:val="es-ES_tradnl" w:eastAsia="es-ES"/>
        </w:rPr>
      </w:pPr>
    </w:p>
    <w:p w:rsidR="00373347" w:rsidRPr="00760C90" w:rsidRDefault="00373347" w:rsidP="00373347">
      <w:pPr>
        <w:spacing w:line="360" w:lineRule="auto"/>
        <w:ind w:right="49"/>
        <w:jc w:val="both"/>
        <w:rPr>
          <w:rFonts w:ascii="Palatino Linotype" w:eastAsiaTheme="minorEastAsia" w:hAnsi="Palatino Linotype" w:cs="Arial"/>
          <w:lang w:val="es-ES_tradnl" w:eastAsia="es-ES"/>
        </w:rPr>
      </w:pPr>
    </w:p>
    <w:p w:rsidR="00373347" w:rsidRPr="00760C90" w:rsidRDefault="00373347" w:rsidP="00373347">
      <w:pPr>
        <w:spacing w:line="360" w:lineRule="auto"/>
        <w:ind w:right="49"/>
        <w:jc w:val="both"/>
        <w:rPr>
          <w:rFonts w:ascii="Palatino Linotype" w:eastAsiaTheme="minorEastAsia" w:hAnsi="Palatino Linotype" w:cs="Arial"/>
          <w:lang w:val="es-ES_tradnl" w:eastAsia="es-ES"/>
        </w:rPr>
      </w:pPr>
    </w:p>
    <w:p w:rsidR="00373347" w:rsidRPr="00760C90" w:rsidRDefault="00373347" w:rsidP="00373347">
      <w:pPr>
        <w:spacing w:line="360" w:lineRule="auto"/>
        <w:ind w:right="49"/>
        <w:jc w:val="both"/>
        <w:rPr>
          <w:rFonts w:ascii="Palatino Linotype" w:eastAsiaTheme="minorEastAsia" w:hAnsi="Palatino Linotype" w:cs="Arial"/>
          <w:lang w:val="es-ES_tradnl" w:eastAsia="es-ES"/>
        </w:rPr>
      </w:pPr>
    </w:p>
    <w:p w:rsidR="00373347" w:rsidRPr="00760C90" w:rsidRDefault="00373347" w:rsidP="00373347">
      <w:pPr>
        <w:spacing w:line="360" w:lineRule="auto"/>
        <w:ind w:right="49"/>
        <w:jc w:val="both"/>
        <w:rPr>
          <w:rFonts w:ascii="Palatino Linotype" w:eastAsiaTheme="minorEastAsia" w:hAnsi="Palatino Linotype" w:cs="Arial"/>
          <w:lang w:val="es-ES_tradnl" w:eastAsia="es-ES"/>
        </w:rPr>
      </w:pPr>
    </w:p>
    <w:p w:rsidR="00373347" w:rsidRPr="00760C90" w:rsidRDefault="00373347" w:rsidP="00373347">
      <w:pPr>
        <w:spacing w:line="360" w:lineRule="auto"/>
        <w:ind w:right="49"/>
        <w:jc w:val="both"/>
        <w:rPr>
          <w:rFonts w:ascii="Palatino Linotype" w:eastAsiaTheme="minorEastAsia" w:hAnsi="Palatino Linotype" w:cs="Arial"/>
          <w:lang w:val="es-ES_tradnl" w:eastAsia="es-ES"/>
        </w:rPr>
      </w:pPr>
    </w:p>
    <w:p w:rsidR="00373347" w:rsidRPr="00760C90" w:rsidRDefault="00373347" w:rsidP="00373347">
      <w:pPr>
        <w:spacing w:line="360" w:lineRule="auto"/>
        <w:ind w:right="49"/>
        <w:jc w:val="both"/>
        <w:rPr>
          <w:rFonts w:ascii="Palatino Linotype" w:eastAsiaTheme="minorEastAsia" w:hAnsi="Palatino Linotype" w:cs="Arial"/>
          <w:lang w:val="es-ES_tradnl" w:eastAsia="es-ES"/>
        </w:rPr>
      </w:pPr>
    </w:p>
    <w:p w:rsidR="00373347" w:rsidRPr="00760C90" w:rsidRDefault="00373347" w:rsidP="00373347">
      <w:pPr>
        <w:spacing w:line="360" w:lineRule="auto"/>
        <w:ind w:right="49"/>
        <w:jc w:val="both"/>
        <w:rPr>
          <w:rFonts w:ascii="Palatino Linotype" w:eastAsiaTheme="minorEastAsia" w:hAnsi="Palatino Linotype" w:cs="Arial"/>
          <w:lang w:val="es-ES_tradnl" w:eastAsia="es-ES"/>
        </w:rPr>
      </w:pPr>
    </w:p>
    <w:p w:rsidR="00373347" w:rsidRPr="00760C90" w:rsidRDefault="00373347" w:rsidP="00373347">
      <w:pPr>
        <w:spacing w:line="360" w:lineRule="auto"/>
        <w:ind w:right="49"/>
        <w:jc w:val="both"/>
        <w:rPr>
          <w:rFonts w:ascii="Palatino Linotype" w:eastAsiaTheme="minorEastAsia" w:hAnsi="Palatino Linotype" w:cs="Arial"/>
          <w:lang w:val="es-ES_tradnl" w:eastAsia="es-ES"/>
        </w:rPr>
      </w:pPr>
    </w:p>
    <w:p w:rsidR="00373347" w:rsidRPr="00760C90" w:rsidRDefault="00373347" w:rsidP="00373347">
      <w:pPr>
        <w:spacing w:line="360" w:lineRule="auto"/>
        <w:rPr>
          <w:rFonts w:ascii="Palatino Linotype" w:hAnsi="Palatino Linotype"/>
        </w:rPr>
      </w:pPr>
    </w:p>
    <w:p w:rsidR="00373347" w:rsidRPr="00760C90" w:rsidRDefault="00373347" w:rsidP="00373347">
      <w:pPr>
        <w:spacing w:line="360" w:lineRule="auto"/>
        <w:rPr>
          <w:rFonts w:ascii="Palatino Linotype" w:hAnsi="Palatino Linotype"/>
        </w:rPr>
      </w:pPr>
    </w:p>
    <w:p w:rsidR="00373347" w:rsidRPr="00760C90" w:rsidRDefault="00373347" w:rsidP="00373347">
      <w:pPr>
        <w:spacing w:line="360" w:lineRule="auto"/>
        <w:rPr>
          <w:rFonts w:ascii="Palatino Linotype" w:hAnsi="Palatino Linotype"/>
        </w:rPr>
      </w:pPr>
    </w:p>
    <w:p w:rsidR="00373347" w:rsidRPr="00760C90" w:rsidRDefault="00373347" w:rsidP="00373347">
      <w:pPr>
        <w:spacing w:line="360" w:lineRule="auto"/>
        <w:rPr>
          <w:rFonts w:ascii="Palatino Linotype" w:hAnsi="Palatino Linotype"/>
        </w:rPr>
      </w:pPr>
    </w:p>
    <w:p w:rsidR="00373347" w:rsidRPr="00760C90" w:rsidRDefault="00373347" w:rsidP="00373347">
      <w:pPr>
        <w:spacing w:line="360" w:lineRule="auto"/>
        <w:rPr>
          <w:rFonts w:ascii="Palatino Linotype" w:hAnsi="Palatino Linotype"/>
        </w:rPr>
      </w:pPr>
    </w:p>
    <w:p w:rsidR="00373347" w:rsidRPr="00760C90" w:rsidRDefault="00373347" w:rsidP="00373347">
      <w:pPr>
        <w:spacing w:line="360" w:lineRule="auto"/>
        <w:rPr>
          <w:rFonts w:ascii="Palatino Linotype" w:hAnsi="Palatino Linotype"/>
        </w:rPr>
      </w:pPr>
    </w:p>
    <w:p w:rsidR="00373347" w:rsidRPr="00760C90" w:rsidRDefault="00373347" w:rsidP="00373347"/>
    <w:p w:rsidR="00373347" w:rsidRPr="00760C90" w:rsidRDefault="00373347" w:rsidP="00373347"/>
    <w:p w:rsidR="00744F04" w:rsidRPr="00760C90" w:rsidRDefault="00744F04"/>
    <w:sectPr w:rsidR="00744F04" w:rsidRPr="00760C90" w:rsidSect="00760C90">
      <w:headerReference w:type="even" r:id="rId8"/>
      <w:headerReference w:type="default" r:id="rId9"/>
      <w:footerReference w:type="default" r:id="rId10"/>
      <w:headerReference w:type="first" r:id="rId11"/>
      <w:footerReference w:type="first" r:id="rId12"/>
      <w:pgSz w:w="12240" w:h="15840"/>
      <w:pgMar w:top="80" w:right="616"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716" w:rsidRDefault="00492716" w:rsidP="00373347">
      <w:r>
        <w:separator/>
      </w:r>
    </w:p>
  </w:endnote>
  <w:endnote w:type="continuationSeparator" w:id="0">
    <w:p w:rsidR="00492716" w:rsidRDefault="00492716" w:rsidP="00373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84F" w:rsidRPr="00760C90" w:rsidRDefault="0000552E">
    <w:pPr>
      <w:pStyle w:val="Piedepgina"/>
      <w:jc w:val="right"/>
      <w:rPr>
        <w:rFonts w:ascii="Palatino Linotype" w:hAnsi="Palatino Linotype"/>
        <w:b/>
        <w:sz w:val="22"/>
      </w:rPr>
    </w:pPr>
    <w:r w:rsidRPr="00760C90">
      <w:rPr>
        <w:rFonts w:ascii="Palatino Linotype" w:hAnsi="Palatino Linotype"/>
        <w:b/>
        <w:sz w:val="22"/>
        <w:lang w:val="es-ES"/>
      </w:rPr>
      <w:t xml:space="preserve">Página </w:t>
    </w:r>
    <w:r w:rsidRPr="00760C90">
      <w:rPr>
        <w:rFonts w:ascii="Palatino Linotype" w:hAnsi="Palatino Linotype"/>
        <w:b/>
        <w:bCs/>
        <w:sz w:val="22"/>
      </w:rPr>
      <w:fldChar w:fldCharType="begin"/>
    </w:r>
    <w:r w:rsidRPr="00760C90">
      <w:rPr>
        <w:rFonts w:ascii="Palatino Linotype" w:hAnsi="Palatino Linotype"/>
        <w:b/>
        <w:bCs/>
        <w:sz w:val="22"/>
      </w:rPr>
      <w:instrText>PAGE</w:instrText>
    </w:r>
    <w:r w:rsidRPr="00760C90">
      <w:rPr>
        <w:rFonts w:ascii="Palatino Linotype" w:hAnsi="Palatino Linotype"/>
        <w:b/>
        <w:bCs/>
        <w:sz w:val="22"/>
      </w:rPr>
      <w:fldChar w:fldCharType="separate"/>
    </w:r>
    <w:r w:rsidR="00760C90">
      <w:rPr>
        <w:rFonts w:ascii="Palatino Linotype" w:hAnsi="Palatino Linotype"/>
        <w:b/>
        <w:bCs/>
        <w:noProof/>
        <w:sz w:val="22"/>
      </w:rPr>
      <w:t>15</w:t>
    </w:r>
    <w:r w:rsidRPr="00760C90">
      <w:rPr>
        <w:rFonts w:ascii="Palatino Linotype" w:hAnsi="Palatino Linotype"/>
        <w:b/>
        <w:bCs/>
        <w:sz w:val="22"/>
      </w:rPr>
      <w:fldChar w:fldCharType="end"/>
    </w:r>
    <w:r w:rsidRPr="00760C90">
      <w:rPr>
        <w:rFonts w:ascii="Palatino Linotype" w:hAnsi="Palatino Linotype"/>
        <w:b/>
        <w:sz w:val="22"/>
        <w:lang w:val="es-ES"/>
      </w:rPr>
      <w:t xml:space="preserve"> de </w:t>
    </w:r>
    <w:r w:rsidRPr="00760C90">
      <w:rPr>
        <w:rFonts w:ascii="Palatino Linotype" w:hAnsi="Palatino Linotype"/>
        <w:b/>
        <w:bCs/>
        <w:sz w:val="22"/>
      </w:rPr>
      <w:fldChar w:fldCharType="begin"/>
    </w:r>
    <w:r w:rsidRPr="00760C90">
      <w:rPr>
        <w:rFonts w:ascii="Palatino Linotype" w:hAnsi="Palatino Linotype"/>
        <w:b/>
        <w:bCs/>
        <w:sz w:val="22"/>
      </w:rPr>
      <w:instrText>NUMPAGES</w:instrText>
    </w:r>
    <w:r w:rsidRPr="00760C90">
      <w:rPr>
        <w:rFonts w:ascii="Palatino Linotype" w:hAnsi="Palatino Linotype"/>
        <w:b/>
        <w:bCs/>
        <w:sz w:val="22"/>
      </w:rPr>
      <w:fldChar w:fldCharType="separate"/>
    </w:r>
    <w:r w:rsidR="00760C90">
      <w:rPr>
        <w:rFonts w:ascii="Palatino Linotype" w:hAnsi="Palatino Linotype"/>
        <w:b/>
        <w:bCs/>
        <w:noProof/>
        <w:sz w:val="22"/>
      </w:rPr>
      <w:t>15</w:t>
    </w:r>
    <w:r w:rsidRPr="00760C90">
      <w:rPr>
        <w:rFonts w:ascii="Palatino Linotype" w:hAnsi="Palatino Linotype"/>
        <w:b/>
        <w:bCs/>
        <w:sz w:val="22"/>
      </w:rPr>
      <w:fldChar w:fldCharType="end"/>
    </w:r>
  </w:p>
  <w:p w:rsidR="0050584F" w:rsidRDefault="0049271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84F" w:rsidRPr="00760C90" w:rsidRDefault="0000552E">
    <w:pPr>
      <w:pStyle w:val="Piedepgina"/>
      <w:jc w:val="right"/>
      <w:rPr>
        <w:rFonts w:ascii="Palatino Linotype" w:hAnsi="Palatino Linotype"/>
        <w:b/>
        <w:sz w:val="22"/>
      </w:rPr>
    </w:pPr>
    <w:r w:rsidRPr="00760C90">
      <w:rPr>
        <w:rFonts w:ascii="Palatino Linotype" w:hAnsi="Palatino Linotype"/>
        <w:b/>
        <w:sz w:val="22"/>
        <w:lang w:val="es-ES"/>
      </w:rPr>
      <w:t xml:space="preserve">Página </w:t>
    </w:r>
    <w:r w:rsidRPr="00760C90">
      <w:rPr>
        <w:rFonts w:ascii="Palatino Linotype" w:hAnsi="Palatino Linotype"/>
        <w:b/>
        <w:bCs/>
        <w:sz w:val="22"/>
      </w:rPr>
      <w:fldChar w:fldCharType="begin"/>
    </w:r>
    <w:r w:rsidRPr="00760C90">
      <w:rPr>
        <w:rFonts w:ascii="Palatino Linotype" w:hAnsi="Palatino Linotype"/>
        <w:b/>
        <w:bCs/>
        <w:sz w:val="22"/>
      </w:rPr>
      <w:instrText>PAGE</w:instrText>
    </w:r>
    <w:r w:rsidRPr="00760C90">
      <w:rPr>
        <w:rFonts w:ascii="Palatino Linotype" w:hAnsi="Palatino Linotype"/>
        <w:b/>
        <w:bCs/>
        <w:sz w:val="22"/>
      </w:rPr>
      <w:fldChar w:fldCharType="separate"/>
    </w:r>
    <w:r w:rsidR="00760C90">
      <w:rPr>
        <w:rFonts w:ascii="Palatino Linotype" w:hAnsi="Palatino Linotype"/>
        <w:b/>
        <w:bCs/>
        <w:noProof/>
        <w:sz w:val="22"/>
      </w:rPr>
      <w:t>1</w:t>
    </w:r>
    <w:r w:rsidRPr="00760C90">
      <w:rPr>
        <w:rFonts w:ascii="Palatino Linotype" w:hAnsi="Palatino Linotype"/>
        <w:b/>
        <w:bCs/>
        <w:sz w:val="22"/>
      </w:rPr>
      <w:fldChar w:fldCharType="end"/>
    </w:r>
    <w:r w:rsidRPr="00760C90">
      <w:rPr>
        <w:rFonts w:ascii="Palatino Linotype" w:hAnsi="Palatino Linotype"/>
        <w:b/>
        <w:sz w:val="22"/>
        <w:lang w:val="es-ES"/>
      </w:rPr>
      <w:t xml:space="preserve"> de </w:t>
    </w:r>
    <w:r w:rsidRPr="00760C90">
      <w:rPr>
        <w:rFonts w:ascii="Palatino Linotype" w:hAnsi="Palatino Linotype"/>
        <w:b/>
        <w:bCs/>
        <w:sz w:val="22"/>
      </w:rPr>
      <w:fldChar w:fldCharType="begin"/>
    </w:r>
    <w:r w:rsidRPr="00760C90">
      <w:rPr>
        <w:rFonts w:ascii="Palatino Linotype" w:hAnsi="Palatino Linotype"/>
        <w:b/>
        <w:bCs/>
        <w:sz w:val="22"/>
      </w:rPr>
      <w:instrText>NUMPAGES</w:instrText>
    </w:r>
    <w:r w:rsidRPr="00760C90">
      <w:rPr>
        <w:rFonts w:ascii="Palatino Linotype" w:hAnsi="Palatino Linotype"/>
        <w:b/>
        <w:bCs/>
        <w:sz w:val="22"/>
      </w:rPr>
      <w:fldChar w:fldCharType="separate"/>
    </w:r>
    <w:r w:rsidR="00760C90">
      <w:rPr>
        <w:rFonts w:ascii="Palatino Linotype" w:hAnsi="Palatino Linotype"/>
        <w:b/>
        <w:bCs/>
        <w:noProof/>
        <w:sz w:val="22"/>
      </w:rPr>
      <w:t>15</w:t>
    </w:r>
    <w:r w:rsidRPr="00760C90">
      <w:rPr>
        <w:rFonts w:ascii="Palatino Linotype" w:hAnsi="Palatino Linotype"/>
        <w:b/>
        <w:bCs/>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716" w:rsidRDefault="00492716" w:rsidP="00373347">
      <w:r>
        <w:separator/>
      </w:r>
    </w:p>
  </w:footnote>
  <w:footnote w:type="continuationSeparator" w:id="0">
    <w:p w:rsidR="00492716" w:rsidRDefault="00492716" w:rsidP="00373347">
      <w:r>
        <w:continuationSeparator/>
      </w:r>
    </w:p>
  </w:footnote>
  <w:footnote w:id="1">
    <w:p w:rsidR="00793440" w:rsidRDefault="00793440" w:rsidP="0079344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Emitidos por este Instituto y publicados en el Periódico Oficial del Gobierno del Estado de México “Gaceta del Gobierno” en fecha treinta de octubre de dos mil ocho.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84F" w:rsidRDefault="0049271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3" o:spid="_x0000_s2049" type="#_x0000_t75" alt="" style="position:absolute;margin-left:0;margin-top:0;width:589.8pt;height:768pt;z-index:-251657216;mso-wrap-edited:f;mso-width-percent:0;mso-height-percent:0;mso-position-horizontal:center;mso-position-horizontal-relative:margin;mso-position-vertical:center;mso-position-vertical-relative:margin;mso-width-percent:0;mso-height-percent:0" o:allowincell="f">
          <v:imagedata r:id="rId1" o:title="resolución infoem image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376" w:type="dxa"/>
      <w:tblInd w:w="2268" w:type="dxa"/>
      <w:tblLayout w:type="fixed"/>
      <w:tblLook w:val="0400" w:firstRow="0" w:lastRow="0" w:firstColumn="0" w:lastColumn="0" w:noHBand="0" w:noVBand="1"/>
    </w:tblPr>
    <w:tblGrid>
      <w:gridCol w:w="2694"/>
      <w:gridCol w:w="5682"/>
    </w:tblGrid>
    <w:tr w:rsidR="0050584F" w:rsidTr="00760C90">
      <w:tc>
        <w:tcPr>
          <w:tcW w:w="2694" w:type="dxa"/>
          <w:vAlign w:val="center"/>
        </w:tcPr>
        <w:p w:rsidR="0050584F" w:rsidRPr="00760C90" w:rsidRDefault="0000552E" w:rsidP="004A3AAF">
          <w:pPr>
            <w:rPr>
              <w:rFonts w:ascii="Palatino Linotype" w:eastAsia="Palatino Linotype" w:hAnsi="Palatino Linotype" w:cs="Palatino Linotype"/>
              <w:b/>
              <w:bCs/>
            </w:rPr>
          </w:pPr>
          <w:r w:rsidRPr="00760C90">
            <w:rPr>
              <w:rFonts w:ascii="Palatino Linotype" w:eastAsia="Palatino Linotype" w:hAnsi="Palatino Linotype" w:cs="Palatino Linotype"/>
              <w:b/>
              <w:bCs/>
            </w:rPr>
            <w:t>Recurso de Revisión:</w:t>
          </w:r>
        </w:p>
      </w:tc>
      <w:tc>
        <w:tcPr>
          <w:tcW w:w="5682" w:type="dxa"/>
          <w:vAlign w:val="center"/>
        </w:tcPr>
        <w:p w:rsidR="0050584F" w:rsidRPr="00760C90" w:rsidRDefault="00060FD6" w:rsidP="00760C90">
          <w:pPr>
            <w:ind w:left="-96" w:right="45" w:firstLine="96"/>
            <w:rPr>
              <w:rFonts w:ascii="Palatino Linotype" w:eastAsia="Palatino Linotype" w:hAnsi="Palatino Linotype" w:cs="Palatino Linotype"/>
              <w:bCs/>
            </w:rPr>
          </w:pPr>
          <w:r w:rsidRPr="00760C90">
            <w:rPr>
              <w:rFonts w:ascii="Palatino Linotype" w:eastAsia="Palatino Linotype" w:hAnsi="Palatino Linotype" w:cs="Palatino Linotype"/>
              <w:bCs/>
            </w:rPr>
            <w:t>006883/INFOEM/ICR-48/IP/RR/2025 y acumulados</w:t>
          </w:r>
        </w:p>
      </w:tc>
    </w:tr>
    <w:tr w:rsidR="0050584F" w:rsidTr="00760C90">
      <w:trPr>
        <w:trHeight w:val="228"/>
      </w:trPr>
      <w:tc>
        <w:tcPr>
          <w:tcW w:w="2694" w:type="dxa"/>
          <w:vAlign w:val="center"/>
        </w:tcPr>
        <w:p w:rsidR="0050584F" w:rsidRPr="00760C90" w:rsidRDefault="0000552E" w:rsidP="004A3AAF">
          <w:pPr>
            <w:rPr>
              <w:rFonts w:ascii="Palatino Linotype" w:eastAsia="Palatino Linotype" w:hAnsi="Palatino Linotype" w:cs="Palatino Linotype"/>
              <w:b/>
              <w:bCs/>
            </w:rPr>
          </w:pPr>
          <w:r w:rsidRPr="00760C90">
            <w:rPr>
              <w:rFonts w:ascii="Palatino Linotype" w:eastAsia="Palatino Linotype" w:hAnsi="Palatino Linotype" w:cs="Palatino Linotype"/>
              <w:b/>
              <w:bCs/>
            </w:rPr>
            <w:t>Sujeto Obligado:</w:t>
          </w:r>
        </w:p>
      </w:tc>
      <w:tc>
        <w:tcPr>
          <w:tcW w:w="5682" w:type="dxa"/>
          <w:shd w:val="clear" w:color="auto" w:fill="auto"/>
          <w:vAlign w:val="center"/>
        </w:tcPr>
        <w:p w:rsidR="0050584F" w:rsidRPr="00760C90" w:rsidRDefault="00373347" w:rsidP="00760C90">
          <w:pPr>
            <w:rPr>
              <w:rFonts w:ascii="Palatino Linotype" w:eastAsia="Palatino Linotype" w:hAnsi="Palatino Linotype" w:cs="Palatino Linotype"/>
              <w:bCs/>
            </w:rPr>
          </w:pPr>
          <w:r w:rsidRPr="00760C90">
            <w:rPr>
              <w:rFonts w:ascii="Palatino Linotype" w:eastAsia="Palatino Linotype" w:hAnsi="Palatino Linotype" w:cs="Palatino Linotype"/>
              <w:bCs/>
              <w:color w:val="000000"/>
            </w:rPr>
            <w:t>Ayuntamiento de Tepotzotlán</w:t>
          </w:r>
        </w:p>
      </w:tc>
    </w:tr>
    <w:tr w:rsidR="0050584F" w:rsidTr="00760C90">
      <w:tc>
        <w:tcPr>
          <w:tcW w:w="2694" w:type="dxa"/>
          <w:vAlign w:val="center"/>
        </w:tcPr>
        <w:p w:rsidR="0050584F" w:rsidRPr="00760C90" w:rsidRDefault="0000552E" w:rsidP="004A3AAF">
          <w:pPr>
            <w:rPr>
              <w:rFonts w:ascii="Palatino Linotype" w:eastAsia="Palatino Linotype" w:hAnsi="Palatino Linotype" w:cs="Palatino Linotype"/>
              <w:b/>
              <w:bCs/>
            </w:rPr>
          </w:pPr>
          <w:r w:rsidRPr="00760C90">
            <w:rPr>
              <w:rFonts w:ascii="Palatino Linotype" w:eastAsia="Palatino Linotype" w:hAnsi="Palatino Linotype" w:cs="Palatino Linotype"/>
              <w:b/>
              <w:bCs/>
            </w:rPr>
            <w:t>Comisionada Ponente:</w:t>
          </w:r>
        </w:p>
      </w:tc>
      <w:tc>
        <w:tcPr>
          <w:tcW w:w="5682" w:type="dxa"/>
          <w:vAlign w:val="center"/>
        </w:tcPr>
        <w:p w:rsidR="0050584F" w:rsidRPr="00760C90" w:rsidRDefault="0000552E" w:rsidP="00760C90">
          <w:pPr>
            <w:ind w:right="-533"/>
            <w:rPr>
              <w:rFonts w:ascii="Palatino Linotype" w:eastAsia="Palatino Linotype" w:hAnsi="Palatino Linotype" w:cs="Palatino Linotype"/>
              <w:bCs/>
            </w:rPr>
          </w:pPr>
          <w:r w:rsidRPr="00760C90">
            <w:rPr>
              <w:rFonts w:ascii="Palatino Linotype" w:eastAsia="Palatino Linotype" w:hAnsi="Palatino Linotype" w:cs="Palatino Linotype"/>
              <w:bCs/>
            </w:rPr>
            <w:t>María del Rosario Mejía Ayala</w:t>
          </w:r>
        </w:p>
      </w:tc>
    </w:tr>
  </w:tbl>
  <w:p w:rsidR="0050584F" w:rsidRPr="00443C6B" w:rsidRDefault="00492716" w:rsidP="0050584F">
    <w:pPr>
      <w:pStyle w:val="Encabezado"/>
      <w:rPr>
        <w:sz w:val="14"/>
      </w:rPr>
    </w:pPr>
    <w:r>
      <w:rPr>
        <w:noProof/>
        <w:sz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4" o:spid="_x0000_s2050" type="#_x0000_t75" alt="" style="position:absolute;margin-left:-74.95pt;margin-top:-110.35pt;width:589.8pt;height:768pt;z-index:-251656192;mso-wrap-edited:f;mso-width-percent:0;mso-height-percent:0;mso-position-horizontal-relative:margin;mso-position-vertical-relative:margin;mso-width-percent:0;mso-height-percent:0" o:allowincell="f">
          <v:imagedata r:id="rId1" o:title="resolución infoem image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939" w:type="dxa"/>
      <w:tblInd w:w="2268" w:type="dxa"/>
      <w:tblLayout w:type="fixed"/>
      <w:tblLook w:val="0400" w:firstRow="0" w:lastRow="0" w:firstColumn="0" w:lastColumn="0" w:noHBand="0" w:noVBand="1"/>
    </w:tblPr>
    <w:tblGrid>
      <w:gridCol w:w="2694"/>
      <w:gridCol w:w="5245"/>
    </w:tblGrid>
    <w:tr w:rsidR="0050584F" w:rsidTr="00760C90">
      <w:tc>
        <w:tcPr>
          <w:tcW w:w="2694" w:type="dxa"/>
          <w:vAlign w:val="center"/>
        </w:tcPr>
        <w:p w:rsidR="0050584F" w:rsidRPr="00760C90" w:rsidRDefault="0000552E" w:rsidP="00760C90">
          <w:pPr>
            <w:ind w:hanging="108"/>
            <w:rPr>
              <w:rFonts w:ascii="Palatino Linotype" w:eastAsia="Palatino Linotype" w:hAnsi="Palatino Linotype" w:cs="Palatino Linotype"/>
              <w:b/>
              <w:bCs/>
              <w:szCs w:val="22"/>
            </w:rPr>
          </w:pPr>
          <w:r w:rsidRPr="00760C90">
            <w:rPr>
              <w:rFonts w:ascii="Palatino Linotype" w:eastAsia="Palatino Linotype" w:hAnsi="Palatino Linotype" w:cs="Palatino Linotype"/>
              <w:b/>
              <w:bCs/>
              <w:szCs w:val="22"/>
            </w:rPr>
            <w:t>Recurso de Revisión:</w:t>
          </w:r>
        </w:p>
      </w:tc>
      <w:tc>
        <w:tcPr>
          <w:tcW w:w="5245" w:type="dxa"/>
          <w:vAlign w:val="center"/>
        </w:tcPr>
        <w:p w:rsidR="0050584F" w:rsidRPr="00760C90" w:rsidRDefault="0000552E" w:rsidP="00760C90">
          <w:pPr>
            <w:ind w:left="34" w:right="-250" w:hanging="108"/>
            <w:jc w:val="both"/>
            <w:rPr>
              <w:rFonts w:ascii="Palatino Linotype" w:eastAsia="Palatino Linotype" w:hAnsi="Palatino Linotype" w:cs="Palatino Linotype"/>
              <w:bCs/>
              <w:szCs w:val="22"/>
            </w:rPr>
          </w:pPr>
          <w:r w:rsidRPr="00760C90">
            <w:rPr>
              <w:rFonts w:ascii="Palatino Linotype" w:eastAsia="Palatino Linotype" w:hAnsi="Palatino Linotype" w:cs="Palatino Linotype"/>
              <w:bCs/>
              <w:szCs w:val="22"/>
            </w:rPr>
            <w:t xml:space="preserve"> </w:t>
          </w:r>
          <w:r w:rsidR="00373347" w:rsidRPr="00760C90">
            <w:rPr>
              <w:rFonts w:ascii="Palatino Linotype" w:eastAsia="Palatino Linotype" w:hAnsi="Palatino Linotype" w:cs="Palatino Linotype"/>
              <w:bCs/>
              <w:szCs w:val="22"/>
            </w:rPr>
            <w:t>06883/INFOEM/ICR-48/IP/RR/2025 y acumulados</w:t>
          </w:r>
        </w:p>
      </w:tc>
    </w:tr>
    <w:tr w:rsidR="0050584F" w:rsidTr="00760C90">
      <w:tc>
        <w:tcPr>
          <w:tcW w:w="2694" w:type="dxa"/>
          <w:vAlign w:val="center"/>
        </w:tcPr>
        <w:p w:rsidR="0050584F" w:rsidRPr="00760C90" w:rsidRDefault="0000552E" w:rsidP="00760C90">
          <w:pPr>
            <w:ind w:left="35" w:hanging="108"/>
            <w:rPr>
              <w:rFonts w:ascii="Palatino Linotype" w:eastAsia="Palatino Linotype" w:hAnsi="Palatino Linotype" w:cs="Palatino Linotype"/>
              <w:b/>
              <w:bCs/>
              <w:szCs w:val="22"/>
            </w:rPr>
          </w:pPr>
          <w:r w:rsidRPr="00760C90">
            <w:rPr>
              <w:rFonts w:ascii="Palatino Linotype" w:eastAsia="Palatino Linotype" w:hAnsi="Palatino Linotype" w:cs="Palatino Linotype"/>
              <w:b/>
              <w:bCs/>
              <w:szCs w:val="22"/>
            </w:rPr>
            <w:t>Recurrente:</w:t>
          </w:r>
        </w:p>
      </w:tc>
      <w:tc>
        <w:tcPr>
          <w:tcW w:w="5245" w:type="dxa"/>
          <w:shd w:val="clear" w:color="auto" w:fill="auto"/>
          <w:vAlign w:val="center"/>
        </w:tcPr>
        <w:p w:rsidR="0050584F" w:rsidRPr="00760C90" w:rsidRDefault="00492716" w:rsidP="00760C90">
          <w:pPr>
            <w:ind w:hanging="108"/>
            <w:rPr>
              <w:rFonts w:ascii="Palatino Linotype" w:eastAsia="Palatino Linotype" w:hAnsi="Palatino Linotype" w:cs="Palatino Linotype"/>
              <w:bCs/>
              <w:szCs w:val="22"/>
            </w:rPr>
          </w:pPr>
        </w:p>
      </w:tc>
    </w:tr>
    <w:tr w:rsidR="0050584F" w:rsidTr="00760C90">
      <w:trPr>
        <w:trHeight w:val="228"/>
      </w:trPr>
      <w:tc>
        <w:tcPr>
          <w:tcW w:w="2694" w:type="dxa"/>
          <w:vAlign w:val="center"/>
        </w:tcPr>
        <w:p w:rsidR="0050584F" w:rsidRPr="00760C90" w:rsidRDefault="0000552E" w:rsidP="00760C90">
          <w:pPr>
            <w:ind w:hanging="108"/>
            <w:rPr>
              <w:rFonts w:ascii="Palatino Linotype" w:eastAsia="Palatino Linotype" w:hAnsi="Palatino Linotype" w:cs="Palatino Linotype"/>
              <w:b/>
              <w:bCs/>
              <w:szCs w:val="22"/>
            </w:rPr>
          </w:pPr>
          <w:r w:rsidRPr="00760C90">
            <w:rPr>
              <w:rFonts w:ascii="Palatino Linotype" w:eastAsia="Palatino Linotype" w:hAnsi="Palatino Linotype" w:cs="Palatino Linotype"/>
              <w:b/>
              <w:bCs/>
              <w:szCs w:val="22"/>
            </w:rPr>
            <w:t>Sujeto Obligado:</w:t>
          </w:r>
        </w:p>
      </w:tc>
      <w:tc>
        <w:tcPr>
          <w:tcW w:w="5245" w:type="dxa"/>
          <w:shd w:val="clear" w:color="auto" w:fill="auto"/>
          <w:vAlign w:val="center"/>
        </w:tcPr>
        <w:p w:rsidR="0050584F" w:rsidRPr="00760C90" w:rsidRDefault="00373347" w:rsidP="00760C90">
          <w:pPr>
            <w:ind w:hanging="108"/>
            <w:jc w:val="both"/>
            <w:rPr>
              <w:rFonts w:ascii="Palatino Linotype" w:eastAsia="Palatino Linotype" w:hAnsi="Palatino Linotype" w:cs="Palatino Linotype"/>
              <w:szCs w:val="22"/>
            </w:rPr>
          </w:pPr>
          <w:r w:rsidRPr="00760C90">
            <w:rPr>
              <w:rFonts w:ascii="Palatino Linotype" w:eastAsia="Palatino Linotype" w:hAnsi="Palatino Linotype" w:cs="Palatino Linotype"/>
              <w:bCs/>
              <w:color w:val="000000"/>
              <w:szCs w:val="22"/>
            </w:rPr>
            <w:t>Ayuntamiento de Tepotzotlán</w:t>
          </w:r>
        </w:p>
      </w:tc>
    </w:tr>
    <w:tr w:rsidR="0050584F" w:rsidTr="00760C90">
      <w:tc>
        <w:tcPr>
          <w:tcW w:w="2694" w:type="dxa"/>
          <w:vAlign w:val="center"/>
        </w:tcPr>
        <w:p w:rsidR="0050584F" w:rsidRPr="00760C90" w:rsidRDefault="0000552E" w:rsidP="00760C90">
          <w:pPr>
            <w:ind w:hanging="108"/>
            <w:rPr>
              <w:rFonts w:ascii="Palatino Linotype" w:eastAsia="Palatino Linotype" w:hAnsi="Palatino Linotype" w:cs="Palatino Linotype"/>
              <w:b/>
              <w:bCs/>
              <w:szCs w:val="22"/>
            </w:rPr>
          </w:pPr>
          <w:r w:rsidRPr="00760C90">
            <w:rPr>
              <w:rFonts w:ascii="Palatino Linotype" w:eastAsia="Palatino Linotype" w:hAnsi="Palatino Linotype" w:cs="Palatino Linotype"/>
              <w:b/>
              <w:bCs/>
              <w:szCs w:val="22"/>
            </w:rPr>
            <w:t>Comisionada Ponente:</w:t>
          </w:r>
        </w:p>
      </w:tc>
      <w:tc>
        <w:tcPr>
          <w:tcW w:w="5245" w:type="dxa"/>
          <w:vAlign w:val="center"/>
        </w:tcPr>
        <w:p w:rsidR="0050584F" w:rsidRPr="00760C90" w:rsidRDefault="0000552E" w:rsidP="00760C90">
          <w:pPr>
            <w:ind w:right="-533" w:hanging="108"/>
            <w:jc w:val="both"/>
            <w:rPr>
              <w:rFonts w:ascii="Palatino Linotype" w:eastAsia="Palatino Linotype" w:hAnsi="Palatino Linotype" w:cs="Palatino Linotype"/>
              <w:bCs/>
              <w:szCs w:val="22"/>
            </w:rPr>
          </w:pPr>
          <w:r w:rsidRPr="00760C90">
            <w:rPr>
              <w:rFonts w:ascii="Palatino Linotype" w:eastAsia="Palatino Linotype" w:hAnsi="Palatino Linotype" w:cs="Palatino Linotype"/>
              <w:bCs/>
              <w:szCs w:val="22"/>
            </w:rPr>
            <w:t>María del Rosario Mejía Ayala</w:t>
          </w:r>
        </w:p>
      </w:tc>
    </w:tr>
  </w:tbl>
  <w:p w:rsidR="0050584F" w:rsidRPr="00827FA0" w:rsidRDefault="00492716" w:rsidP="0050584F">
    <w:pPr>
      <w:pStyle w:val="Encabezado"/>
      <w:rPr>
        <w:sz w:val="2"/>
        <w:szCs w:val="22"/>
      </w:rPr>
    </w:pPr>
    <w:r>
      <w:rPr>
        <w:noProof/>
        <w:sz w:val="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2" o:spid="_x0000_s2051" type="#_x0000_t75" alt="" style="position:absolute;margin-left:-79.65pt;margin-top:-111.45pt;width:589.8pt;height:768pt;z-index:-251655168;mso-wrap-edited:f;mso-width-percent:0;mso-height-percent:0;mso-position-horizontal-relative:margin;mso-position-vertical-relative:margin;mso-width-percent:0;mso-height-percent:0" o:allowincell="f">
          <v:imagedata r:id="rId1" o:title="resolución infoem image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317490"/>
    <w:multiLevelType w:val="hybridMultilevel"/>
    <w:tmpl w:val="1B2E098E"/>
    <w:lvl w:ilvl="0" w:tplc="92BE0B36">
      <w:start w:val="1"/>
      <w:numFmt w:val="decimal"/>
      <w:lvlText w:val="%1."/>
      <w:lvlJc w:val="left"/>
      <w:pPr>
        <w:ind w:left="360" w:hanging="360"/>
      </w:pPr>
      <w:rPr>
        <w:rFonts w:ascii="Palatino Linotype" w:hAnsi="Palatino Linotype" w:hint="default"/>
        <w:b/>
        <w:i w:val="0"/>
        <w:color w:val="auto"/>
        <w:sz w:val="24"/>
      </w:rPr>
    </w:lvl>
    <w:lvl w:ilvl="1" w:tplc="080A0013">
      <w:start w:val="1"/>
      <w:numFmt w:val="upperRoman"/>
      <w:lvlText w:val="%2."/>
      <w:lvlJc w:val="right"/>
      <w:pPr>
        <w:ind w:left="7525" w:hanging="720"/>
      </w:pPr>
      <w:rPr>
        <w:rFonts w:hint="default"/>
      </w:rPr>
    </w:lvl>
    <w:lvl w:ilvl="2" w:tplc="362EE9DC">
      <w:start w:val="4"/>
      <w:numFmt w:val="lowerLetter"/>
      <w:lvlText w:val="%3)"/>
      <w:lvlJc w:val="left"/>
      <w:pPr>
        <w:ind w:left="2340" w:hanging="360"/>
      </w:pPr>
      <w:rPr>
        <w:rFonts w:hint="default"/>
      </w:rPr>
    </w:lvl>
    <w:lvl w:ilvl="3" w:tplc="080A000F">
      <w:start w:val="1"/>
      <w:numFmt w:val="decimal"/>
      <w:lvlText w:val="%4."/>
      <w:lvlJc w:val="left"/>
      <w:pPr>
        <w:ind w:left="2880" w:hanging="360"/>
      </w:pPr>
    </w:lvl>
    <w:lvl w:ilvl="4" w:tplc="3B14BCD2">
      <w:start w:val="104"/>
      <w:numFmt w:val="decimal"/>
      <w:lvlText w:val="%5"/>
      <w:lvlJc w:val="left"/>
      <w:pPr>
        <w:ind w:left="3600" w:hanging="360"/>
      </w:pPr>
      <w:rPr>
        <w:rFonts w:hint="default"/>
        <w:b/>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7B12E1E"/>
    <w:multiLevelType w:val="multilevel"/>
    <w:tmpl w:val="DF509E76"/>
    <w:lvl w:ilvl="0">
      <w:start w:val="1"/>
      <w:numFmt w:val="decimal"/>
      <w:lvlText w:val="%1."/>
      <w:lvlJc w:val="left"/>
      <w:pPr>
        <w:ind w:left="928" w:hanging="360"/>
      </w:pPr>
      <w:rPr>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25E55BB"/>
    <w:multiLevelType w:val="hybridMultilevel"/>
    <w:tmpl w:val="53E0385E"/>
    <w:lvl w:ilvl="0" w:tplc="96A8332A">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3" w15:restartNumberingAfterBreak="0">
    <w:nsid w:val="433F06E8"/>
    <w:multiLevelType w:val="multilevel"/>
    <w:tmpl w:val="54FE1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1CD6A4E"/>
    <w:multiLevelType w:val="multilevel"/>
    <w:tmpl w:val="FA9E1BFA"/>
    <w:lvl w:ilvl="0">
      <w:start w:val="1"/>
      <w:numFmt w:val="decimal"/>
      <w:lvlText w:val="%1."/>
      <w:lvlJc w:val="left"/>
      <w:pPr>
        <w:ind w:left="928"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7044E2C"/>
    <w:multiLevelType w:val="multilevel"/>
    <w:tmpl w:val="841C88E0"/>
    <w:lvl w:ilvl="0">
      <w:start w:val="1"/>
      <w:numFmt w:val="upperRoman"/>
      <w:lvlText w:val="%1."/>
      <w:lvlJc w:val="left"/>
      <w:pPr>
        <w:ind w:left="1146" w:hanging="72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347"/>
    <w:rsid w:val="0000552E"/>
    <w:rsid w:val="00060FD6"/>
    <w:rsid w:val="00372DBA"/>
    <w:rsid w:val="00373347"/>
    <w:rsid w:val="00492716"/>
    <w:rsid w:val="004E21DC"/>
    <w:rsid w:val="00744F04"/>
    <w:rsid w:val="00760C90"/>
    <w:rsid w:val="00793440"/>
    <w:rsid w:val="00944DDD"/>
    <w:rsid w:val="00A42318"/>
    <w:rsid w:val="00B853CA"/>
    <w:rsid w:val="00D11A7A"/>
    <w:rsid w:val="00DB1B94"/>
    <w:rsid w:val="00E127A5"/>
    <w:rsid w:val="00E406A1"/>
    <w:rsid w:val="00E4784B"/>
    <w:rsid w:val="00E87850"/>
    <w:rsid w:val="00EB0D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3D2D0D79-ECEA-46C1-B61A-1ABFFBD7F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347"/>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B853CA"/>
    <w:pPr>
      <w:keepNext/>
      <w:keepLines/>
      <w:spacing w:before="240"/>
      <w:outlineLvl w:val="0"/>
    </w:pPr>
    <w:rPr>
      <w:rFonts w:asciiTheme="majorHAnsi" w:eastAsiaTheme="majorEastAsia" w:hAnsiTheme="majorHAnsi" w:cstheme="majorBidi"/>
      <w:color w:val="2E74B5" w:themeColor="accent1" w:themeShade="BF"/>
      <w:sz w:val="32"/>
      <w:szCs w:val="32"/>
      <w:lang w:val="es-ES_tradnl" w:eastAsia="es-ES"/>
    </w:rPr>
  </w:style>
  <w:style w:type="paragraph" w:styleId="Ttulo2">
    <w:name w:val="heading 2"/>
    <w:basedOn w:val="Normal"/>
    <w:next w:val="Normal"/>
    <w:link w:val="Ttulo2Car"/>
    <w:uiPriority w:val="9"/>
    <w:unhideWhenUsed/>
    <w:qFormat/>
    <w:rsid w:val="00B853CA"/>
    <w:pPr>
      <w:keepNext/>
      <w:keepLines/>
      <w:spacing w:before="40"/>
      <w:outlineLvl w:val="1"/>
    </w:pPr>
    <w:rPr>
      <w:rFonts w:asciiTheme="majorHAnsi" w:eastAsiaTheme="majorEastAsia" w:hAnsiTheme="majorHAnsi" w:cstheme="majorBidi"/>
      <w:color w:val="2E74B5" w:themeColor="accent1" w:themeShade="BF"/>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3347"/>
    <w:pPr>
      <w:tabs>
        <w:tab w:val="center" w:pos="4419"/>
        <w:tab w:val="right" w:pos="8838"/>
      </w:tabs>
    </w:pPr>
  </w:style>
  <w:style w:type="character" w:customStyle="1" w:styleId="EncabezadoCar">
    <w:name w:val="Encabezado Car"/>
    <w:basedOn w:val="Fuentedeprrafopredeter"/>
    <w:link w:val="Encabezado"/>
    <w:uiPriority w:val="99"/>
    <w:rsid w:val="00373347"/>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373347"/>
    <w:pPr>
      <w:tabs>
        <w:tab w:val="center" w:pos="4419"/>
        <w:tab w:val="right" w:pos="8838"/>
      </w:tabs>
    </w:pPr>
  </w:style>
  <w:style w:type="character" w:customStyle="1" w:styleId="PiedepginaCar">
    <w:name w:val="Pie de página Car"/>
    <w:basedOn w:val="Fuentedeprrafopredeter"/>
    <w:link w:val="Piedepgina"/>
    <w:uiPriority w:val="99"/>
    <w:rsid w:val="00373347"/>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73347"/>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373347"/>
    <w:rPr>
      <w:rFonts w:ascii="Century Gothic" w:eastAsia="Times New Roman" w:hAnsi="Century Gothic" w:cs="Times New Roman"/>
      <w:szCs w:val="24"/>
      <w:lang w:eastAsia="es-MX"/>
    </w:rPr>
  </w:style>
  <w:style w:type="table" w:styleId="Tablaconcuadrcula">
    <w:name w:val="Table Grid"/>
    <w:basedOn w:val="Tablanormal"/>
    <w:uiPriority w:val="39"/>
    <w:rsid w:val="00793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93440"/>
    <w:rPr>
      <w:color w:val="0563C1" w:themeColor="hyperlink"/>
      <w:u w:val="single"/>
    </w:rPr>
  </w:style>
  <w:style w:type="character" w:customStyle="1" w:styleId="Ttulo1Car">
    <w:name w:val="Título 1 Car"/>
    <w:basedOn w:val="Fuentedeprrafopredeter"/>
    <w:link w:val="Ttulo1"/>
    <w:uiPriority w:val="9"/>
    <w:rsid w:val="00B853CA"/>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B853CA"/>
    <w:rPr>
      <w:rFonts w:asciiTheme="majorHAnsi" w:eastAsiaTheme="majorEastAsia" w:hAnsiTheme="majorHAnsi" w:cstheme="majorBidi"/>
      <w:color w:val="2E74B5" w:themeColor="accent1" w:themeShade="BF"/>
      <w:sz w:val="26"/>
      <w:szCs w:val="2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potzotlan.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15</Pages>
  <Words>3390</Words>
  <Characters>18646</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6</cp:revision>
  <cp:lastPrinted>2026-02-27T15:59:00Z</cp:lastPrinted>
  <dcterms:created xsi:type="dcterms:W3CDTF">2026-02-16T21:21:00Z</dcterms:created>
  <dcterms:modified xsi:type="dcterms:W3CDTF">2026-03-03T19:10:00Z</dcterms:modified>
</cp:coreProperties>
</file>