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AA9A0" w14:textId="458F8FFA"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B2BFB" w:rsidRPr="008F6764">
        <w:rPr>
          <w:rFonts w:ascii="Palatino Linotype" w:eastAsia="Palatino Linotype" w:hAnsi="Palatino Linotype" w:cs="Palatino Linotype"/>
        </w:rPr>
        <w:t>veinte</w:t>
      </w:r>
      <w:r w:rsidR="007C1F36" w:rsidRPr="008F6764">
        <w:rPr>
          <w:rFonts w:ascii="Palatino Linotype" w:eastAsia="Palatino Linotype" w:hAnsi="Palatino Linotype" w:cs="Palatino Linotype"/>
        </w:rPr>
        <w:t xml:space="preserve"> de noviembre </w:t>
      </w:r>
      <w:r w:rsidRPr="008F6764">
        <w:rPr>
          <w:rFonts w:ascii="Palatino Linotype" w:eastAsia="Palatino Linotype" w:hAnsi="Palatino Linotype" w:cs="Palatino Linotype"/>
        </w:rPr>
        <w:t xml:space="preserve"> de dos mil veinticinco. </w:t>
      </w:r>
    </w:p>
    <w:p w14:paraId="027A499A" w14:textId="77777777" w:rsidR="004639EE" w:rsidRPr="008F6764" w:rsidRDefault="004639EE">
      <w:pPr>
        <w:spacing w:after="0" w:line="360" w:lineRule="auto"/>
        <w:ind w:right="49"/>
        <w:jc w:val="center"/>
        <w:rPr>
          <w:rFonts w:ascii="Palatino Linotype" w:eastAsia="Palatino Linotype" w:hAnsi="Palatino Linotype" w:cs="Palatino Linotype"/>
        </w:rPr>
      </w:pPr>
    </w:p>
    <w:p w14:paraId="286650B2" w14:textId="7B45BE84"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Visto el expediente relativo al recurso de revisión </w:t>
      </w:r>
      <w:r w:rsidR="007C1F36" w:rsidRPr="008F6764">
        <w:rPr>
          <w:rFonts w:ascii="Palatino Linotype" w:eastAsia="Palatino Linotype" w:hAnsi="Palatino Linotype" w:cs="Palatino Linotype"/>
          <w:b/>
        </w:rPr>
        <w:t>07399</w:t>
      </w:r>
      <w:r w:rsidRPr="008F6764">
        <w:rPr>
          <w:rFonts w:ascii="Palatino Linotype" w:eastAsia="Palatino Linotype" w:hAnsi="Palatino Linotype" w:cs="Palatino Linotype"/>
          <w:b/>
        </w:rPr>
        <w:t>/INFOEM/IP/RR/2025</w:t>
      </w:r>
      <w:r w:rsidRPr="008F6764">
        <w:rPr>
          <w:rFonts w:ascii="Palatino Linotype" w:eastAsia="Palatino Linotype" w:hAnsi="Palatino Linotype" w:cs="Palatino Linotype"/>
        </w:rPr>
        <w:t xml:space="preserve">, interpuesto por </w:t>
      </w:r>
      <w:r w:rsidR="004461B0" w:rsidRPr="004461B0">
        <w:rPr>
          <w:rFonts w:ascii="Palatino Linotype" w:eastAsia="Palatino Linotype" w:hAnsi="Palatino Linotype" w:cs="Palatino Linotype"/>
          <w:b/>
        </w:rPr>
        <w:t>XXXX XXX XXXXX XXXX</w:t>
      </w:r>
      <w:r w:rsidRPr="004461B0">
        <w:rPr>
          <w:rFonts w:ascii="Palatino Linotype" w:eastAsia="Palatino Linotype" w:hAnsi="Palatino Linotype" w:cs="Palatino Linotype"/>
          <w:b/>
        </w:rPr>
        <w:t>,</w:t>
      </w:r>
      <w:bookmarkStart w:id="0" w:name="_GoBack"/>
      <w:bookmarkEnd w:id="0"/>
      <w:r w:rsidRPr="008F6764">
        <w:rPr>
          <w:rFonts w:ascii="Palatino Linotype" w:eastAsia="Palatino Linotype" w:hAnsi="Palatino Linotype" w:cs="Palatino Linotype"/>
        </w:rPr>
        <w:t xml:space="preserve"> al cual en lo sucesivo se le denominará la parte </w:t>
      </w:r>
      <w:r w:rsidRPr="008F6764">
        <w:rPr>
          <w:rFonts w:ascii="Palatino Linotype" w:eastAsia="Palatino Linotype" w:hAnsi="Palatino Linotype" w:cs="Palatino Linotype"/>
          <w:b/>
        </w:rPr>
        <w:t>RECURRENTE</w:t>
      </w:r>
      <w:r w:rsidRPr="008F6764">
        <w:rPr>
          <w:rFonts w:ascii="Palatino Linotype" w:eastAsia="Palatino Linotype" w:hAnsi="Palatino Linotype" w:cs="Palatino Linotype"/>
        </w:rPr>
        <w:t xml:space="preserve">, en contra de la respuesta a su solicitud de información identificada con número de folio </w:t>
      </w:r>
      <w:r w:rsidR="00BF59AB" w:rsidRPr="008F6764">
        <w:rPr>
          <w:rFonts w:ascii="Palatino Linotype" w:eastAsia="Palatino Linotype" w:hAnsi="Palatino Linotype" w:cs="Palatino Linotype"/>
          <w:b/>
        </w:rPr>
        <w:t>00247</w:t>
      </w:r>
      <w:r w:rsidRPr="008F6764">
        <w:rPr>
          <w:rFonts w:ascii="Palatino Linotype" w:eastAsia="Palatino Linotype" w:hAnsi="Palatino Linotype" w:cs="Palatino Linotype"/>
          <w:b/>
        </w:rPr>
        <w:t>/</w:t>
      </w:r>
      <w:r w:rsidR="00BF59AB" w:rsidRPr="008F6764">
        <w:rPr>
          <w:rFonts w:ascii="Palatino Linotype" w:eastAsia="Palatino Linotype" w:hAnsi="Palatino Linotype" w:cs="Palatino Linotype"/>
          <w:b/>
        </w:rPr>
        <w:t>TEPOTZOT</w:t>
      </w:r>
      <w:r w:rsidR="00837F1B" w:rsidRPr="008F6764">
        <w:rPr>
          <w:rFonts w:ascii="Palatino Linotype" w:eastAsia="Palatino Linotype" w:hAnsi="Palatino Linotype" w:cs="Palatino Linotype"/>
          <w:b/>
        </w:rPr>
        <w:t>/</w:t>
      </w:r>
      <w:r w:rsidRPr="008F6764">
        <w:rPr>
          <w:rFonts w:ascii="Palatino Linotype" w:eastAsia="Palatino Linotype" w:hAnsi="Palatino Linotype" w:cs="Palatino Linotype"/>
          <w:b/>
        </w:rPr>
        <w:t xml:space="preserve">IP/2025 </w:t>
      </w:r>
      <w:r w:rsidRPr="008F6764">
        <w:rPr>
          <w:rFonts w:ascii="Palatino Linotype" w:eastAsia="Palatino Linotype" w:hAnsi="Palatino Linotype" w:cs="Palatino Linotype"/>
        </w:rPr>
        <w:t xml:space="preserve">proporcionada por parte del </w:t>
      </w:r>
      <w:r w:rsidRPr="008F6764">
        <w:rPr>
          <w:rFonts w:ascii="Palatino Linotype" w:eastAsia="Palatino Linotype" w:hAnsi="Palatino Linotype" w:cs="Palatino Linotype"/>
          <w:b/>
        </w:rPr>
        <w:t xml:space="preserve">Ayuntamiento de </w:t>
      </w:r>
      <w:r w:rsidR="00BF59AB" w:rsidRPr="008F6764">
        <w:rPr>
          <w:rFonts w:ascii="Palatino Linotype" w:eastAsia="Palatino Linotype" w:hAnsi="Palatino Linotype" w:cs="Palatino Linotype"/>
          <w:b/>
        </w:rPr>
        <w:t>Tepotzotlán</w:t>
      </w:r>
      <w:r w:rsidRPr="008F6764">
        <w:rPr>
          <w:rFonts w:ascii="Palatino Linotype" w:eastAsia="Palatino Linotype" w:hAnsi="Palatino Linotype" w:cs="Palatino Linotype"/>
        </w:rPr>
        <w:t xml:space="preserve">, en lo sucesivo el </w:t>
      </w:r>
      <w:r w:rsidRPr="008F6764">
        <w:rPr>
          <w:rFonts w:ascii="Palatino Linotype" w:eastAsia="Palatino Linotype" w:hAnsi="Palatino Linotype" w:cs="Palatino Linotype"/>
          <w:b/>
        </w:rPr>
        <w:t>SUJETO OBLIGADO</w:t>
      </w:r>
      <w:r w:rsidRPr="008F6764">
        <w:rPr>
          <w:rFonts w:ascii="Palatino Linotype" w:eastAsia="Palatino Linotype" w:hAnsi="Palatino Linotype" w:cs="Palatino Linotype"/>
        </w:rPr>
        <w:t>; se procede a dictar la presente resolución, con base en los siguientes:</w:t>
      </w:r>
    </w:p>
    <w:p w14:paraId="78327589" w14:textId="77777777" w:rsidR="004639EE" w:rsidRPr="008F6764" w:rsidRDefault="004639EE">
      <w:pPr>
        <w:spacing w:after="0" w:line="360" w:lineRule="auto"/>
        <w:ind w:right="49"/>
        <w:jc w:val="both"/>
        <w:rPr>
          <w:rFonts w:ascii="Palatino Linotype" w:eastAsia="Palatino Linotype" w:hAnsi="Palatino Linotype" w:cs="Palatino Linotype"/>
        </w:rPr>
      </w:pPr>
    </w:p>
    <w:p w14:paraId="42D3F471" w14:textId="77777777" w:rsidR="004639EE" w:rsidRPr="008F6764" w:rsidRDefault="00E72281">
      <w:pPr>
        <w:spacing w:after="0" w:line="360" w:lineRule="auto"/>
        <w:ind w:right="49"/>
        <w:jc w:val="center"/>
        <w:rPr>
          <w:rFonts w:ascii="Palatino Linotype" w:eastAsia="Palatino Linotype" w:hAnsi="Palatino Linotype" w:cs="Palatino Linotype"/>
          <w:b/>
        </w:rPr>
      </w:pPr>
      <w:r w:rsidRPr="008F6764">
        <w:rPr>
          <w:rFonts w:ascii="Palatino Linotype" w:eastAsia="Palatino Linotype" w:hAnsi="Palatino Linotype" w:cs="Palatino Linotype"/>
          <w:b/>
        </w:rPr>
        <w:t>I.</w:t>
      </w:r>
      <w:r w:rsidRPr="008F6764">
        <w:rPr>
          <w:rFonts w:ascii="Palatino Linotype" w:eastAsia="Palatino Linotype" w:hAnsi="Palatino Linotype" w:cs="Palatino Linotype"/>
          <w:b/>
        </w:rPr>
        <w:tab/>
        <w:t>A N T E C E D E N T E S</w:t>
      </w:r>
    </w:p>
    <w:p w14:paraId="58556DA3" w14:textId="77777777" w:rsidR="004639EE" w:rsidRPr="008F6764" w:rsidRDefault="004639EE">
      <w:pPr>
        <w:spacing w:after="0" w:line="360" w:lineRule="auto"/>
        <w:ind w:right="49"/>
        <w:jc w:val="both"/>
        <w:rPr>
          <w:rFonts w:ascii="Palatino Linotype" w:eastAsia="Palatino Linotype" w:hAnsi="Palatino Linotype" w:cs="Palatino Linotype"/>
        </w:rPr>
      </w:pPr>
    </w:p>
    <w:p w14:paraId="605BF734" w14:textId="23FB90AE" w:rsidR="004639EE" w:rsidRPr="008F6764"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t>Solicitud de acceso a la información.</w:t>
      </w:r>
      <w:r w:rsidRPr="008F6764">
        <w:rPr>
          <w:rFonts w:ascii="Palatino Linotype" w:eastAsia="Palatino Linotype" w:hAnsi="Palatino Linotype" w:cs="Palatino Linotype"/>
        </w:rPr>
        <w:t xml:space="preserve"> Con fecha </w:t>
      </w:r>
      <w:r w:rsidR="00BF59AB" w:rsidRPr="008F6764">
        <w:rPr>
          <w:rFonts w:ascii="Palatino Linotype" w:eastAsia="Palatino Linotype" w:hAnsi="Palatino Linotype" w:cs="Palatino Linotype"/>
          <w:b/>
        </w:rPr>
        <w:t>veintiocho</w:t>
      </w:r>
      <w:r w:rsidR="00837F1B" w:rsidRPr="008F6764">
        <w:rPr>
          <w:rFonts w:ascii="Palatino Linotype" w:eastAsia="Palatino Linotype" w:hAnsi="Palatino Linotype" w:cs="Palatino Linotype"/>
          <w:b/>
        </w:rPr>
        <w:t xml:space="preserve"> de mayo</w:t>
      </w:r>
      <w:r w:rsidRPr="008F6764">
        <w:rPr>
          <w:rFonts w:ascii="Palatino Linotype" w:eastAsia="Palatino Linotype" w:hAnsi="Palatino Linotype" w:cs="Palatino Linotype"/>
          <w:b/>
        </w:rPr>
        <w:t xml:space="preserve"> de dos mil veinticinco</w:t>
      </w:r>
      <w:r w:rsidRPr="008F6764">
        <w:rPr>
          <w:rFonts w:ascii="Palatino Linotype" w:eastAsia="Palatino Linotype" w:hAnsi="Palatino Linotype" w:cs="Palatino Linotype"/>
        </w:rPr>
        <w:t xml:space="preserve">, la parte </w:t>
      </w:r>
      <w:r w:rsidRPr="008F6764">
        <w:rPr>
          <w:rFonts w:ascii="Palatino Linotype" w:eastAsia="Palatino Linotype" w:hAnsi="Palatino Linotype" w:cs="Palatino Linotype"/>
          <w:b/>
        </w:rPr>
        <w:t>RECURRENTE</w:t>
      </w:r>
      <w:r w:rsidRPr="008F6764">
        <w:rPr>
          <w:rFonts w:ascii="Palatino Linotype" w:eastAsia="Palatino Linotype" w:hAnsi="Palatino Linotype" w:cs="Palatino Linotype"/>
        </w:rPr>
        <w:t xml:space="preserve"> formuló solicitud de acceso a información pública al</w:t>
      </w:r>
      <w:r w:rsidRPr="008F6764">
        <w:rPr>
          <w:rFonts w:ascii="Palatino Linotype" w:eastAsia="Palatino Linotype" w:hAnsi="Palatino Linotype" w:cs="Palatino Linotype"/>
          <w:b/>
        </w:rPr>
        <w:t xml:space="preserve"> SUJETO OBLIGADO</w:t>
      </w:r>
      <w:r w:rsidRPr="008F6764">
        <w:rPr>
          <w:rFonts w:ascii="Palatino Linotype" w:eastAsia="Palatino Linotype" w:hAnsi="Palatino Linotype" w:cs="Palatino Linotype"/>
        </w:rPr>
        <w:t xml:space="preserve"> a través del Sistema de Acceso a la Información </w:t>
      </w:r>
      <w:r w:rsidR="00BF59AB" w:rsidRPr="008F6764">
        <w:rPr>
          <w:rFonts w:ascii="Palatino Linotype" w:eastAsia="Palatino Linotype" w:hAnsi="Palatino Linotype" w:cs="Palatino Linotype"/>
        </w:rPr>
        <w:t xml:space="preserve">Mexiquense, en adelante SAIMEX, </w:t>
      </w:r>
      <w:r w:rsidRPr="008F6764">
        <w:rPr>
          <w:rFonts w:ascii="Palatino Linotype" w:eastAsia="Palatino Linotype" w:hAnsi="Palatino Linotype" w:cs="Palatino Linotype"/>
        </w:rPr>
        <w:t xml:space="preserve">en la que requirió lo siguiente: </w:t>
      </w:r>
    </w:p>
    <w:p w14:paraId="432782CC" w14:textId="77777777" w:rsidR="004639EE" w:rsidRPr="008F6764" w:rsidRDefault="00E72281">
      <w:pPr>
        <w:tabs>
          <w:tab w:val="left" w:pos="1530"/>
        </w:tabs>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ab/>
      </w:r>
    </w:p>
    <w:p w14:paraId="5DD19E14" w14:textId="4F200E3D" w:rsidR="004639EE" w:rsidRPr="008F6764" w:rsidRDefault="00E72281">
      <w:pPr>
        <w:spacing w:after="0" w:line="240" w:lineRule="auto"/>
        <w:ind w:left="567" w:right="560"/>
        <w:jc w:val="both"/>
        <w:rPr>
          <w:rFonts w:ascii="Palatino Linotype" w:eastAsia="Palatino Linotype" w:hAnsi="Palatino Linotype" w:cs="Palatino Linotype"/>
          <w:i/>
        </w:rPr>
      </w:pPr>
      <w:bookmarkStart w:id="1" w:name="_heading=h.30j0zll" w:colFirst="0" w:colLast="0"/>
      <w:bookmarkEnd w:id="1"/>
      <w:r w:rsidRPr="008F6764">
        <w:rPr>
          <w:rFonts w:ascii="Palatino Linotype" w:eastAsia="Palatino Linotype" w:hAnsi="Palatino Linotype" w:cs="Palatino Linotype"/>
          <w:i/>
        </w:rPr>
        <w:t>“</w:t>
      </w:r>
      <w:r w:rsidR="00BF59AB" w:rsidRPr="008F6764">
        <w:rPr>
          <w:rFonts w:ascii="Palatino Linotype" w:eastAsia="Palatino Linotype" w:hAnsi="Palatino Linotype" w:cs="Palatino Linotype"/>
          <w:i/>
        </w:rPr>
        <w:t>Solicito conocer el número de nómina, sueldo mensual bruto, área de adscripción de todo servidor publico del ayuntamiento de tepotzotlan, que cobre via nómina o por cheque, honorarios, o servicios profesionales de todas las áreas del ayuntamiento de acuerdo a su organigrama es decir, direcciones, jefaturas y áreas de la administración municipal incluído seguridad pública y c4”</w:t>
      </w:r>
    </w:p>
    <w:p w14:paraId="4DAA5A87" w14:textId="77777777" w:rsidR="004639EE" w:rsidRPr="008F6764" w:rsidRDefault="00E72281">
      <w:pPr>
        <w:spacing w:after="0"/>
        <w:ind w:left="567" w:right="560"/>
        <w:jc w:val="both"/>
        <w:rPr>
          <w:rFonts w:ascii="Palatino Linotype" w:eastAsia="Palatino Linotype" w:hAnsi="Palatino Linotype" w:cs="Palatino Linotype"/>
          <w:i/>
        </w:rPr>
      </w:pPr>
      <w:r w:rsidRPr="008F6764">
        <w:rPr>
          <w:rFonts w:ascii="Palatino Linotype" w:eastAsia="Palatino Linotype" w:hAnsi="Palatino Linotype" w:cs="Palatino Linotype"/>
          <w:i/>
        </w:rPr>
        <w:t xml:space="preserve"> </w:t>
      </w:r>
    </w:p>
    <w:p w14:paraId="1B5FD126" w14:textId="77777777"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b/>
        </w:rPr>
        <w:t>Modalidad elegida para la entrega de la información:</w:t>
      </w:r>
      <w:r w:rsidRPr="008F6764">
        <w:rPr>
          <w:rFonts w:ascii="Palatino Linotype" w:eastAsia="Palatino Linotype" w:hAnsi="Palatino Linotype" w:cs="Palatino Linotype"/>
        </w:rPr>
        <w:t xml:space="preserve"> a través del Sistema de Acceso a la Información Mexiquense (SAIMEX). </w:t>
      </w:r>
    </w:p>
    <w:p w14:paraId="45E76C0E" w14:textId="77777777" w:rsidR="004639EE" w:rsidRPr="008F6764" w:rsidRDefault="004639EE">
      <w:pPr>
        <w:spacing w:after="0" w:line="360" w:lineRule="auto"/>
        <w:ind w:right="49"/>
        <w:jc w:val="both"/>
        <w:rPr>
          <w:rFonts w:ascii="Palatino Linotype" w:eastAsia="Palatino Linotype" w:hAnsi="Palatino Linotype" w:cs="Palatino Linotype"/>
        </w:rPr>
      </w:pPr>
    </w:p>
    <w:p w14:paraId="5A293957" w14:textId="4E533F91" w:rsidR="004639EE" w:rsidRPr="008F6764" w:rsidRDefault="00E72281" w:rsidP="00837F1B">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lastRenderedPageBreak/>
        <w:t xml:space="preserve">Respuesta. </w:t>
      </w:r>
      <w:r w:rsidRPr="008F6764">
        <w:rPr>
          <w:rFonts w:ascii="Palatino Linotype" w:eastAsia="Palatino Linotype" w:hAnsi="Palatino Linotype" w:cs="Palatino Linotype"/>
        </w:rPr>
        <w:t xml:space="preserve">En </w:t>
      </w:r>
      <w:r w:rsidR="00BF59AB" w:rsidRPr="008F6764">
        <w:rPr>
          <w:rFonts w:ascii="Palatino Linotype" w:eastAsia="Palatino Linotype" w:hAnsi="Palatino Linotype" w:cs="Palatino Linotype"/>
          <w:b/>
        </w:rPr>
        <w:t>catorce de junio</w:t>
      </w:r>
      <w:r w:rsidRPr="008F6764">
        <w:rPr>
          <w:rFonts w:ascii="Palatino Linotype" w:eastAsia="Palatino Linotype" w:hAnsi="Palatino Linotype" w:cs="Palatino Linotype"/>
          <w:b/>
        </w:rPr>
        <w:t xml:space="preserve"> de dos mil veinticinco</w:t>
      </w:r>
      <w:r w:rsidRPr="008F6764">
        <w:rPr>
          <w:rFonts w:ascii="Palatino Linotype" w:eastAsia="Palatino Linotype" w:hAnsi="Palatino Linotype" w:cs="Palatino Linotype"/>
        </w:rPr>
        <w:t xml:space="preserve">, </w:t>
      </w:r>
      <w:r w:rsidR="00837F1B" w:rsidRPr="008F6764">
        <w:rPr>
          <w:rFonts w:ascii="Palatino Linotype" w:eastAsia="Palatino Linotype" w:hAnsi="Palatino Linotype" w:cs="Palatino Linotype"/>
        </w:rPr>
        <w:t xml:space="preserve">el </w:t>
      </w:r>
      <w:r w:rsidR="00837F1B" w:rsidRPr="008F6764">
        <w:rPr>
          <w:rFonts w:ascii="Palatino Linotype" w:eastAsia="Palatino Linotype" w:hAnsi="Palatino Linotype" w:cs="Palatino Linotype"/>
          <w:b/>
        </w:rPr>
        <w:t xml:space="preserve">SUJETO OBLIGADO </w:t>
      </w:r>
      <w:r w:rsidR="00837F1B" w:rsidRPr="008F6764">
        <w:rPr>
          <w:rFonts w:ascii="Palatino Linotype" w:eastAsia="Palatino Linotype" w:hAnsi="Palatino Linotype" w:cs="Palatino Linotype"/>
        </w:rPr>
        <w:t xml:space="preserve">remitió su respuesta, la cual fue del conocimiento de las partes. </w:t>
      </w:r>
    </w:p>
    <w:p w14:paraId="7A8999CA" w14:textId="77777777" w:rsidR="00837F1B" w:rsidRPr="008F6764"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DDDCC3" w14:textId="6C7E6E1E" w:rsidR="004639EE" w:rsidRPr="008F6764"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t xml:space="preserve">Recurso de Revisión. </w:t>
      </w:r>
      <w:r w:rsidRPr="008F6764">
        <w:rPr>
          <w:rFonts w:ascii="Palatino Linotype" w:eastAsia="Palatino Linotype" w:hAnsi="Palatino Linotype" w:cs="Palatino Linotype"/>
        </w:rPr>
        <w:t xml:space="preserve">En fecha </w:t>
      </w:r>
      <w:r w:rsidR="00BF59AB" w:rsidRPr="008F6764">
        <w:rPr>
          <w:rFonts w:ascii="Palatino Linotype" w:eastAsia="Palatino Linotype" w:hAnsi="Palatino Linotype" w:cs="Palatino Linotype"/>
          <w:b/>
        </w:rPr>
        <w:t>dieciocho</w:t>
      </w:r>
      <w:r w:rsidR="00837F1B" w:rsidRPr="008F6764">
        <w:rPr>
          <w:rFonts w:ascii="Palatino Linotype" w:eastAsia="Palatino Linotype" w:hAnsi="Palatino Linotype" w:cs="Palatino Linotype"/>
          <w:b/>
        </w:rPr>
        <w:t xml:space="preserve"> de junio</w:t>
      </w:r>
      <w:r w:rsidRPr="008F6764">
        <w:rPr>
          <w:rFonts w:ascii="Palatino Linotype" w:eastAsia="Palatino Linotype" w:hAnsi="Palatino Linotype" w:cs="Palatino Linotype"/>
          <w:b/>
        </w:rPr>
        <w:t xml:space="preserve"> de dos mil veinticinco</w:t>
      </w:r>
      <w:r w:rsidRPr="008F6764">
        <w:rPr>
          <w:rFonts w:ascii="Palatino Linotype" w:eastAsia="Palatino Linotype" w:hAnsi="Palatino Linotype" w:cs="Palatino Linotype"/>
        </w:rPr>
        <w:t xml:space="preserve"> la persona Solicitante interpuso Recurso de Revisión a través del </w:t>
      </w:r>
      <w:r w:rsidRPr="008F6764">
        <w:rPr>
          <w:rFonts w:ascii="Palatino Linotype" w:eastAsia="Palatino Linotype" w:hAnsi="Palatino Linotype" w:cs="Palatino Linotype"/>
          <w:b/>
        </w:rPr>
        <w:t>SAIMEX</w:t>
      </w:r>
      <w:r w:rsidRPr="008F6764">
        <w:rPr>
          <w:rFonts w:ascii="Palatino Linotype" w:eastAsia="Palatino Linotype" w:hAnsi="Palatino Linotype" w:cs="Palatino Linotype"/>
        </w:rPr>
        <w:t>, a través del cual expresó lo siguiente:</w:t>
      </w:r>
    </w:p>
    <w:p w14:paraId="596ADA6A" w14:textId="77777777" w:rsidR="004639EE" w:rsidRPr="008F6764"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349E979" w14:textId="59904490" w:rsidR="004639EE" w:rsidRPr="008F6764" w:rsidRDefault="00E72281"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8F6764">
        <w:rPr>
          <w:rFonts w:ascii="Palatino Linotype" w:eastAsia="Palatino Linotype" w:hAnsi="Palatino Linotype" w:cs="Palatino Linotype"/>
          <w:b/>
        </w:rPr>
        <w:t>Acto impugnado</w:t>
      </w:r>
      <w:r w:rsidRPr="008F6764">
        <w:rPr>
          <w:rFonts w:ascii="Palatino Linotype" w:eastAsia="Palatino Linotype" w:hAnsi="Palatino Linotype" w:cs="Palatino Linotype"/>
          <w:b/>
          <w:i/>
        </w:rPr>
        <w:t xml:space="preserve">. </w:t>
      </w:r>
      <w:r w:rsidR="00837F1B" w:rsidRPr="008F6764">
        <w:rPr>
          <w:rFonts w:ascii="Palatino Linotype" w:eastAsia="Palatino Linotype" w:hAnsi="Palatino Linotype" w:cs="Palatino Linotype"/>
          <w:i/>
        </w:rPr>
        <w:t>“</w:t>
      </w:r>
      <w:r w:rsidR="00BF59AB" w:rsidRPr="008F6764">
        <w:rPr>
          <w:rFonts w:ascii="Palatino Linotype" w:eastAsia="Palatino Linotype" w:hAnsi="Palatino Linotype" w:cs="Palatino Linotype"/>
          <w:i/>
        </w:rPr>
        <w:t>Negativa a proporcionar la información solicitada</w:t>
      </w:r>
      <w:r w:rsidRPr="008F6764">
        <w:rPr>
          <w:rFonts w:ascii="Palatino Linotype" w:eastAsia="Palatino Linotype" w:hAnsi="Palatino Linotype" w:cs="Palatino Linotype"/>
          <w:i/>
        </w:rPr>
        <w:t>”</w:t>
      </w:r>
      <w:r w:rsidR="00837F1B" w:rsidRPr="008F6764">
        <w:rPr>
          <w:rFonts w:ascii="Palatino Linotype" w:eastAsia="Palatino Linotype" w:hAnsi="Palatino Linotype" w:cs="Palatino Linotype"/>
          <w:i/>
        </w:rPr>
        <w:t xml:space="preserve"> </w:t>
      </w:r>
    </w:p>
    <w:p w14:paraId="758EC668" w14:textId="77777777" w:rsidR="004639EE" w:rsidRPr="008F6764" w:rsidRDefault="004639EE"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015E82F0" w14:textId="216F0A34" w:rsidR="004639EE" w:rsidRPr="008F6764" w:rsidRDefault="00E72281"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8F6764">
        <w:rPr>
          <w:rFonts w:ascii="Palatino Linotype" w:eastAsia="Palatino Linotype" w:hAnsi="Palatino Linotype" w:cs="Palatino Linotype"/>
          <w:b/>
        </w:rPr>
        <w:t xml:space="preserve">Razones o motivos de la inconformidad: </w:t>
      </w:r>
      <w:r w:rsidRPr="008F6764">
        <w:rPr>
          <w:rFonts w:ascii="Palatino Linotype" w:eastAsia="Palatino Linotype" w:hAnsi="Palatino Linotype" w:cs="Palatino Linotype"/>
          <w:i/>
        </w:rPr>
        <w:t>“</w:t>
      </w:r>
      <w:r w:rsidR="00BF59AB" w:rsidRPr="008F6764">
        <w:rPr>
          <w:rFonts w:ascii="Palatino Linotype" w:eastAsia="Palatino Linotype" w:hAnsi="Palatino Linotype" w:cs="Palatino Linotype"/>
          <w:i/>
        </w:rPr>
        <w:t>Responden que la información solicitada no tienen la obligación de generarla lo cuál es ilógico pues cada quince días se generan los pagos de nómina y por cuestión elemental de una administración municipal se debe tener integrado el expediente con la lista de servidores públicos, mencionan que la tienen en una página de internet, la cuál es https://ipomex.org.mx/ipomex/#/info-fraccion/11/186/28 Sin embargo al consultar la página la información que suben no esta completa y se limita a poner únicamente a los jefes de las áreas, omiten por negligencia y dolo la información solicitada además de que la información se solicitó sea entregada a través del SAIMEX y no de un link</w:t>
      </w:r>
      <w:r w:rsidR="00837F1B" w:rsidRPr="008F6764">
        <w:rPr>
          <w:rFonts w:ascii="Palatino Linotype" w:eastAsia="Palatino Linotype" w:hAnsi="Palatino Linotype" w:cs="Palatino Linotype"/>
          <w:i/>
        </w:rPr>
        <w:t>”</w:t>
      </w:r>
    </w:p>
    <w:p w14:paraId="21D1EE1B" w14:textId="77777777" w:rsidR="004639EE" w:rsidRPr="008F6764" w:rsidRDefault="004639EE">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6FA5F228" w14:textId="7D03D86F" w:rsidR="00DB19E7" w:rsidRPr="008F6764" w:rsidRDefault="00DB19E7" w:rsidP="00DB19E7">
      <w:pPr>
        <w:pBdr>
          <w:top w:val="nil"/>
          <w:left w:val="nil"/>
          <w:bottom w:val="nil"/>
          <w:right w:val="nil"/>
          <w:between w:val="nil"/>
        </w:pBdr>
        <w:tabs>
          <w:tab w:val="left" w:pos="1276"/>
        </w:tabs>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Asimismo, adjuntó una captura de pantalla relativa al Portal de Información Pública de Oficio Mexiquense. </w:t>
      </w:r>
    </w:p>
    <w:p w14:paraId="7290DE4B" w14:textId="77777777" w:rsidR="00DB19E7" w:rsidRPr="008F6764" w:rsidRDefault="00DB19E7" w:rsidP="00DB19E7">
      <w:pPr>
        <w:pBdr>
          <w:top w:val="nil"/>
          <w:left w:val="nil"/>
          <w:bottom w:val="nil"/>
          <w:right w:val="nil"/>
          <w:between w:val="nil"/>
        </w:pBdr>
        <w:tabs>
          <w:tab w:val="left" w:pos="1276"/>
        </w:tabs>
        <w:spacing w:after="0" w:line="360" w:lineRule="auto"/>
        <w:jc w:val="both"/>
        <w:rPr>
          <w:rFonts w:ascii="Palatino Linotype" w:eastAsia="Palatino Linotype" w:hAnsi="Palatino Linotype" w:cs="Palatino Linotype"/>
        </w:rPr>
      </w:pPr>
    </w:p>
    <w:p w14:paraId="0DA84F24" w14:textId="01D0DCFF" w:rsidR="004639EE" w:rsidRPr="008F6764"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t>Turno.</w:t>
      </w:r>
      <w:r w:rsidRPr="008F676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BF59AB" w:rsidRPr="008F6764">
        <w:rPr>
          <w:rFonts w:ascii="Palatino Linotype" w:eastAsia="Palatino Linotype" w:hAnsi="Palatino Linotype" w:cs="Palatino Linotype"/>
          <w:b/>
        </w:rPr>
        <w:t>07399</w:t>
      </w:r>
      <w:r w:rsidRPr="008F6764">
        <w:rPr>
          <w:rFonts w:ascii="Palatino Linotype" w:eastAsia="Palatino Linotype" w:hAnsi="Palatino Linotype" w:cs="Palatino Linotype"/>
          <w:b/>
        </w:rPr>
        <w:t>/INFOEM/IP/RR/2025</w:t>
      </w:r>
      <w:r w:rsidRPr="008F676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CF0C214" w14:textId="77777777" w:rsidR="004639EE" w:rsidRPr="008F6764"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52389F" w14:textId="6A73C825" w:rsidR="004639EE" w:rsidRPr="008F6764"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lastRenderedPageBreak/>
        <w:t>Admisión del recurso de revisión</w:t>
      </w:r>
      <w:r w:rsidRPr="008F6764">
        <w:rPr>
          <w:rFonts w:ascii="Palatino Linotype" w:eastAsia="Palatino Linotype" w:hAnsi="Palatino Linotype" w:cs="Palatino Linotype"/>
        </w:rPr>
        <w:t>: En fecha</w:t>
      </w:r>
      <w:r w:rsidRPr="008F6764">
        <w:rPr>
          <w:rFonts w:ascii="Palatino Linotype" w:eastAsia="Palatino Linotype" w:hAnsi="Palatino Linotype" w:cs="Palatino Linotype"/>
          <w:b/>
        </w:rPr>
        <w:t xml:space="preserve"> </w:t>
      </w:r>
      <w:r w:rsidR="00BF59AB" w:rsidRPr="008F6764">
        <w:rPr>
          <w:rFonts w:ascii="Palatino Linotype" w:eastAsia="Palatino Linotype" w:hAnsi="Palatino Linotype" w:cs="Palatino Linotype"/>
          <w:b/>
        </w:rPr>
        <w:t>veintitrés</w:t>
      </w:r>
      <w:r w:rsidR="00837F1B" w:rsidRPr="008F6764">
        <w:rPr>
          <w:rFonts w:ascii="Palatino Linotype" w:eastAsia="Palatino Linotype" w:hAnsi="Palatino Linotype" w:cs="Palatino Linotype"/>
          <w:b/>
        </w:rPr>
        <w:t xml:space="preserve"> de junio</w:t>
      </w:r>
      <w:r w:rsidRPr="008F6764">
        <w:rPr>
          <w:rFonts w:ascii="Palatino Linotype" w:eastAsia="Palatino Linotype" w:hAnsi="Palatino Linotype" w:cs="Palatino Linotype"/>
          <w:b/>
        </w:rPr>
        <w:t xml:space="preserve"> de dos mil veinticinco</w:t>
      </w:r>
      <w:r w:rsidRPr="008F676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C52E232" w14:textId="77777777" w:rsidR="004639EE" w:rsidRPr="008F6764" w:rsidRDefault="004639EE">
      <w:pPr>
        <w:pBdr>
          <w:top w:val="nil"/>
          <w:left w:val="nil"/>
          <w:bottom w:val="nil"/>
          <w:right w:val="nil"/>
          <w:between w:val="nil"/>
        </w:pBdr>
        <w:spacing w:after="0"/>
        <w:ind w:left="720"/>
        <w:rPr>
          <w:rFonts w:ascii="Palatino Linotype" w:eastAsia="Palatino Linotype" w:hAnsi="Palatino Linotype" w:cs="Palatino Linotype"/>
        </w:rPr>
      </w:pPr>
    </w:p>
    <w:p w14:paraId="27E8E763" w14:textId="5940A145" w:rsidR="00837F1B" w:rsidRPr="008F6764" w:rsidRDefault="00E72281" w:rsidP="00DB19E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t xml:space="preserve">Manifestaciones: </w:t>
      </w:r>
      <w:r w:rsidRPr="008F6764">
        <w:rPr>
          <w:rFonts w:ascii="Palatino Linotype" w:eastAsia="Palatino Linotype" w:hAnsi="Palatino Linotype" w:cs="Palatino Linotype"/>
        </w:rPr>
        <w:t>E</w:t>
      </w:r>
      <w:r w:rsidR="00DB19E7" w:rsidRPr="008F6764">
        <w:rPr>
          <w:rFonts w:ascii="Palatino Linotype" w:eastAsia="Palatino Linotype" w:hAnsi="Palatino Linotype" w:cs="Palatino Linotype"/>
        </w:rPr>
        <w:t xml:space="preserve">l </w:t>
      </w:r>
      <w:r w:rsidR="00DB19E7" w:rsidRPr="008F6764">
        <w:rPr>
          <w:rFonts w:ascii="Palatino Linotype" w:eastAsia="Palatino Linotype" w:hAnsi="Palatino Linotype" w:cs="Palatino Linotype"/>
          <w:b/>
        </w:rPr>
        <w:t xml:space="preserve">SUJETO OBLIGADO </w:t>
      </w:r>
      <w:r w:rsidR="00DB19E7" w:rsidRPr="008F6764">
        <w:rPr>
          <w:rFonts w:ascii="Palatino Linotype" w:eastAsia="Palatino Linotype" w:hAnsi="Palatino Linotype" w:cs="Palatino Linotype"/>
        </w:rPr>
        <w:t xml:space="preserve">fue omiso en rendir su informe justificado. </w:t>
      </w:r>
    </w:p>
    <w:p w14:paraId="1F77CB81" w14:textId="77777777" w:rsidR="00DB19E7" w:rsidRPr="008F6764" w:rsidRDefault="00DB19E7" w:rsidP="00DB19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C6DBDE" w14:textId="26E1F18D" w:rsidR="00DB19E7" w:rsidRPr="008F6764" w:rsidRDefault="00DB19E7" w:rsidP="00DB19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En fecha </w:t>
      </w:r>
      <w:r w:rsidRPr="008F6764">
        <w:rPr>
          <w:rFonts w:ascii="Palatino Linotype" w:eastAsia="Palatino Linotype" w:hAnsi="Palatino Linotype" w:cs="Palatino Linotype"/>
          <w:b/>
        </w:rPr>
        <w:t>veinticinco de junio de dos mil veinticinco</w:t>
      </w:r>
      <w:r w:rsidRPr="008F6764">
        <w:rPr>
          <w:rFonts w:ascii="Palatino Linotype" w:eastAsia="Palatino Linotype" w:hAnsi="Palatino Linotype" w:cs="Palatino Linotype"/>
        </w:rPr>
        <w:t xml:space="preserve">, la parte Recurrente rindió sus manifestaciones. </w:t>
      </w:r>
    </w:p>
    <w:p w14:paraId="2D0176FD" w14:textId="77777777" w:rsidR="00837F1B" w:rsidRPr="008F6764"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3EA054" w14:textId="19A4FF9D" w:rsidR="00837F1B" w:rsidRPr="008F6764" w:rsidRDefault="00837F1B" w:rsidP="00837F1B">
      <w:pPr>
        <w:pStyle w:val="Prrafodelista"/>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t xml:space="preserve">Ampliación de plazo. </w:t>
      </w:r>
      <w:r w:rsidRPr="008F6764">
        <w:rPr>
          <w:rFonts w:ascii="Palatino Linotype" w:eastAsia="Palatino Linotype" w:hAnsi="Palatino Linotype" w:cs="Palatino Linotype"/>
        </w:rPr>
        <w:t xml:space="preserve">El </w:t>
      </w:r>
      <w:r w:rsidR="00D301EB" w:rsidRPr="008F6764">
        <w:rPr>
          <w:rFonts w:ascii="Palatino Linotype" w:eastAsia="Palatino Linotype" w:hAnsi="Palatino Linotype" w:cs="Palatino Linotype"/>
          <w:b/>
        </w:rPr>
        <w:t>doce</w:t>
      </w:r>
      <w:r w:rsidR="00DB19E7" w:rsidRPr="008F6764">
        <w:rPr>
          <w:rFonts w:ascii="Palatino Linotype" w:eastAsia="Palatino Linotype" w:hAnsi="Palatino Linotype" w:cs="Palatino Linotype"/>
          <w:b/>
        </w:rPr>
        <w:t xml:space="preserve"> de noviembre</w:t>
      </w:r>
      <w:r w:rsidRPr="008F6764">
        <w:rPr>
          <w:rFonts w:ascii="Palatino Linotype" w:eastAsia="Palatino Linotype" w:hAnsi="Palatino Linotype" w:cs="Palatino Linotype"/>
          <w:b/>
        </w:rPr>
        <w:t xml:space="preserve"> de dos mil veinticinco</w:t>
      </w:r>
      <w:r w:rsidRPr="008F676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99976E0" w14:textId="77777777" w:rsidR="00837F1B" w:rsidRPr="008F6764"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7270B4"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45A70A6"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 </w:t>
      </w:r>
    </w:p>
    <w:p w14:paraId="0CA0602F"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F96904F"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4E2B3177"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158B5A"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578FF5D4"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8D6A2B4"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6D2CA150"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3576AB"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72165AA8" w14:textId="77777777" w:rsidR="00837F1B" w:rsidRPr="008F6764" w:rsidRDefault="00837F1B" w:rsidP="00837F1B">
      <w:pPr>
        <w:tabs>
          <w:tab w:val="left" w:pos="709"/>
        </w:tabs>
        <w:spacing w:after="0" w:line="360" w:lineRule="auto"/>
        <w:ind w:left="567" w:right="560"/>
        <w:jc w:val="both"/>
        <w:rPr>
          <w:rFonts w:ascii="Palatino Linotype" w:eastAsia="Palatino Linotype" w:hAnsi="Palatino Linotype" w:cs="Palatino Linotype"/>
        </w:rPr>
      </w:pPr>
      <w:r w:rsidRPr="008F6764">
        <w:rPr>
          <w:rFonts w:ascii="Palatino Linotype" w:eastAsia="Palatino Linotype" w:hAnsi="Palatino Linotype" w:cs="Palatino Linotype"/>
          <w:b/>
        </w:rPr>
        <w:t>a)    Complejidad del asunto:</w:t>
      </w:r>
      <w:r w:rsidRPr="008F676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EA0C562" w14:textId="77777777" w:rsidR="00837F1B" w:rsidRPr="008F6764" w:rsidRDefault="00837F1B" w:rsidP="00837F1B">
      <w:pPr>
        <w:tabs>
          <w:tab w:val="left" w:pos="709"/>
        </w:tabs>
        <w:spacing w:after="0" w:line="360" w:lineRule="auto"/>
        <w:ind w:left="567" w:right="560"/>
        <w:jc w:val="both"/>
        <w:rPr>
          <w:rFonts w:ascii="Palatino Linotype" w:eastAsia="Palatino Linotype" w:hAnsi="Palatino Linotype" w:cs="Palatino Linotype"/>
        </w:rPr>
      </w:pPr>
      <w:r w:rsidRPr="008F6764">
        <w:rPr>
          <w:rFonts w:ascii="Palatino Linotype" w:eastAsia="Palatino Linotype" w:hAnsi="Palatino Linotype" w:cs="Palatino Linotype"/>
          <w:b/>
        </w:rPr>
        <w:t>b)   Actividad Procesal del interesado</w:t>
      </w:r>
      <w:r w:rsidRPr="008F6764">
        <w:rPr>
          <w:rFonts w:ascii="Palatino Linotype" w:eastAsia="Palatino Linotype" w:hAnsi="Palatino Linotype" w:cs="Palatino Linotype"/>
        </w:rPr>
        <w:t>: Acciones u omisiones del interesado.</w:t>
      </w:r>
    </w:p>
    <w:p w14:paraId="58C11F3C" w14:textId="77777777" w:rsidR="00837F1B" w:rsidRPr="008F6764" w:rsidRDefault="00837F1B" w:rsidP="00837F1B">
      <w:pPr>
        <w:tabs>
          <w:tab w:val="left" w:pos="851"/>
        </w:tabs>
        <w:spacing w:after="0" w:line="360" w:lineRule="auto"/>
        <w:ind w:left="567" w:right="560"/>
        <w:jc w:val="both"/>
        <w:rPr>
          <w:rFonts w:ascii="Palatino Linotype" w:eastAsia="Palatino Linotype" w:hAnsi="Palatino Linotype" w:cs="Palatino Linotype"/>
        </w:rPr>
      </w:pPr>
      <w:r w:rsidRPr="008F6764">
        <w:rPr>
          <w:rFonts w:ascii="Palatino Linotype" w:eastAsia="Palatino Linotype" w:hAnsi="Palatino Linotype" w:cs="Palatino Linotype"/>
          <w:b/>
        </w:rPr>
        <w:t>c)  Conducta de la Autoridad:</w:t>
      </w:r>
      <w:r w:rsidRPr="008F6764">
        <w:rPr>
          <w:rFonts w:ascii="Palatino Linotype" w:eastAsia="Palatino Linotype" w:hAnsi="Palatino Linotype" w:cs="Palatino Linotype"/>
        </w:rPr>
        <w:t xml:space="preserve"> Las Acciones u omisiones realizadas en el procedimiento. Así como si la autoridad actuó con la debida diligencia.</w:t>
      </w:r>
    </w:p>
    <w:p w14:paraId="03D82A73" w14:textId="77777777" w:rsidR="00837F1B" w:rsidRPr="008F6764" w:rsidRDefault="00837F1B" w:rsidP="00837F1B">
      <w:pPr>
        <w:tabs>
          <w:tab w:val="left" w:pos="851"/>
        </w:tabs>
        <w:spacing w:after="0" w:line="360" w:lineRule="auto"/>
        <w:ind w:left="567" w:right="560"/>
        <w:jc w:val="both"/>
        <w:rPr>
          <w:rFonts w:ascii="Palatino Linotype" w:eastAsia="Palatino Linotype" w:hAnsi="Palatino Linotype" w:cs="Palatino Linotype"/>
        </w:rPr>
      </w:pPr>
      <w:r w:rsidRPr="008F6764">
        <w:rPr>
          <w:rFonts w:ascii="Palatino Linotype" w:eastAsia="Palatino Linotype" w:hAnsi="Palatino Linotype" w:cs="Palatino Linotype"/>
          <w:b/>
        </w:rPr>
        <w:t>d) La afectación generada en la situación jurídica de la persona involucrada en el proceso:</w:t>
      </w:r>
      <w:r w:rsidRPr="008F6764">
        <w:rPr>
          <w:rFonts w:ascii="Palatino Linotype" w:eastAsia="Palatino Linotype" w:hAnsi="Palatino Linotype" w:cs="Palatino Linotype"/>
        </w:rPr>
        <w:t xml:space="preserve"> Violación a sus derechos humanos.</w:t>
      </w:r>
    </w:p>
    <w:p w14:paraId="16E1359A"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58D214C8"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743392"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1AEB25A2"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Argumento que encuentra sustento en la jurisprudencia P./J. 32/92 emitida por el Pleno de la Suprema Corte de Justicia de la Nación de rubro “</w:t>
      </w:r>
      <w:r w:rsidRPr="008F6764">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8F6764">
        <w:rPr>
          <w:rFonts w:ascii="Palatino Linotype" w:eastAsia="Palatino Linotype" w:hAnsi="Palatino Linotype" w:cs="Palatino Linotype"/>
        </w:rPr>
        <w:t>, visible en la Gaceta del Seminario Judicial de la Federación con el registro digital 205635.</w:t>
      </w:r>
    </w:p>
    <w:p w14:paraId="4A0F772A"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 </w:t>
      </w:r>
    </w:p>
    <w:p w14:paraId="4E5B72C1"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4E308E"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43A97447"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6DEA694"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36A94CFD" w14:textId="77777777" w:rsidR="00837F1B" w:rsidRPr="008F6764" w:rsidRDefault="00837F1B" w:rsidP="00837F1B">
      <w:pPr>
        <w:spacing w:after="0" w:line="360" w:lineRule="auto"/>
        <w:ind w:left="567" w:right="560"/>
        <w:jc w:val="both"/>
        <w:rPr>
          <w:rFonts w:ascii="Palatino Linotype" w:eastAsia="Palatino Linotype" w:hAnsi="Palatino Linotype" w:cs="Palatino Linotype"/>
        </w:rPr>
      </w:pPr>
      <w:r w:rsidRPr="008F6764">
        <w:rPr>
          <w:rFonts w:ascii="Palatino Linotype" w:eastAsia="Palatino Linotype" w:hAnsi="Palatino Linotype" w:cs="Palatino Linotype"/>
          <w:b/>
        </w:rPr>
        <w:t xml:space="preserve"> “PLAZO RAZONABLE PARA RESOLVER. DIMENSIÓN Y EFECTOS DE ESTE CONCEPTO CUANDO SE ADUCE EXCESIVA CARGA DE TRABAJO.”</w:t>
      </w:r>
      <w:r w:rsidRPr="008F6764">
        <w:rPr>
          <w:rFonts w:ascii="Palatino Linotype" w:eastAsia="Palatino Linotype" w:hAnsi="Palatino Linotype" w:cs="Palatino Linotype"/>
        </w:rPr>
        <w:t xml:space="preserve"> consultable en el Seminario Judicial de la Federación y su gaceta, con el registro digital 2002351.</w:t>
      </w:r>
    </w:p>
    <w:p w14:paraId="17FB5BDB" w14:textId="77777777" w:rsidR="00837F1B" w:rsidRPr="008F6764" w:rsidRDefault="00837F1B" w:rsidP="00837F1B">
      <w:pPr>
        <w:spacing w:after="0" w:line="360" w:lineRule="auto"/>
        <w:ind w:left="567" w:right="560"/>
        <w:jc w:val="both"/>
        <w:rPr>
          <w:rFonts w:ascii="Palatino Linotype" w:eastAsia="Palatino Linotype" w:hAnsi="Palatino Linotype" w:cs="Palatino Linotype"/>
        </w:rPr>
      </w:pPr>
      <w:r w:rsidRPr="008F6764">
        <w:rPr>
          <w:rFonts w:ascii="Palatino Linotype" w:eastAsia="Palatino Linotype" w:hAnsi="Palatino Linotype" w:cs="Palatino Linotype"/>
          <w:b/>
        </w:rPr>
        <w:t>“PLAZO RAZONABLE PARA RESOLVER. CONCEPTO Y ELEMENTOS QUE LO INTEGRAN A LA LUZ DEL DERECHO INTERNACIONAL DE LOS DERECHOS HUMANOS.”,</w:t>
      </w:r>
      <w:r w:rsidRPr="008F6764">
        <w:rPr>
          <w:rFonts w:ascii="Palatino Linotype" w:eastAsia="Palatino Linotype" w:hAnsi="Palatino Linotype" w:cs="Palatino Linotype"/>
        </w:rPr>
        <w:t xml:space="preserve"> visible en el Seminario Judicial de la Federación y su gaceta, con el registro digital 2002350.</w:t>
      </w:r>
    </w:p>
    <w:p w14:paraId="20FFA126" w14:textId="77777777" w:rsidR="00837F1B" w:rsidRPr="008F6764" w:rsidRDefault="00837F1B" w:rsidP="00837F1B">
      <w:pPr>
        <w:spacing w:after="0" w:line="360" w:lineRule="auto"/>
        <w:ind w:left="567" w:right="560"/>
        <w:jc w:val="both"/>
        <w:rPr>
          <w:rFonts w:ascii="Palatino Linotype" w:eastAsia="Palatino Linotype" w:hAnsi="Palatino Linotype" w:cs="Palatino Linotype"/>
        </w:rPr>
      </w:pPr>
    </w:p>
    <w:p w14:paraId="09D5F850" w14:textId="77777777" w:rsidR="00837F1B" w:rsidRPr="008F6764"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70A3CFCE" w14:textId="77777777" w:rsidR="00837F1B" w:rsidRPr="008F6764"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67FB42" w14:textId="0AFE4598" w:rsidR="00837F1B" w:rsidRPr="008F6764" w:rsidRDefault="00837F1B" w:rsidP="00837F1B">
      <w:pPr>
        <w:pStyle w:val="Prrafodelista"/>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F6764">
        <w:rPr>
          <w:rFonts w:ascii="Palatino Linotype" w:eastAsia="Palatino Linotype" w:hAnsi="Palatino Linotype" w:cs="Palatino Linotype"/>
          <w:b/>
        </w:rPr>
        <w:t>Cierre de instrucción</w:t>
      </w:r>
      <w:r w:rsidRPr="008F6764">
        <w:rPr>
          <w:rFonts w:ascii="Palatino Linotype" w:eastAsia="Palatino Linotype" w:hAnsi="Palatino Linotype" w:cs="Palatino Linotype"/>
        </w:rPr>
        <w:t xml:space="preserve">. En fecha </w:t>
      </w:r>
      <w:r w:rsidR="00D301EB" w:rsidRPr="008F6764">
        <w:rPr>
          <w:rFonts w:ascii="Palatino Linotype" w:eastAsia="Palatino Linotype" w:hAnsi="Palatino Linotype" w:cs="Palatino Linotype"/>
          <w:b/>
          <w:bCs/>
        </w:rPr>
        <w:t>doce</w:t>
      </w:r>
      <w:r w:rsidR="00DB19E7" w:rsidRPr="008F6764">
        <w:rPr>
          <w:rFonts w:ascii="Palatino Linotype" w:eastAsia="Palatino Linotype" w:hAnsi="Palatino Linotype" w:cs="Palatino Linotype"/>
          <w:b/>
          <w:bCs/>
        </w:rPr>
        <w:t xml:space="preserve"> de noviembre</w:t>
      </w:r>
      <w:r w:rsidRPr="008F6764">
        <w:rPr>
          <w:rFonts w:ascii="Palatino Linotype" w:eastAsia="Palatino Linotype" w:hAnsi="Palatino Linotype" w:cs="Palatino Linotype"/>
          <w:b/>
          <w:bCs/>
        </w:rPr>
        <w:t xml:space="preserve"> de dos mil veinticinco</w:t>
      </w:r>
      <w:r w:rsidRPr="008F676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B1F02B2" w14:textId="77777777" w:rsidR="00837F1B" w:rsidRPr="008F6764"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B739D5"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332920C" w14:textId="77777777" w:rsidR="004639EE" w:rsidRPr="008F6764" w:rsidRDefault="004639EE">
      <w:pPr>
        <w:spacing w:after="0" w:line="360" w:lineRule="auto"/>
        <w:ind w:right="49"/>
        <w:jc w:val="both"/>
        <w:rPr>
          <w:rFonts w:ascii="Palatino Linotype" w:eastAsia="Palatino Linotype" w:hAnsi="Palatino Linotype" w:cs="Palatino Linotype"/>
        </w:rPr>
      </w:pPr>
    </w:p>
    <w:p w14:paraId="3AACC64D" w14:textId="77777777" w:rsidR="00DB19E7" w:rsidRPr="008F6764" w:rsidRDefault="00DB19E7">
      <w:pPr>
        <w:spacing w:after="0" w:line="360" w:lineRule="auto"/>
        <w:ind w:right="49"/>
        <w:jc w:val="both"/>
        <w:rPr>
          <w:rFonts w:ascii="Palatino Linotype" w:eastAsia="Palatino Linotype" w:hAnsi="Palatino Linotype" w:cs="Palatino Linotype"/>
        </w:rPr>
      </w:pPr>
    </w:p>
    <w:p w14:paraId="114056E9" w14:textId="77777777" w:rsidR="00DB19E7" w:rsidRPr="008F6764" w:rsidRDefault="00DB19E7">
      <w:pPr>
        <w:spacing w:after="0" w:line="360" w:lineRule="auto"/>
        <w:ind w:right="49"/>
        <w:jc w:val="both"/>
        <w:rPr>
          <w:rFonts w:ascii="Palatino Linotype" w:eastAsia="Palatino Linotype" w:hAnsi="Palatino Linotype" w:cs="Palatino Linotype"/>
        </w:rPr>
      </w:pPr>
    </w:p>
    <w:p w14:paraId="6C52E170" w14:textId="77777777" w:rsidR="00DB19E7" w:rsidRPr="008F6764" w:rsidRDefault="00DB19E7">
      <w:pPr>
        <w:spacing w:after="0" w:line="360" w:lineRule="auto"/>
        <w:ind w:right="49"/>
        <w:jc w:val="both"/>
        <w:rPr>
          <w:rFonts w:ascii="Palatino Linotype" w:eastAsia="Palatino Linotype" w:hAnsi="Palatino Linotype" w:cs="Palatino Linotype"/>
        </w:rPr>
      </w:pPr>
    </w:p>
    <w:p w14:paraId="36199EF7" w14:textId="77777777" w:rsidR="004639EE" w:rsidRPr="008F6764" w:rsidRDefault="00E72281">
      <w:pPr>
        <w:spacing w:after="0" w:line="360" w:lineRule="auto"/>
        <w:ind w:right="49"/>
        <w:jc w:val="center"/>
        <w:rPr>
          <w:rFonts w:ascii="Palatino Linotype" w:eastAsia="Palatino Linotype" w:hAnsi="Palatino Linotype" w:cs="Palatino Linotype"/>
          <w:b/>
        </w:rPr>
      </w:pPr>
      <w:r w:rsidRPr="008F6764">
        <w:rPr>
          <w:rFonts w:ascii="Palatino Linotype" w:eastAsia="Palatino Linotype" w:hAnsi="Palatino Linotype" w:cs="Palatino Linotype"/>
          <w:b/>
        </w:rPr>
        <w:t>II.</w:t>
      </w:r>
      <w:r w:rsidRPr="008F6764">
        <w:rPr>
          <w:rFonts w:ascii="Palatino Linotype" w:eastAsia="Palatino Linotype" w:hAnsi="Palatino Linotype" w:cs="Palatino Linotype"/>
          <w:b/>
        </w:rPr>
        <w:tab/>
        <w:t>C O N S I D E R A N D O:</w:t>
      </w:r>
    </w:p>
    <w:p w14:paraId="0FF443F3" w14:textId="77777777" w:rsidR="004639EE" w:rsidRPr="008F6764" w:rsidRDefault="004639EE">
      <w:pPr>
        <w:spacing w:after="0" w:line="360" w:lineRule="auto"/>
        <w:ind w:right="49"/>
        <w:jc w:val="both"/>
        <w:rPr>
          <w:rFonts w:ascii="Palatino Linotype" w:eastAsia="Palatino Linotype" w:hAnsi="Palatino Linotype" w:cs="Palatino Linotype"/>
        </w:rPr>
      </w:pPr>
    </w:p>
    <w:p w14:paraId="1DCE75F6" w14:textId="550E86CF" w:rsidR="004639EE" w:rsidRPr="008F6764" w:rsidRDefault="00D301EB" w:rsidP="00D301EB">
      <w:pPr>
        <w:spacing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b/>
        </w:rPr>
        <w:t>Primero. Competencia.</w:t>
      </w:r>
      <w:r w:rsidRPr="008F676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8F6764">
        <w:t xml:space="preserve"> </w:t>
      </w:r>
      <w:r w:rsidRPr="008F6764">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902E78" w14:textId="77777777"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b/>
        </w:rPr>
        <w:t>Segundo. Oportunidad y Procedibilidad del Recurso de Revisión.</w:t>
      </w:r>
      <w:r w:rsidRPr="008F6764">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7A536BBC" w14:textId="77777777" w:rsidR="00837F1B" w:rsidRPr="008F6764" w:rsidRDefault="00837F1B">
      <w:pPr>
        <w:spacing w:after="0" w:line="360" w:lineRule="auto"/>
        <w:ind w:right="49"/>
        <w:jc w:val="both"/>
        <w:rPr>
          <w:rFonts w:ascii="Palatino Linotype" w:eastAsia="Palatino Linotype" w:hAnsi="Palatino Linotype" w:cs="Palatino Linotype"/>
        </w:rPr>
      </w:pPr>
    </w:p>
    <w:p w14:paraId="6D5909B3" w14:textId="5A32F320"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8F6764">
        <w:rPr>
          <w:rFonts w:ascii="Palatino Linotype" w:eastAsia="Palatino Linotype" w:hAnsi="Palatino Linotype" w:cs="Palatino Linotype"/>
          <w:b/>
        </w:rPr>
        <w:t>SUJETO OBLIGADO</w:t>
      </w:r>
      <w:r w:rsidRPr="008F6764">
        <w:rPr>
          <w:rFonts w:ascii="Palatino Linotype" w:eastAsia="Palatino Linotype" w:hAnsi="Palatino Linotype" w:cs="Palatino Linotype"/>
        </w:rPr>
        <w:t xml:space="preserve"> remitió la respuesta a la solicitud de información del </w:t>
      </w:r>
      <w:r w:rsidR="00DB19E7" w:rsidRPr="008F6764">
        <w:rPr>
          <w:rFonts w:ascii="Palatino Linotype" w:eastAsia="Palatino Linotype" w:hAnsi="Palatino Linotype" w:cs="Palatino Linotype"/>
          <w:b/>
        </w:rPr>
        <w:t>catorce de junio</w:t>
      </w:r>
      <w:r w:rsidRPr="008F6764">
        <w:rPr>
          <w:rFonts w:ascii="Palatino Linotype" w:eastAsia="Palatino Linotype" w:hAnsi="Palatino Linotype" w:cs="Palatino Linotype"/>
          <w:b/>
        </w:rPr>
        <w:t xml:space="preserve"> de dos mil veinticinco</w:t>
      </w:r>
      <w:r w:rsidRPr="008F6764">
        <w:rPr>
          <w:rFonts w:ascii="Palatino Linotype" w:eastAsia="Palatino Linotype" w:hAnsi="Palatino Linotype" w:cs="Palatino Linotype"/>
        </w:rPr>
        <w:t xml:space="preserve">, mientras que el recurso de revisión interpuesto por la parte </w:t>
      </w:r>
      <w:r w:rsidRPr="008F6764">
        <w:rPr>
          <w:rFonts w:ascii="Palatino Linotype" w:eastAsia="Palatino Linotype" w:hAnsi="Palatino Linotype" w:cs="Palatino Linotype"/>
          <w:b/>
        </w:rPr>
        <w:t xml:space="preserve">RECURRENTE </w:t>
      </w:r>
      <w:r w:rsidRPr="008F6764">
        <w:rPr>
          <w:rFonts w:ascii="Palatino Linotype" w:eastAsia="Palatino Linotype" w:hAnsi="Palatino Linotype" w:cs="Palatino Linotype"/>
        </w:rPr>
        <w:t xml:space="preserve">se tuvo por presentado el </w:t>
      </w:r>
      <w:r w:rsidR="00DB19E7" w:rsidRPr="008F6764">
        <w:rPr>
          <w:rFonts w:ascii="Palatino Linotype" w:eastAsia="Palatino Linotype" w:hAnsi="Palatino Linotype" w:cs="Palatino Linotype"/>
          <w:b/>
        </w:rPr>
        <w:t>dieciocho</w:t>
      </w:r>
      <w:r w:rsidR="00837F1B" w:rsidRPr="008F6764">
        <w:rPr>
          <w:rFonts w:ascii="Palatino Linotype" w:eastAsia="Palatino Linotype" w:hAnsi="Palatino Linotype" w:cs="Palatino Linotype"/>
          <w:b/>
        </w:rPr>
        <w:t xml:space="preserve"> de junio</w:t>
      </w:r>
      <w:r w:rsidRPr="008F6764">
        <w:rPr>
          <w:rFonts w:ascii="Palatino Linotype" w:eastAsia="Palatino Linotype" w:hAnsi="Palatino Linotype" w:cs="Palatino Linotype"/>
          <w:b/>
        </w:rPr>
        <w:t xml:space="preserve"> de dos mil veinticinco</w:t>
      </w:r>
      <w:r w:rsidRPr="008F6764">
        <w:rPr>
          <w:rFonts w:ascii="Palatino Linotype" w:eastAsia="Palatino Linotype" w:hAnsi="Palatino Linotype" w:cs="Palatino Linotype"/>
        </w:rPr>
        <w:t xml:space="preserve">, esto es al </w:t>
      </w:r>
      <w:r w:rsidR="00837F1B" w:rsidRPr="008F6764">
        <w:rPr>
          <w:rFonts w:ascii="Palatino Linotype" w:eastAsia="Palatino Linotype" w:hAnsi="Palatino Linotype" w:cs="Palatino Linotype"/>
        </w:rPr>
        <w:t>décimo tercer</w:t>
      </w:r>
      <w:r w:rsidRPr="008F6764">
        <w:rPr>
          <w:rFonts w:ascii="Palatino Linotype" w:eastAsia="Palatino Linotype" w:hAnsi="Palatino Linotype" w:cs="Palatino Linotype"/>
        </w:rPr>
        <w:t xml:space="preserve"> día hábil en que se tuvo conocimiento de la respuesta.</w:t>
      </w:r>
    </w:p>
    <w:p w14:paraId="0BD6025B" w14:textId="77777777" w:rsidR="004639EE" w:rsidRPr="008F6764" w:rsidRDefault="004639EE">
      <w:pPr>
        <w:spacing w:after="0" w:line="360" w:lineRule="auto"/>
        <w:ind w:right="49"/>
        <w:jc w:val="both"/>
        <w:rPr>
          <w:rFonts w:ascii="Palatino Linotype" w:eastAsia="Palatino Linotype" w:hAnsi="Palatino Linotype" w:cs="Palatino Linotype"/>
        </w:rPr>
      </w:pPr>
    </w:p>
    <w:p w14:paraId="2C2506F2" w14:textId="29DD4ED3"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F6764">
        <w:rPr>
          <w:rFonts w:ascii="Palatino Linotype" w:eastAsia="Palatino Linotype" w:hAnsi="Palatino Linotype" w:cs="Palatino Linotype"/>
          <w:b/>
        </w:rPr>
        <w:t>SAIMEX</w:t>
      </w:r>
      <w:r w:rsidRPr="008F6764">
        <w:rPr>
          <w:rFonts w:ascii="Palatino Linotype" w:eastAsia="Palatino Linotype" w:hAnsi="Palatino Linotype" w:cs="Palatino Linotype"/>
        </w:rPr>
        <w:t xml:space="preserve">.  </w:t>
      </w:r>
    </w:p>
    <w:p w14:paraId="238839FF" w14:textId="77777777" w:rsidR="004639EE" w:rsidRPr="008F6764" w:rsidRDefault="004639EE">
      <w:pPr>
        <w:spacing w:after="0" w:line="360" w:lineRule="auto"/>
        <w:ind w:right="49"/>
        <w:jc w:val="both"/>
        <w:rPr>
          <w:rFonts w:ascii="Palatino Linotype" w:eastAsia="Palatino Linotype" w:hAnsi="Palatino Linotype" w:cs="Palatino Linotype"/>
        </w:rPr>
      </w:pPr>
    </w:p>
    <w:p w14:paraId="3C25BB70" w14:textId="77777777"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Finalmente, resulta procedente la interposición del recurso de revisión al rubro anotado, toda vez que se actualizan las hipótesis de procedencia previstas en</w:t>
      </w:r>
      <w:r w:rsidR="00837F1B" w:rsidRPr="008F6764">
        <w:rPr>
          <w:rFonts w:ascii="Palatino Linotype" w:eastAsia="Palatino Linotype" w:hAnsi="Palatino Linotype" w:cs="Palatino Linotype"/>
        </w:rPr>
        <w:t xml:space="preserve"> el artículo 179 fracción I</w:t>
      </w:r>
      <w:r w:rsidRPr="008F6764">
        <w:rPr>
          <w:rFonts w:ascii="Palatino Linotype" w:eastAsia="Palatino Linotype" w:hAnsi="Palatino Linotype" w:cs="Palatino Linotype"/>
        </w:rPr>
        <w:t xml:space="preserve">  de la Ley de la materia, que a la letra dice:</w:t>
      </w:r>
    </w:p>
    <w:p w14:paraId="0E947C53" w14:textId="77777777" w:rsidR="004639EE" w:rsidRPr="008F6764" w:rsidRDefault="004639EE">
      <w:pPr>
        <w:spacing w:after="0" w:line="360" w:lineRule="auto"/>
        <w:ind w:right="49"/>
        <w:jc w:val="both"/>
        <w:rPr>
          <w:rFonts w:ascii="Palatino Linotype" w:eastAsia="Palatino Linotype" w:hAnsi="Palatino Linotype" w:cs="Palatino Linotype"/>
        </w:rPr>
      </w:pPr>
    </w:p>
    <w:p w14:paraId="71723E50" w14:textId="77777777" w:rsidR="004639EE" w:rsidRPr="008F6764" w:rsidRDefault="00E72281">
      <w:pPr>
        <w:spacing w:after="0"/>
        <w:ind w:left="567" w:right="560"/>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r w:rsidRPr="008F6764">
        <w:rPr>
          <w:rFonts w:ascii="Palatino Linotype" w:eastAsia="Palatino Linotype" w:hAnsi="Palatino Linotype" w:cs="Palatino Linotype"/>
          <w:b/>
          <w:i/>
        </w:rPr>
        <w:t>Artículo 179.</w:t>
      </w:r>
      <w:r w:rsidRPr="008F676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6CD6BD0" w14:textId="77777777" w:rsidR="004639EE" w:rsidRPr="008F6764" w:rsidRDefault="00E72281">
      <w:pPr>
        <w:spacing w:after="0"/>
        <w:ind w:left="567" w:right="560"/>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p>
    <w:p w14:paraId="51ADE201" w14:textId="77777777" w:rsidR="004639EE" w:rsidRPr="008F6764" w:rsidRDefault="00E72281">
      <w:pPr>
        <w:spacing w:after="0"/>
        <w:ind w:left="567" w:right="560"/>
        <w:jc w:val="both"/>
        <w:rPr>
          <w:rFonts w:ascii="Palatino Linotype" w:eastAsia="Palatino Linotype" w:hAnsi="Palatino Linotype" w:cs="Palatino Linotype"/>
          <w:i/>
        </w:rPr>
      </w:pPr>
      <w:r w:rsidRPr="008F6764">
        <w:rPr>
          <w:rFonts w:ascii="Palatino Linotype" w:eastAsia="Palatino Linotype" w:hAnsi="Palatino Linotype" w:cs="Palatino Linotype"/>
          <w:i/>
        </w:rPr>
        <w:t>I. La negativa de entrega de la información</w:t>
      </w:r>
    </w:p>
    <w:p w14:paraId="16C4193B" w14:textId="77777777" w:rsidR="004639EE" w:rsidRPr="008F6764" w:rsidRDefault="00E72281">
      <w:pPr>
        <w:spacing w:after="0"/>
        <w:ind w:left="567" w:right="560"/>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p>
    <w:p w14:paraId="7C08B03E" w14:textId="77777777" w:rsidR="004639EE" w:rsidRPr="008F6764" w:rsidRDefault="004639EE">
      <w:pPr>
        <w:spacing w:after="0" w:line="360" w:lineRule="auto"/>
        <w:ind w:right="49"/>
        <w:jc w:val="both"/>
        <w:rPr>
          <w:rFonts w:ascii="Palatino Linotype" w:eastAsia="Palatino Linotype" w:hAnsi="Palatino Linotype" w:cs="Palatino Linotype"/>
          <w:b/>
        </w:rPr>
      </w:pPr>
    </w:p>
    <w:p w14:paraId="745E231F" w14:textId="77777777"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b/>
        </w:rPr>
        <w:t>Tercero. Materia de la revisión</w:t>
      </w:r>
      <w:r w:rsidRPr="008F6764">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w:t>
      </w:r>
      <w:r w:rsidR="00837F1B" w:rsidRPr="008F6764">
        <w:rPr>
          <w:rFonts w:ascii="Palatino Linotype" w:eastAsia="Palatino Linotype" w:hAnsi="Palatino Linotype" w:cs="Palatino Linotype"/>
        </w:rPr>
        <w:t>I</w:t>
      </w:r>
      <w:r w:rsidRPr="008F6764">
        <w:rPr>
          <w:rFonts w:ascii="Palatino Linotype" w:eastAsia="Palatino Linotype" w:hAnsi="Palatino Linotype" w:cs="Palatino Linotype"/>
        </w:rPr>
        <w:t xml:space="preserve"> del artículo 179 de la Ley en la materia. </w:t>
      </w:r>
    </w:p>
    <w:p w14:paraId="5A764BFB" w14:textId="77777777" w:rsidR="004639EE" w:rsidRPr="008F6764" w:rsidRDefault="004639EE">
      <w:pPr>
        <w:spacing w:after="0" w:line="360" w:lineRule="auto"/>
        <w:ind w:right="49"/>
        <w:jc w:val="both"/>
        <w:rPr>
          <w:rFonts w:ascii="Palatino Linotype" w:eastAsia="Palatino Linotype" w:hAnsi="Palatino Linotype" w:cs="Palatino Linotype"/>
        </w:rPr>
      </w:pPr>
    </w:p>
    <w:p w14:paraId="074DAF6F"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b/>
        </w:rPr>
        <w:t>Cuarto.</w:t>
      </w:r>
      <w:r w:rsidRPr="008F6764">
        <w:rPr>
          <w:rFonts w:ascii="Palatino Linotype" w:eastAsia="Palatino Linotype" w:hAnsi="Palatino Linotype" w:cs="Palatino Linotype"/>
        </w:rPr>
        <w:t xml:space="preserve"> </w:t>
      </w:r>
      <w:r w:rsidRPr="008F6764">
        <w:rPr>
          <w:rFonts w:ascii="Palatino Linotype" w:eastAsia="Palatino Linotype" w:hAnsi="Palatino Linotype" w:cs="Palatino Linotype"/>
          <w:b/>
        </w:rPr>
        <w:t>Estudio de fondo del asunto.</w:t>
      </w:r>
      <w:r w:rsidRPr="008F6764">
        <w:rPr>
          <w:rFonts w:ascii="Palatino Linotype" w:eastAsia="Palatino Linotype" w:hAnsi="Palatino Linotype" w:cs="Palatino Linotype"/>
        </w:rPr>
        <w:t xml:space="preserve">  Es conveniente analizar si la respuesta del Sujeto Obligado</w:t>
      </w:r>
      <w:r w:rsidRPr="008F6764">
        <w:rPr>
          <w:rFonts w:ascii="Palatino Linotype" w:eastAsia="Palatino Linotype" w:hAnsi="Palatino Linotype" w:cs="Palatino Linotype"/>
          <w:b/>
        </w:rPr>
        <w:t xml:space="preserve"> </w:t>
      </w:r>
      <w:r w:rsidRPr="008F676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A4FE13B"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15B2FECF" w14:textId="5148F2C8" w:rsidR="00001CDB" w:rsidRPr="008F6764" w:rsidRDefault="00837F1B" w:rsidP="003E14CF">
      <w:pPr>
        <w:tabs>
          <w:tab w:val="left" w:pos="851"/>
        </w:tabs>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r w:rsidRPr="008F6764">
        <w:rPr>
          <w:rFonts w:ascii="Palatino Linotype" w:eastAsia="Palatino Linotype" w:hAnsi="Palatino Linotype" w:cs="Palatino Linotype"/>
          <w:b/>
          <w:i/>
        </w:rPr>
        <w:t>Artículo 4</w:t>
      </w:r>
      <w:r w:rsidRPr="008F676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9CE7DF" w14:textId="77777777" w:rsidR="00837F1B" w:rsidRPr="008F6764" w:rsidRDefault="00837F1B" w:rsidP="00837F1B">
      <w:pPr>
        <w:tabs>
          <w:tab w:val="left" w:pos="851"/>
        </w:tabs>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F676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7784B1F" w14:textId="77777777" w:rsidR="00837F1B" w:rsidRPr="008F6764" w:rsidRDefault="00837F1B" w:rsidP="00837F1B">
      <w:pPr>
        <w:tabs>
          <w:tab w:val="left" w:pos="851"/>
        </w:tabs>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F6764">
        <w:rPr>
          <w:rFonts w:ascii="Palatino Linotype" w:eastAsia="Palatino Linotype" w:hAnsi="Palatino Linotype" w:cs="Palatino Linotype"/>
          <w:i/>
        </w:rPr>
        <w:t>.”</w:t>
      </w:r>
    </w:p>
    <w:p w14:paraId="0CE6E0CC" w14:textId="77777777" w:rsidR="00837F1B" w:rsidRPr="008F6764" w:rsidRDefault="00837F1B" w:rsidP="00837F1B">
      <w:pPr>
        <w:spacing w:after="0" w:line="360" w:lineRule="auto"/>
        <w:jc w:val="both"/>
        <w:rPr>
          <w:rFonts w:ascii="Palatino Linotype" w:eastAsia="Palatino Linotype" w:hAnsi="Palatino Linotype" w:cs="Palatino Linotype"/>
        </w:rPr>
      </w:pPr>
    </w:p>
    <w:p w14:paraId="104AA13E" w14:textId="77777777" w:rsidR="00837F1B" w:rsidRPr="008F6764" w:rsidRDefault="00837F1B" w:rsidP="00837F1B">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A1884AB" w14:textId="77777777" w:rsidR="00837F1B" w:rsidRPr="008F6764" w:rsidRDefault="00837F1B" w:rsidP="00837F1B">
      <w:pPr>
        <w:spacing w:after="0" w:line="360" w:lineRule="auto"/>
        <w:jc w:val="both"/>
        <w:rPr>
          <w:rFonts w:ascii="Palatino Linotype" w:eastAsia="Palatino Linotype" w:hAnsi="Palatino Linotype" w:cs="Palatino Linotype"/>
        </w:rPr>
      </w:pPr>
    </w:p>
    <w:p w14:paraId="39A64FFD" w14:textId="77777777" w:rsidR="00837F1B" w:rsidRPr="008F6764" w:rsidRDefault="00837F1B" w:rsidP="00837F1B">
      <w:pPr>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r w:rsidRPr="008F6764">
        <w:rPr>
          <w:rFonts w:ascii="Palatino Linotype" w:eastAsia="Palatino Linotype" w:hAnsi="Palatino Linotype" w:cs="Palatino Linotype"/>
          <w:b/>
          <w:i/>
        </w:rPr>
        <w:t>Artículo 12.-</w:t>
      </w:r>
      <w:r w:rsidRPr="008F676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C577BC5" w14:textId="77777777" w:rsidR="00837F1B" w:rsidRPr="008F6764" w:rsidRDefault="00837F1B" w:rsidP="00837F1B">
      <w:pPr>
        <w:spacing w:after="0"/>
        <w:ind w:left="567" w:right="616"/>
        <w:jc w:val="both"/>
        <w:rPr>
          <w:rFonts w:ascii="Palatino Linotype" w:eastAsia="Palatino Linotype" w:hAnsi="Palatino Linotype" w:cs="Palatino Linotype"/>
          <w:i/>
        </w:rPr>
      </w:pPr>
    </w:p>
    <w:p w14:paraId="03340CC3" w14:textId="77777777" w:rsidR="00837F1B" w:rsidRPr="008F6764" w:rsidRDefault="00837F1B" w:rsidP="00837F1B">
      <w:pPr>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F6764">
        <w:rPr>
          <w:rFonts w:ascii="Palatino Linotype" w:eastAsia="Palatino Linotype" w:hAnsi="Palatino Linotype" w:cs="Palatino Linotype"/>
          <w:i/>
        </w:rPr>
        <w:t xml:space="preserve">. </w:t>
      </w:r>
      <w:r w:rsidRPr="008F676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8F6764">
        <w:rPr>
          <w:rFonts w:ascii="Palatino Linotype" w:eastAsia="Palatino Linotype" w:hAnsi="Palatino Linotype" w:cs="Palatino Linotype"/>
          <w:i/>
        </w:rPr>
        <w:t xml:space="preserve">.” </w:t>
      </w:r>
    </w:p>
    <w:p w14:paraId="7EDA404B" w14:textId="77777777" w:rsidR="00837F1B" w:rsidRPr="008F6764" w:rsidRDefault="00837F1B" w:rsidP="00837F1B">
      <w:pPr>
        <w:spacing w:after="0"/>
        <w:ind w:left="567" w:right="616"/>
        <w:jc w:val="both"/>
        <w:rPr>
          <w:rFonts w:ascii="Palatino Linotype" w:eastAsia="Palatino Linotype" w:hAnsi="Palatino Linotype" w:cs="Palatino Linotype"/>
          <w:i/>
        </w:rPr>
      </w:pPr>
    </w:p>
    <w:p w14:paraId="15E18AF1" w14:textId="77777777" w:rsidR="00837F1B" w:rsidRPr="008F6764" w:rsidRDefault="00837F1B" w:rsidP="00837F1B">
      <w:pPr>
        <w:spacing w:after="0" w:line="360" w:lineRule="auto"/>
        <w:ind w:right="-93"/>
        <w:jc w:val="both"/>
        <w:rPr>
          <w:rFonts w:ascii="Palatino Linotype" w:eastAsia="Palatino Linotype" w:hAnsi="Palatino Linotype" w:cs="Palatino Linotype"/>
        </w:rPr>
      </w:pPr>
      <w:r w:rsidRPr="008F676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89BF62D" w14:textId="77777777" w:rsidR="00837F1B" w:rsidRPr="008F6764" w:rsidRDefault="00837F1B" w:rsidP="00837F1B">
      <w:pPr>
        <w:spacing w:after="0" w:line="360" w:lineRule="auto"/>
        <w:ind w:right="-93"/>
        <w:jc w:val="both"/>
        <w:rPr>
          <w:rFonts w:ascii="Palatino Linotype" w:eastAsia="Palatino Linotype" w:hAnsi="Palatino Linotype" w:cs="Palatino Linotype"/>
        </w:rPr>
      </w:pPr>
    </w:p>
    <w:p w14:paraId="623FDFC8" w14:textId="7E9E9EA5" w:rsidR="00837F1B" w:rsidRPr="008F6764" w:rsidRDefault="00837F1B" w:rsidP="00837F1B">
      <w:pPr>
        <w:spacing w:after="0" w:line="360" w:lineRule="auto"/>
        <w:jc w:val="both"/>
        <w:rPr>
          <w:rFonts w:ascii="Palatino Linotype" w:eastAsia="Palatino Linotype" w:hAnsi="Palatino Linotype" w:cs="Palatino Linotype"/>
          <w:b/>
        </w:rPr>
      </w:pPr>
      <w:r w:rsidRPr="008F6764">
        <w:rPr>
          <w:rFonts w:ascii="Palatino Linotype" w:eastAsia="Palatino Linotype" w:hAnsi="Palatino Linotype" w:cs="Palatino Linotype"/>
        </w:rPr>
        <w:t xml:space="preserve">Sirve de apoyo a lo anterior, el criterio </w:t>
      </w:r>
      <w:r w:rsidR="00001CDB" w:rsidRPr="008F6764">
        <w:rPr>
          <w:rFonts w:ascii="Palatino Linotype" w:eastAsia="Palatino Linotype" w:hAnsi="Palatino Linotype" w:cs="Palatino Linotype"/>
        </w:rPr>
        <w:t xml:space="preserve">orientador </w:t>
      </w:r>
      <w:r w:rsidRPr="008F6764">
        <w:rPr>
          <w:rFonts w:ascii="Palatino Linotype" w:eastAsia="Palatino Linotype" w:hAnsi="Palatino Linotype" w:cs="Palatino Linotype"/>
        </w:rPr>
        <w:t>03-17, expuesto por el entonces Instituto Nacional de Transparencia, Acceso a la Información y Protección de Datos Personales, que dice:</w:t>
      </w:r>
      <w:r w:rsidRPr="008F6764">
        <w:rPr>
          <w:rFonts w:ascii="Palatino Linotype" w:eastAsia="Palatino Linotype" w:hAnsi="Palatino Linotype" w:cs="Palatino Linotype"/>
          <w:b/>
        </w:rPr>
        <w:t xml:space="preserve"> </w:t>
      </w:r>
    </w:p>
    <w:p w14:paraId="4778E7C7" w14:textId="77777777" w:rsidR="00837F1B" w:rsidRPr="008F6764" w:rsidRDefault="00837F1B" w:rsidP="00837F1B">
      <w:pPr>
        <w:spacing w:after="0"/>
        <w:ind w:left="851" w:right="850"/>
        <w:jc w:val="both"/>
        <w:rPr>
          <w:rFonts w:ascii="Palatino Linotype" w:eastAsia="Palatino Linotype" w:hAnsi="Palatino Linotype" w:cs="Palatino Linotype"/>
        </w:rPr>
      </w:pPr>
    </w:p>
    <w:p w14:paraId="0930DDEA" w14:textId="429F79C0" w:rsidR="00837F1B" w:rsidRPr="008F6764" w:rsidRDefault="00837F1B" w:rsidP="00DB19E7">
      <w:pPr>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r w:rsidRPr="008F6764">
        <w:rPr>
          <w:rFonts w:ascii="Palatino Linotype" w:eastAsia="Palatino Linotype" w:hAnsi="Palatino Linotype" w:cs="Palatino Linotype"/>
          <w:b/>
          <w:i/>
        </w:rPr>
        <w:t>No existe obligación de elaborar documentos ad hoc para atender las solicitudes de acceso a la información.</w:t>
      </w:r>
      <w:r w:rsidRPr="008F676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2BE108F" w14:textId="77777777" w:rsidR="00837F1B" w:rsidRPr="008F6764" w:rsidRDefault="00837F1B" w:rsidP="00837F1B">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8DFA6B" w14:textId="77777777" w:rsidR="00837F1B" w:rsidRPr="008F6764" w:rsidRDefault="00837F1B" w:rsidP="00837F1B">
      <w:pPr>
        <w:spacing w:after="0" w:line="360" w:lineRule="auto"/>
        <w:jc w:val="both"/>
        <w:rPr>
          <w:rFonts w:ascii="Palatino Linotype" w:eastAsia="Palatino Linotype" w:hAnsi="Palatino Linotype" w:cs="Palatino Linotype"/>
        </w:rPr>
      </w:pPr>
    </w:p>
    <w:p w14:paraId="21CCA4C1"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D93756" w14:textId="77777777" w:rsidR="00837F1B" w:rsidRPr="008F6764" w:rsidRDefault="00837F1B" w:rsidP="00837F1B">
      <w:pPr>
        <w:spacing w:after="0" w:line="360" w:lineRule="auto"/>
        <w:ind w:right="49"/>
        <w:jc w:val="both"/>
        <w:rPr>
          <w:rFonts w:ascii="Palatino Linotype" w:eastAsia="Palatino Linotype" w:hAnsi="Palatino Linotype" w:cs="Palatino Linotype"/>
        </w:rPr>
      </w:pPr>
    </w:p>
    <w:p w14:paraId="222CB310" w14:textId="77777777" w:rsidR="00837F1B" w:rsidRPr="008F6764" w:rsidRDefault="00837F1B" w:rsidP="00837F1B">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7DE37F8" w14:textId="77777777" w:rsidR="00837F1B" w:rsidRPr="008F6764" w:rsidRDefault="00837F1B" w:rsidP="00837F1B">
      <w:pPr>
        <w:spacing w:after="0" w:line="360" w:lineRule="auto"/>
        <w:jc w:val="both"/>
        <w:rPr>
          <w:rFonts w:ascii="Palatino Linotype" w:eastAsia="Palatino Linotype" w:hAnsi="Palatino Linotype" w:cs="Palatino Linotype"/>
        </w:rPr>
      </w:pPr>
    </w:p>
    <w:p w14:paraId="1315DFB1" w14:textId="77777777" w:rsidR="00837F1B" w:rsidRPr="008F6764" w:rsidRDefault="00837F1B" w:rsidP="00837F1B">
      <w:pPr>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r w:rsidRPr="008F6764">
        <w:rPr>
          <w:rFonts w:ascii="Palatino Linotype" w:eastAsia="Palatino Linotype" w:hAnsi="Palatino Linotype" w:cs="Palatino Linotype"/>
          <w:b/>
          <w:i/>
        </w:rPr>
        <w:t xml:space="preserve">Artículo 3. </w:t>
      </w:r>
      <w:r w:rsidRPr="008F6764">
        <w:rPr>
          <w:rFonts w:ascii="Palatino Linotype" w:eastAsia="Palatino Linotype" w:hAnsi="Palatino Linotype" w:cs="Palatino Linotype"/>
          <w:i/>
        </w:rPr>
        <w:t>Para los efectos de la presente Ley se entenderá por:</w:t>
      </w:r>
    </w:p>
    <w:p w14:paraId="49333E6D" w14:textId="77777777" w:rsidR="00837F1B" w:rsidRPr="008F6764" w:rsidRDefault="00837F1B" w:rsidP="00837F1B">
      <w:pPr>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p>
    <w:p w14:paraId="4DEEAD1E" w14:textId="77777777" w:rsidR="00837F1B" w:rsidRPr="008F6764" w:rsidRDefault="00837F1B" w:rsidP="00837F1B">
      <w:pPr>
        <w:spacing w:after="0"/>
        <w:ind w:left="567" w:right="616"/>
        <w:jc w:val="both"/>
        <w:rPr>
          <w:rFonts w:ascii="Palatino Linotype" w:eastAsia="Palatino Linotype" w:hAnsi="Palatino Linotype" w:cs="Palatino Linotype"/>
          <w:i/>
        </w:rPr>
      </w:pPr>
      <w:r w:rsidRPr="008F6764">
        <w:rPr>
          <w:rFonts w:ascii="Palatino Linotype" w:eastAsia="Palatino Linotype" w:hAnsi="Palatino Linotype" w:cs="Palatino Linotype"/>
          <w:b/>
          <w:i/>
        </w:rPr>
        <w:t>XI. Documento:</w:t>
      </w:r>
      <w:r w:rsidRPr="008F6764">
        <w:rPr>
          <w:rFonts w:ascii="Palatino Linotype" w:eastAsia="Palatino Linotype" w:hAnsi="Palatino Linotype" w:cs="Palatino Linotype"/>
          <w:i/>
        </w:rPr>
        <w:t xml:space="preserve"> Los expedientes, reportes, estudios, actas</w:t>
      </w:r>
      <w:r w:rsidRPr="008F6764">
        <w:rPr>
          <w:rFonts w:ascii="Palatino Linotype" w:eastAsia="Palatino Linotype" w:hAnsi="Palatino Linotype" w:cs="Palatino Linotype"/>
          <w:b/>
          <w:i/>
        </w:rPr>
        <w:t>,</w:t>
      </w:r>
      <w:r w:rsidRPr="008F676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7449B7" w14:textId="77777777" w:rsidR="00837F1B" w:rsidRPr="008F6764" w:rsidRDefault="00837F1B" w:rsidP="00837F1B">
      <w:pPr>
        <w:spacing w:after="0" w:line="360" w:lineRule="auto"/>
        <w:ind w:left="851" w:right="899"/>
        <w:jc w:val="both"/>
        <w:rPr>
          <w:rFonts w:ascii="Palatino Linotype" w:eastAsia="Palatino Linotype" w:hAnsi="Palatino Linotype" w:cs="Palatino Linotype"/>
        </w:rPr>
      </w:pPr>
    </w:p>
    <w:p w14:paraId="003CC7F4" w14:textId="77777777" w:rsidR="00837F1B" w:rsidRPr="008F6764" w:rsidRDefault="00837F1B" w:rsidP="00837F1B">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CF8048" w14:textId="77777777" w:rsidR="00837F1B" w:rsidRPr="008F6764" w:rsidRDefault="00837F1B" w:rsidP="00837F1B">
      <w:pPr>
        <w:spacing w:after="0" w:line="360" w:lineRule="auto"/>
        <w:ind w:left="851" w:right="899"/>
        <w:jc w:val="both"/>
        <w:rPr>
          <w:rFonts w:ascii="Palatino Linotype" w:eastAsia="Palatino Linotype" w:hAnsi="Palatino Linotype" w:cs="Palatino Linotype"/>
        </w:rPr>
      </w:pPr>
    </w:p>
    <w:p w14:paraId="51791D2D" w14:textId="77777777" w:rsidR="00837F1B" w:rsidRPr="008F6764" w:rsidRDefault="00837F1B" w:rsidP="00837F1B">
      <w:pPr>
        <w:tabs>
          <w:tab w:val="left" w:pos="7797"/>
        </w:tabs>
        <w:spacing w:after="0"/>
        <w:ind w:left="709" w:right="616"/>
        <w:jc w:val="both"/>
        <w:rPr>
          <w:rFonts w:ascii="Palatino Linotype" w:eastAsia="Palatino Linotype" w:hAnsi="Palatino Linotype" w:cs="Palatino Linotype"/>
          <w:b/>
          <w:i/>
        </w:rPr>
      </w:pPr>
      <w:r w:rsidRPr="008F6764">
        <w:rPr>
          <w:rFonts w:ascii="Palatino Linotype" w:eastAsia="Palatino Linotype" w:hAnsi="Palatino Linotype" w:cs="Palatino Linotype"/>
          <w:b/>
        </w:rPr>
        <w:t>“</w:t>
      </w:r>
      <w:r w:rsidRPr="008F676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8F676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613977" w14:textId="77777777" w:rsidR="00837F1B" w:rsidRPr="008F6764" w:rsidRDefault="00837F1B" w:rsidP="00837F1B">
      <w:pPr>
        <w:tabs>
          <w:tab w:val="left" w:pos="7797"/>
        </w:tabs>
        <w:spacing w:after="0"/>
        <w:ind w:left="709" w:right="616"/>
        <w:jc w:val="both"/>
        <w:rPr>
          <w:rFonts w:ascii="Palatino Linotype" w:eastAsia="Palatino Linotype" w:hAnsi="Palatino Linotype" w:cs="Palatino Linotype"/>
          <w:i/>
        </w:rPr>
      </w:pPr>
      <w:r w:rsidRPr="008F6764">
        <w:rPr>
          <w:rFonts w:ascii="Palatino Linotype" w:eastAsia="Palatino Linotype" w:hAnsi="Palatino Linotype" w:cs="Palatino Linotype"/>
          <w:i/>
        </w:rPr>
        <w:t>En consecuencia el acceso a la información se refiere a que se cumplan cualquiera de los siguientes tres supuestos:</w:t>
      </w:r>
    </w:p>
    <w:p w14:paraId="62E65635" w14:textId="77777777" w:rsidR="00837F1B" w:rsidRPr="008F6764" w:rsidRDefault="00837F1B" w:rsidP="00837F1B">
      <w:pPr>
        <w:tabs>
          <w:tab w:val="left" w:pos="7797"/>
        </w:tabs>
        <w:spacing w:after="0"/>
        <w:ind w:left="709" w:right="616"/>
        <w:jc w:val="both"/>
        <w:rPr>
          <w:rFonts w:ascii="Palatino Linotype" w:eastAsia="Palatino Linotype" w:hAnsi="Palatino Linotype" w:cs="Palatino Linotype"/>
          <w:i/>
        </w:rPr>
      </w:pPr>
      <w:r w:rsidRPr="008F676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9861023" w14:textId="77777777" w:rsidR="00837F1B" w:rsidRPr="008F6764" w:rsidRDefault="00837F1B" w:rsidP="00837F1B">
      <w:pPr>
        <w:tabs>
          <w:tab w:val="left" w:pos="7797"/>
        </w:tabs>
        <w:spacing w:after="0"/>
        <w:ind w:left="709" w:right="616"/>
        <w:jc w:val="both"/>
        <w:rPr>
          <w:rFonts w:ascii="Palatino Linotype" w:eastAsia="Palatino Linotype" w:hAnsi="Palatino Linotype" w:cs="Palatino Linotype"/>
          <w:b/>
          <w:i/>
        </w:rPr>
      </w:pPr>
      <w:r w:rsidRPr="008F676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6725E33B" w14:textId="77777777" w:rsidR="00837F1B" w:rsidRPr="008F6764" w:rsidRDefault="00837F1B" w:rsidP="00837F1B">
      <w:pPr>
        <w:tabs>
          <w:tab w:val="left" w:pos="7797"/>
        </w:tabs>
        <w:spacing w:after="0"/>
        <w:ind w:left="709" w:right="616"/>
        <w:jc w:val="both"/>
        <w:rPr>
          <w:rFonts w:ascii="Palatino Linotype" w:eastAsia="Palatino Linotype" w:hAnsi="Palatino Linotype" w:cs="Palatino Linotype"/>
          <w:b/>
          <w:i/>
        </w:rPr>
      </w:pPr>
      <w:r w:rsidRPr="008F676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38B4A71" w14:textId="77777777" w:rsidR="00837F1B" w:rsidRPr="008F6764" w:rsidRDefault="00837F1B" w:rsidP="00837F1B">
      <w:pPr>
        <w:spacing w:after="0" w:line="360" w:lineRule="auto"/>
        <w:jc w:val="both"/>
        <w:rPr>
          <w:rFonts w:ascii="Palatino Linotype" w:eastAsia="Palatino Linotype" w:hAnsi="Palatino Linotype" w:cs="Palatino Linotype"/>
        </w:rPr>
      </w:pPr>
    </w:p>
    <w:p w14:paraId="66716FD6" w14:textId="23137BEE" w:rsidR="00DB19E7" w:rsidRPr="008F6764" w:rsidRDefault="00837F1B" w:rsidP="00837F1B">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Dicho lo anterior, es de recordar que l</w:t>
      </w:r>
      <w:r w:rsidR="00DB19E7" w:rsidRPr="008F6764">
        <w:rPr>
          <w:rFonts w:ascii="Palatino Linotype" w:eastAsia="Palatino Linotype" w:hAnsi="Palatino Linotype" w:cs="Palatino Linotype"/>
        </w:rPr>
        <w:t xml:space="preserve">a parte Solicitante requirió el número de nómina, sueldo mensual bruto, área de adscripción de todos los servidores públicos que cobren vía nómina o por cheque, honorarios, o servicios profesionales de todas las áreas del ayuntamiento de acuerdo a su organigrama es decir, direcciones, jefaturas y áreas de la administración municipal incluido seguridad pública y C4. </w:t>
      </w:r>
    </w:p>
    <w:p w14:paraId="627977FA" w14:textId="77777777" w:rsidR="004639EE" w:rsidRPr="008F6764" w:rsidRDefault="004639EE">
      <w:pPr>
        <w:spacing w:after="0" w:line="360" w:lineRule="auto"/>
        <w:ind w:right="49"/>
        <w:jc w:val="both"/>
        <w:rPr>
          <w:rFonts w:ascii="Palatino Linotype" w:eastAsia="Palatino Linotype" w:hAnsi="Palatino Linotype" w:cs="Palatino Linotype"/>
        </w:rPr>
      </w:pPr>
    </w:p>
    <w:p w14:paraId="3D86187A" w14:textId="368321E1" w:rsidR="00DB19E7" w:rsidRPr="008F6764" w:rsidRDefault="00F96E79" w:rsidP="0065490D">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En respuesta,</w:t>
      </w:r>
      <w:r w:rsidR="0065490D" w:rsidRPr="008F6764">
        <w:rPr>
          <w:rFonts w:ascii="Palatino Linotype" w:eastAsia="Palatino Linotype" w:hAnsi="Palatino Linotype" w:cs="Palatino Linotype"/>
        </w:rPr>
        <w:t xml:space="preserve"> el Sujeto Obligado, a través del Jefe de Recursos Humanos refirió que, la información se encontraba publicada en el Portal de Ipomex y proporcionó una liga electrónica. </w:t>
      </w:r>
    </w:p>
    <w:p w14:paraId="5FB790F9" w14:textId="77777777" w:rsidR="0065490D" w:rsidRPr="008F6764" w:rsidRDefault="0065490D" w:rsidP="0065490D">
      <w:pPr>
        <w:spacing w:after="0" w:line="360" w:lineRule="auto"/>
        <w:ind w:right="49"/>
        <w:jc w:val="both"/>
        <w:rPr>
          <w:rFonts w:ascii="Palatino Linotype" w:eastAsia="Palatino Linotype" w:hAnsi="Palatino Linotype" w:cs="Palatino Linotype"/>
        </w:rPr>
      </w:pPr>
    </w:p>
    <w:p w14:paraId="7F6D303E" w14:textId="004F61FF" w:rsidR="004639EE" w:rsidRPr="008F6764" w:rsidRDefault="00E72281">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Derivado de ello, la parte Recurrente se inconform</w:t>
      </w:r>
      <w:r w:rsidR="00F96E79" w:rsidRPr="008F6764">
        <w:rPr>
          <w:rFonts w:ascii="Palatino Linotype" w:eastAsia="Palatino Linotype" w:hAnsi="Palatino Linotype" w:cs="Palatino Linotype"/>
        </w:rPr>
        <w:t xml:space="preserve">ó arguyendo </w:t>
      </w:r>
      <w:r w:rsidR="0065490D" w:rsidRPr="008F6764">
        <w:rPr>
          <w:rFonts w:ascii="Palatino Linotype" w:eastAsia="Palatino Linotype" w:hAnsi="Palatino Linotype" w:cs="Palatino Linotype"/>
        </w:rPr>
        <w:t xml:space="preserve">que al consultar la página, la información que se encuentra no está completa. </w:t>
      </w:r>
    </w:p>
    <w:p w14:paraId="1AE0BA94" w14:textId="77777777" w:rsidR="004639EE" w:rsidRPr="008F6764" w:rsidRDefault="004639E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3A628394" w14:textId="1DD0E6BF" w:rsidR="004639EE" w:rsidRPr="008F6764" w:rsidRDefault="00F96E79">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El Sujeto Obligado </w:t>
      </w:r>
      <w:r w:rsidR="0065490D" w:rsidRPr="008F6764">
        <w:rPr>
          <w:rFonts w:ascii="Palatino Linotype" w:eastAsia="Palatino Linotype" w:hAnsi="Palatino Linotype" w:cs="Palatino Linotype"/>
        </w:rPr>
        <w:t xml:space="preserve">fue omiso en rendir su informe justificado. </w:t>
      </w:r>
    </w:p>
    <w:p w14:paraId="705E8700" w14:textId="77777777" w:rsidR="004639EE" w:rsidRPr="008F6764" w:rsidRDefault="004639EE">
      <w:pPr>
        <w:spacing w:after="0" w:line="360" w:lineRule="auto"/>
        <w:ind w:right="49"/>
        <w:jc w:val="both"/>
        <w:rPr>
          <w:rFonts w:ascii="Palatino Linotype" w:eastAsia="Palatino Linotype" w:hAnsi="Palatino Linotype" w:cs="Palatino Linotype"/>
        </w:rPr>
      </w:pPr>
    </w:p>
    <w:p w14:paraId="756DFAB7" w14:textId="77777777"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Dicho lo anterior, se procede a contextualizar la información solicitada, debido a que la información solicitada se relaciona con el </w:t>
      </w:r>
      <w:r w:rsidRPr="008F6764">
        <w:rPr>
          <w:rFonts w:ascii="Palatino Linotype" w:eastAsia="Palatino Linotype" w:hAnsi="Palatino Linotype" w:cs="Palatino Linotype"/>
          <w:b/>
        </w:rPr>
        <w:t>pago quincenal de servidores públicos</w:t>
      </w:r>
      <w:r w:rsidRPr="008F6764">
        <w:rPr>
          <w:rFonts w:ascii="Palatino Linotype" w:eastAsia="Palatino Linotype" w:hAnsi="Palatino Linotype" w:cs="Palatino Linotype"/>
        </w:rPr>
        <w:t xml:space="preserve">; el Glosario localizado en la página de Transparencia Presupuestaria de la Secretaría de Hacienda y Crédito Público (consultado en </w:t>
      </w:r>
      <w:hyperlink r:id="rId8">
        <w:r w:rsidRPr="008F6764">
          <w:rPr>
            <w:rFonts w:ascii="Palatino Linotype" w:eastAsia="Palatino Linotype" w:hAnsi="Palatino Linotype" w:cs="Palatino Linotype"/>
            <w:u w:val="single"/>
          </w:rPr>
          <w:t>https://www.transparenciapresupuestaria.gob.mx/es/PTP/Glosario</w:t>
        </w:r>
      </w:hyperlink>
      <w:r w:rsidRPr="008F6764">
        <w:rPr>
          <w:rFonts w:ascii="Palatino Linotype" w:eastAsia="Palatino Linotype" w:hAnsi="Palatino Linotype" w:cs="Palatino Linotype"/>
        </w:rPr>
        <w:t>), establece que:</w:t>
      </w:r>
    </w:p>
    <w:p w14:paraId="17383818" w14:textId="77777777" w:rsidR="004639EE" w:rsidRPr="008F6764" w:rsidRDefault="004639EE">
      <w:pPr>
        <w:tabs>
          <w:tab w:val="left" w:pos="3261"/>
        </w:tabs>
        <w:spacing w:after="0" w:line="360" w:lineRule="auto"/>
        <w:jc w:val="both"/>
        <w:rPr>
          <w:rFonts w:ascii="Palatino Linotype" w:eastAsia="Palatino Linotype" w:hAnsi="Palatino Linotype" w:cs="Palatino Linotype"/>
        </w:rPr>
      </w:pPr>
    </w:p>
    <w:p w14:paraId="5EA470C4" w14:textId="7230F0AB" w:rsidR="004639EE" w:rsidRPr="008F6764" w:rsidRDefault="00E72281" w:rsidP="0065490D">
      <w:pPr>
        <w:spacing w:after="0" w:line="360" w:lineRule="auto"/>
        <w:jc w:val="center"/>
        <w:rPr>
          <w:rFonts w:ascii="Palatino Linotype" w:eastAsia="Palatino Linotype" w:hAnsi="Palatino Linotype" w:cs="Palatino Linotype"/>
        </w:rPr>
      </w:pPr>
      <w:r w:rsidRPr="008F6764">
        <w:rPr>
          <w:rFonts w:ascii="Palatino Linotype" w:eastAsia="Palatino Linotype" w:hAnsi="Palatino Linotype" w:cs="Palatino Linotype"/>
          <w:noProof/>
        </w:rPr>
        <w:drawing>
          <wp:inline distT="0" distB="0" distL="0" distR="0" wp14:anchorId="232CC3B0" wp14:editId="075BEF96">
            <wp:extent cx="4186953" cy="11974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65870510"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0">
        <w:r w:rsidRPr="008F6764">
          <w:rPr>
            <w:rFonts w:ascii="Palatino Linotype" w:eastAsia="Palatino Linotype" w:hAnsi="Palatino Linotype" w:cs="Palatino Linotype"/>
            <w:u w:val="single"/>
          </w:rPr>
          <w:t>http://www.apartados.hacienda.gob.mx/contabilidad/documentos/informe_cuenta/1998/cuenta_publica/Glosario/n.htm</w:t>
        </w:r>
      </w:hyperlink>
      <w:r w:rsidRPr="008F6764">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07DA2C4E" w14:textId="77777777" w:rsidR="004639EE" w:rsidRPr="008F6764" w:rsidRDefault="004639EE">
      <w:pPr>
        <w:spacing w:after="0" w:line="360" w:lineRule="auto"/>
        <w:jc w:val="both"/>
        <w:rPr>
          <w:rFonts w:ascii="Palatino Linotype" w:eastAsia="Palatino Linotype" w:hAnsi="Palatino Linotype" w:cs="Palatino Linotype"/>
        </w:rPr>
      </w:pPr>
    </w:p>
    <w:p w14:paraId="57E2589E"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Conforme a lo anterior, se puede advertir que la nómina se puede referir a lo siguiente:</w:t>
      </w:r>
    </w:p>
    <w:p w14:paraId="216E8CA7"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 </w:t>
      </w:r>
    </w:p>
    <w:p w14:paraId="2916A1AF" w14:textId="77777777" w:rsidR="004639EE" w:rsidRPr="008F6764" w:rsidRDefault="00E72281">
      <w:pPr>
        <w:tabs>
          <w:tab w:val="left" w:pos="8222"/>
        </w:tabs>
        <w:spacing w:after="0"/>
        <w:ind w:left="567" w:right="709"/>
        <w:jc w:val="both"/>
        <w:rPr>
          <w:rFonts w:ascii="Palatino Linotype" w:eastAsia="Palatino Linotype" w:hAnsi="Palatino Linotype" w:cs="Palatino Linotype"/>
        </w:rPr>
      </w:pPr>
      <w:r w:rsidRPr="008F6764">
        <w:rPr>
          <w:rFonts w:ascii="Palatino Linotype" w:eastAsia="Palatino Linotype" w:hAnsi="Palatino Linotype" w:cs="Palatino Linotype"/>
        </w:rPr>
        <w:t>a)      Relación de trabajadores con las percepciones monetarias de cada uno.</w:t>
      </w:r>
    </w:p>
    <w:p w14:paraId="64458732" w14:textId="77777777" w:rsidR="004639EE" w:rsidRPr="008F6764" w:rsidRDefault="00E72281">
      <w:pPr>
        <w:tabs>
          <w:tab w:val="left" w:pos="8222"/>
        </w:tabs>
        <w:spacing w:after="0"/>
        <w:ind w:left="567" w:right="709"/>
        <w:jc w:val="both"/>
        <w:rPr>
          <w:rFonts w:ascii="Palatino Linotype" w:eastAsia="Palatino Linotype" w:hAnsi="Palatino Linotype" w:cs="Palatino Linotype"/>
          <w:b/>
          <w:u w:val="single"/>
        </w:rPr>
      </w:pPr>
      <w:r w:rsidRPr="008F6764">
        <w:rPr>
          <w:rFonts w:ascii="Palatino Linotype" w:eastAsia="Palatino Linotype" w:hAnsi="Palatino Linotype" w:cs="Palatino Linotype"/>
          <w:b/>
          <w:u w:val="single"/>
        </w:rPr>
        <w:t>b)      Recibo individual que contiene las prestaciones y deducciones de un trabajador.</w:t>
      </w:r>
    </w:p>
    <w:p w14:paraId="5A607416" w14:textId="77777777" w:rsidR="004639EE" w:rsidRPr="008F6764" w:rsidRDefault="00E72281">
      <w:pPr>
        <w:tabs>
          <w:tab w:val="left" w:pos="8222"/>
        </w:tabs>
        <w:spacing w:after="0"/>
        <w:ind w:left="567" w:right="709"/>
        <w:jc w:val="both"/>
        <w:rPr>
          <w:rFonts w:ascii="Palatino Linotype" w:eastAsia="Palatino Linotype" w:hAnsi="Palatino Linotype" w:cs="Palatino Linotype"/>
        </w:rPr>
      </w:pPr>
      <w:r w:rsidRPr="008F6764">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4152518D" w14:textId="77777777" w:rsidR="004639EE" w:rsidRPr="008F6764" w:rsidRDefault="004639EE">
      <w:pPr>
        <w:spacing w:after="0" w:line="360" w:lineRule="auto"/>
        <w:jc w:val="both"/>
        <w:rPr>
          <w:rFonts w:ascii="Palatino Linotype" w:eastAsia="Palatino Linotype" w:hAnsi="Palatino Linotype" w:cs="Palatino Linotype"/>
        </w:rPr>
      </w:pPr>
    </w:p>
    <w:p w14:paraId="0E0F54BC" w14:textId="77777777"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D3260D9" w14:textId="77777777" w:rsidR="00E50E40" w:rsidRPr="008F6764" w:rsidRDefault="00E50E40">
      <w:pPr>
        <w:spacing w:after="0" w:line="360" w:lineRule="auto"/>
        <w:ind w:right="49"/>
        <w:jc w:val="both"/>
        <w:rPr>
          <w:rFonts w:ascii="Palatino Linotype" w:eastAsia="Palatino Linotype" w:hAnsi="Palatino Linotype" w:cs="Palatino Linotype"/>
        </w:rPr>
      </w:pPr>
    </w:p>
    <w:p w14:paraId="10BA59A6" w14:textId="77777777"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29B0866F"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742207D8" w14:textId="77777777" w:rsidR="004639EE" w:rsidRPr="008F6764" w:rsidRDefault="004639EE">
      <w:pPr>
        <w:spacing w:after="0" w:line="360" w:lineRule="auto"/>
        <w:ind w:right="843"/>
        <w:jc w:val="both"/>
        <w:rPr>
          <w:rFonts w:ascii="Palatino Linotype" w:eastAsia="Palatino Linotype" w:hAnsi="Palatino Linotype" w:cs="Palatino Linotype"/>
          <w:i/>
        </w:rPr>
      </w:pPr>
    </w:p>
    <w:p w14:paraId="5893DA29"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3B2537ED" w14:textId="77777777" w:rsidR="004639EE" w:rsidRPr="008F6764" w:rsidRDefault="004639EE">
      <w:pPr>
        <w:spacing w:after="0" w:line="360" w:lineRule="auto"/>
        <w:jc w:val="both"/>
        <w:rPr>
          <w:rFonts w:ascii="Palatino Linotype" w:eastAsia="Palatino Linotype" w:hAnsi="Palatino Linotype" w:cs="Palatino Linotype"/>
        </w:rPr>
      </w:pPr>
    </w:p>
    <w:p w14:paraId="1DDF618E"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b/>
          <w:i/>
        </w:rPr>
        <w:t>ARTÍCULO 220 K</w:t>
      </w:r>
      <w:r w:rsidRPr="008F6764">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1DAE51FD"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p>
    <w:p w14:paraId="438C22BD"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721D7F9A"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p>
    <w:p w14:paraId="70B53A11"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i/>
        </w:rPr>
        <w:t xml:space="preserve">IV. Recibos o las constancias de deposito o del medio de información magnética o electrónica que sean utilizadas para el pago de salarios, prima vacacional, aguinaldo y demás prestaciones establecidas en la presente ley; </w:t>
      </w:r>
    </w:p>
    <w:p w14:paraId="73819994" w14:textId="77777777" w:rsidR="004639EE" w:rsidRPr="008F6764" w:rsidRDefault="004639EE">
      <w:pPr>
        <w:spacing w:after="0"/>
        <w:ind w:left="567" w:right="843"/>
        <w:jc w:val="both"/>
        <w:rPr>
          <w:rFonts w:ascii="Palatino Linotype" w:eastAsia="Palatino Linotype" w:hAnsi="Palatino Linotype" w:cs="Palatino Linotype"/>
          <w:i/>
        </w:rPr>
      </w:pPr>
    </w:p>
    <w:p w14:paraId="4DEDC943"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64EEAFA" w14:textId="77777777" w:rsidR="004639EE" w:rsidRPr="008F6764" w:rsidRDefault="004639EE">
      <w:pPr>
        <w:spacing w:after="0" w:line="360" w:lineRule="auto"/>
        <w:jc w:val="both"/>
        <w:rPr>
          <w:rFonts w:ascii="Palatino Linotype" w:eastAsia="Palatino Linotype" w:hAnsi="Palatino Linotype" w:cs="Palatino Linotype"/>
        </w:rPr>
      </w:pPr>
    </w:p>
    <w:p w14:paraId="0C995848"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71DC855D" w14:textId="77777777" w:rsidR="004639EE" w:rsidRPr="008F6764" w:rsidRDefault="004639EE">
      <w:pPr>
        <w:spacing w:after="0" w:line="360" w:lineRule="auto"/>
        <w:jc w:val="both"/>
        <w:rPr>
          <w:rFonts w:ascii="Palatino Linotype" w:eastAsia="Palatino Linotype" w:hAnsi="Palatino Linotype" w:cs="Palatino Linotype"/>
        </w:rPr>
      </w:pPr>
    </w:p>
    <w:p w14:paraId="33F53E5E"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8F6764">
        <w:rPr>
          <w:rFonts w:ascii="Palatino Linotype" w:eastAsia="Palatino Linotype" w:hAnsi="Palatino Linotype" w:cs="Palatino Linotype"/>
          <w:b/>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8F6764">
        <w:rPr>
          <w:rFonts w:ascii="Palatino Linotype" w:eastAsia="Palatino Linotype" w:hAnsi="Palatino Linotype" w:cs="Palatino Linotype"/>
        </w:rPr>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6266601B" w14:textId="77777777" w:rsidR="004639EE" w:rsidRPr="008F6764" w:rsidRDefault="004639EE">
      <w:pPr>
        <w:spacing w:after="0" w:line="360" w:lineRule="auto"/>
        <w:jc w:val="both"/>
        <w:rPr>
          <w:rFonts w:ascii="Palatino Linotype" w:eastAsia="Palatino Linotype" w:hAnsi="Palatino Linotype" w:cs="Palatino Linotype"/>
        </w:rPr>
      </w:pPr>
    </w:p>
    <w:p w14:paraId="0C81E259"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6DD53171" w14:textId="77777777" w:rsidR="004639EE" w:rsidRPr="008F6764" w:rsidRDefault="004639EE">
      <w:pPr>
        <w:spacing w:after="0" w:line="360" w:lineRule="auto"/>
        <w:jc w:val="both"/>
        <w:rPr>
          <w:rFonts w:ascii="Palatino Linotype" w:eastAsia="Palatino Linotype" w:hAnsi="Palatino Linotype" w:cs="Palatino Linotype"/>
        </w:rPr>
      </w:pPr>
    </w:p>
    <w:p w14:paraId="26D6B656" w14:textId="77777777" w:rsidR="004639EE" w:rsidRPr="008F6764" w:rsidRDefault="00E72281">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En lo que hace a</w:t>
      </w:r>
      <w:r w:rsidR="00F96E79" w:rsidRPr="008F6764">
        <w:rPr>
          <w:rFonts w:ascii="Palatino Linotype" w:eastAsia="Palatino Linotype" w:hAnsi="Palatino Linotype" w:cs="Palatino Linotype"/>
        </w:rPr>
        <w:t xml:space="preserve"> nuestra materia, el artículo 65</w:t>
      </w:r>
      <w:r w:rsidR="00E50E40" w:rsidRPr="008F6764">
        <w:rPr>
          <w:rFonts w:ascii="Palatino Linotype" w:eastAsia="Palatino Linotype" w:hAnsi="Palatino Linotype" w:cs="Palatino Linotype"/>
        </w:rPr>
        <w:t>, fracción VI</w:t>
      </w:r>
      <w:r w:rsidRPr="008F6764">
        <w:rPr>
          <w:rFonts w:ascii="Palatino Linotype" w:eastAsia="Palatino Linotype" w:hAnsi="Palatino Linotype" w:cs="Palatino Linotype"/>
        </w:rPr>
        <w:t xml:space="preserve">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161DC581" w14:textId="77777777" w:rsidR="004639EE" w:rsidRPr="008F6764" w:rsidRDefault="004639EE">
      <w:pPr>
        <w:spacing w:after="0" w:line="360" w:lineRule="auto"/>
        <w:jc w:val="both"/>
        <w:rPr>
          <w:rFonts w:ascii="Palatino Linotype" w:eastAsia="Palatino Linotype" w:hAnsi="Palatino Linotype" w:cs="Palatino Linotype"/>
        </w:rPr>
      </w:pPr>
    </w:p>
    <w:p w14:paraId="0F2EAB8D" w14:textId="77777777" w:rsidR="004639EE" w:rsidRPr="008F6764" w:rsidRDefault="00E72281">
      <w:pPr>
        <w:spacing w:after="0"/>
        <w:ind w:left="567" w:right="843"/>
        <w:jc w:val="center"/>
        <w:rPr>
          <w:rFonts w:ascii="Palatino Linotype" w:eastAsia="Palatino Linotype" w:hAnsi="Palatino Linotype" w:cs="Palatino Linotype"/>
          <w:b/>
          <w:i/>
        </w:rPr>
      </w:pPr>
      <w:r w:rsidRPr="008F6764">
        <w:rPr>
          <w:rFonts w:ascii="Palatino Linotype" w:eastAsia="Palatino Linotype" w:hAnsi="Palatino Linotype" w:cs="Palatino Linotype"/>
          <w:b/>
          <w:i/>
        </w:rPr>
        <w:t>Ley General de Transparencia y Acceso a la Información Pública</w:t>
      </w:r>
    </w:p>
    <w:p w14:paraId="0C77F0DB" w14:textId="77777777" w:rsidR="004639EE" w:rsidRPr="008F6764" w:rsidRDefault="004639EE">
      <w:pPr>
        <w:spacing w:after="0"/>
        <w:ind w:left="567" w:right="843"/>
        <w:jc w:val="both"/>
        <w:rPr>
          <w:rFonts w:ascii="Palatino Linotype" w:eastAsia="Palatino Linotype" w:hAnsi="Palatino Linotype" w:cs="Palatino Linotype"/>
          <w:i/>
        </w:rPr>
      </w:pPr>
    </w:p>
    <w:p w14:paraId="705FB09C" w14:textId="77777777" w:rsidR="004639EE" w:rsidRPr="008F6764" w:rsidRDefault="00E50E40" w:rsidP="00E50E40">
      <w:pPr>
        <w:spacing w:after="0"/>
        <w:ind w:left="567" w:right="843"/>
        <w:jc w:val="both"/>
        <w:rPr>
          <w:rFonts w:ascii="Palatino Linotype" w:eastAsia="Palatino Linotype" w:hAnsi="Palatino Linotype" w:cs="Palatino Linotype"/>
          <w:b/>
          <w:i/>
        </w:rPr>
      </w:pPr>
      <w:r w:rsidRPr="008F6764">
        <w:rPr>
          <w:rFonts w:ascii="Palatino Linotype" w:eastAsia="Palatino Linotype" w:hAnsi="Palatino Linotype" w:cs="Palatino Linotype"/>
          <w:b/>
          <w:i/>
        </w:rPr>
        <w:t xml:space="preserve">Artículo 65. </w:t>
      </w:r>
      <w:r w:rsidRPr="008F6764">
        <w:rPr>
          <w:rFonts w:ascii="Palatino Linotype" w:eastAsia="Palatino Linotype" w:hAnsi="Palatino Linotype" w:cs="Palatino Linotype"/>
          <w:i/>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r w:rsidRPr="008F6764">
        <w:rPr>
          <w:rFonts w:ascii="Palatino Linotype" w:eastAsia="Palatino Linotype" w:hAnsi="Palatino Linotype" w:cs="Palatino Linotype"/>
          <w:b/>
          <w:i/>
        </w:rPr>
        <w:cr/>
      </w:r>
      <w:r w:rsidR="00E72281" w:rsidRPr="008F6764">
        <w:rPr>
          <w:rFonts w:ascii="Palatino Linotype" w:eastAsia="Palatino Linotype" w:hAnsi="Palatino Linotype" w:cs="Palatino Linotype"/>
          <w:i/>
        </w:rPr>
        <w:t>…</w:t>
      </w:r>
    </w:p>
    <w:p w14:paraId="22075393" w14:textId="77777777" w:rsidR="004639EE" w:rsidRPr="008F6764" w:rsidRDefault="00E50E40">
      <w:pPr>
        <w:spacing w:after="0"/>
        <w:ind w:left="567" w:right="843"/>
        <w:jc w:val="both"/>
        <w:rPr>
          <w:rFonts w:ascii="Palatino Linotype" w:eastAsia="Palatino Linotype" w:hAnsi="Palatino Linotype" w:cs="Palatino Linotype"/>
          <w:i/>
        </w:rPr>
      </w:pPr>
      <w:r w:rsidRPr="008F6764">
        <w:rPr>
          <w:rFonts w:ascii="Palatino Linotype" w:hAnsi="Palatino Linotype"/>
          <w:i/>
        </w:rP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r w:rsidR="00E72281" w:rsidRPr="008F6764">
        <w:rPr>
          <w:rFonts w:ascii="Palatino Linotype" w:eastAsia="Palatino Linotype" w:hAnsi="Palatino Linotype" w:cs="Palatino Linotype"/>
          <w:i/>
        </w:rPr>
        <w:t>;</w:t>
      </w:r>
    </w:p>
    <w:p w14:paraId="0E1DEE78"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p>
    <w:p w14:paraId="2D5230AF" w14:textId="77777777" w:rsidR="004639EE" w:rsidRPr="008F6764" w:rsidRDefault="004639EE">
      <w:pPr>
        <w:spacing w:after="0"/>
        <w:ind w:left="567" w:right="843"/>
        <w:jc w:val="both"/>
        <w:rPr>
          <w:rFonts w:ascii="Palatino Linotype" w:eastAsia="Palatino Linotype" w:hAnsi="Palatino Linotype" w:cs="Palatino Linotype"/>
          <w:i/>
        </w:rPr>
      </w:pPr>
    </w:p>
    <w:p w14:paraId="4522812A" w14:textId="77777777" w:rsidR="004639EE" w:rsidRPr="008F6764" w:rsidRDefault="00E72281">
      <w:pPr>
        <w:spacing w:after="0"/>
        <w:ind w:left="567" w:right="843"/>
        <w:jc w:val="center"/>
        <w:rPr>
          <w:rFonts w:ascii="Palatino Linotype" w:eastAsia="Palatino Linotype" w:hAnsi="Palatino Linotype" w:cs="Palatino Linotype"/>
          <w:b/>
          <w:i/>
        </w:rPr>
      </w:pPr>
      <w:r w:rsidRPr="008F6764">
        <w:rPr>
          <w:rFonts w:ascii="Palatino Linotype" w:eastAsia="Palatino Linotype" w:hAnsi="Palatino Linotype" w:cs="Palatino Linotype"/>
          <w:b/>
          <w:i/>
        </w:rPr>
        <w:t>Ley de Transparencia y Acceso a la Información Pública del Estado de México y Municipios</w:t>
      </w:r>
    </w:p>
    <w:p w14:paraId="57C20F0F" w14:textId="77777777" w:rsidR="004639EE" w:rsidRPr="008F6764" w:rsidRDefault="004639EE">
      <w:pPr>
        <w:spacing w:after="0"/>
        <w:ind w:left="567" w:right="843"/>
        <w:jc w:val="both"/>
        <w:rPr>
          <w:rFonts w:ascii="Palatino Linotype" w:eastAsia="Palatino Linotype" w:hAnsi="Palatino Linotype" w:cs="Palatino Linotype"/>
          <w:i/>
        </w:rPr>
      </w:pPr>
    </w:p>
    <w:p w14:paraId="4AC89461"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b/>
          <w:i/>
        </w:rPr>
        <w:t>Artículo 92.</w:t>
      </w:r>
      <w:r w:rsidRPr="008F6764">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F13697" w14:textId="77777777" w:rsidR="004639EE" w:rsidRPr="008F6764" w:rsidRDefault="00E72281">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i/>
        </w:rPr>
        <w:t>…</w:t>
      </w:r>
    </w:p>
    <w:p w14:paraId="489B78F7" w14:textId="5A8DD4AB" w:rsidR="004639EE" w:rsidRPr="008F6764" w:rsidRDefault="00E72281" w:rsidP="0065490D">
      <w:pPr>
        <w:spacing w:after="0"/>
        <w:ind w:left="567" w:right="843"/>
        <w:jc w:val="both"/>
        <w:rPr>
          <w:rFonts w:ascii="Palatino Linotype" w:eastAsia="Palatino Linotype" w:hAnsi="Palatino Linotype" w:cs="Palatino Linotype"/>
          <w:i/>
        </w:rPr>
      </w:pPr>
      <w:r w:rsidRPr="008F6764">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215C3C2" w14:textId="77777777" w:rsidR="001C05B6" w:rsidRPr="008F6764" w:rsidRDefault="001C05B6" w:rsidP="001C05B6">
      <w:pPr>
        <w:spacing w:after="0" w:line="360" w:lineRule="auto"/>
        <w:ind w:right="134"/>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7D26BC61" w14:textId="77777777" w:rsidR="001C05B6" w:rsidRPr="008F6764" w:rsidRDefault="001C05B6" w:rsidP="001C05B6">
      <w:pPr>
        <w:spacing w:after="0"/>
        <w:ind w:right="843"/>
        <w:jc w:val="both"/>
        <w:rPr>
          <w:rFonts w:ascii="Palatino Linotype" w:eastAsia="Palatino Linotype" w:hAnsi="Palatino Linotype" w:cs="Palatino Linotype"/>
          <w:i/>
        </w:rPr>
      </w:pPr>
    </w:p>
    <w:p w14:paraId="61BE7D10" w14:textId="36B69DB5" w:rsidR="005C1784" w:rsidRPr="008F6764" w:rsidRDefault="001C05B6">
      <w:pPr>
        <w:spacing w:after="0" w:line="360" w:lineRule="auto"/>
        <w:ind w:right="134"/>
        <w:jc w:val="both"/>
        <w:rPr>
          <w:rFonts w:ascii="Palatino Linotype" w:eastAsia="Palatino Linotype" w:hAnsi="Palatino Linotype" w:cs="Palatino Linotype"/>
        </w:rPr>
      </w:pPr>
      <w:r w:rsidRPr="008F6764">
        <w:rPr>
          <w:rFonts w:ascii="Palatino Linotype" w:eastAsia="Palatino Linotype" w:hAnsi="Palatino Linotype" w:cs="Palatino Linotype"/>
        </w:rPr>
        <w:t>En lo que respecta al Ayuntamiento de Tepotzotlán, el artículo 38 del Bando Municipal, establece que:</w:t>
      </w:r>
    </w:p>
    <w:p w14:paraId="16CD042C" w14:textId="77777777" w:rsidR="001C05B6" w:rsidRPr="008F6764" w:rsidRDefault="001C05B6">
      <w:pPr>
        <w:spacing w:after="0" w:line="360" w:lineRule="auto"/>
        <w:ind w:right="134"/>
        <w:jc w:val="both"/>
        <w:rPr>
          <w:rFonts w:ascii="Palatino Linotype" w:eastAsia="Palatino Linotype" w:hAnsi="Palatino Linotype" w:cs="Palatino Linotype"/>
        </w:rPr>
      </w:pPr>
    </w:p>
    <w:p w14:paraId="199888A9"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b/>
          <w:i/>
        </w:rPr>
        <w:t>ARTÍCULO 38.-</w:t>
      </w:r>
      <w:r w:rsidRPr="008F6764">
        <w:rPr>
          <w:rFonts w:ascii="Palatino Linotype" w:hAnsi="Palatino Linotype"/>
          <w:i/>
        </w:rPr>
        <w:t xml:space="preserve"> La Presidenta Municipal se auxiliará en el ejercicio de sus facultades establecidas en las leyes correspondientes, ejecutando las mismas a través de las siguientes direcciones y áreas de la Administración Pública Municipal, mismas que estarán bajo su subordinación: </w:t>
      </w:r>
    </w:p>
    <w:p w14:paraId="4ABF6AAA" w14:textId="77777777" w:rsidR="001C05B6" w:rsidRPr="008F6764" w:rsidRDefault="001C05B6" w:rsidP="001C05B6">
      <w:pPr>
        <w:spacing w:after="0"/>
        <w:ind w:left="567" w:right="134"/>
        <w:jc w:val="both"/>
        <w:rPr>
          <w:rFonts w:ascii="Palatino Linotype" w:hAnsi="Palatino Linotype"/>
          <w:b/>
          <w:i/>
        </w:rPr>
      </w:pPr>
      <w:r w:rsidRPr="008F6764">
        <w:rPr>
          <w:rFonts w:ascii="Palatino Linotype" w:hAnsi="Palatino Linotype"/>
          <w:b/>
          <w:i/>
        </w:rPr>
        <w:t xml:space="preserve">I. DEPENDENCIAS ADMINISTRATIVAS </w:t>
      </w:r>
    </w:p>
    <w:p w14:paraId="41D10A87"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 Secretaría del Ayuntamiento; </w:t>
      </w:r>
    </w:p>
    <w:p w14:paraId="565791A7"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2. Secretaría Técnica y Particular; </w:t>
      </w:r>
    </w:p>
    <w:p w14:paraId="3826F7EF"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3. Oficina de Asesores; </w:t>
      </w:r>
    </w:p>
    <w:p w14:paraId="2803C052" w14:textId="77777777" w:rsidR="001C05B6" w:rsidRPr="008F6764" w:rsidRDefault="001C05B6" w:rsidP="001C05B6">
      <w:pPr>
        <w:spacing w:after="0"/>
        <w:ind w:left="567" w:right="134"/>
        <w:jc w:val="both"/>
        <w:rPr>
          <w:rFonts w:ascii="Palatino Linotype" w:hAnsi="Palatino Linotype"/>
          <w:b/>
          <w:i/>
          <w:u w:val="single"/>
        </w:rPr>
      </w:pPr>
      <w:r w:rsidRPr="008F6764">
        <w:rPr>
          <w:rFonts w:ascii="Palatino Linotype" w:hAnsi="Palatino Linotype"/>
          <w:b/>
          <w:i/>
          <w:u w:val="single"/>
        </w:rPr>
        <w:t xml:space="preserve">4. Dirección de Administración y Finanzas con funciones de Tesorería; </w:t>
      </w:r>
    </w:p>
    <w:p w14:paraId="65C248A8" w14:textId="32F5D146"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5. Contraloría Interna Municipal;</w:t>
      </w:r>
    </w:p>
    <w:p w14:paraId="558224C7" w14:textId="2B276094"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6. Juzgado Cívico; </w:t>
      </w:r>
    </w:p>
    <w:p w14:paraId="20B0E5A9"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7. Dirección de Seguridad Pública, Vial y Tránsito; </w:t>
      </w:r>
    </w:p>
    <w:p w14:paraId="3C36136B"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8. Dirección Jurídica; </w:t>
      </w:r>
    </w:p>
    <w:p w14:paraId="1A7AE1A6"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9. Dirección de Servicios Públicos; </w:t>
      </w:r>
    </w:p>
    <w:p w14:paraId="70B31DDE"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10. Dirección de Desarrollo y Fomento Económico; </w:t>
      </w:r>
    </w:p>
    <w:p w14:paraId="3067AC43"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11. Dirección de Obras Públicas; </w:t>
      </w:r>
    </w:p>
    <w:p w14:paraId="33856596"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12. Dirección de Desarrollo Urbano y Metropolitano; </w:t>
      </w:r>
    </w:p>
    <w:p w14:paraId="00D6B27E"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13. Dirección de Medio Ambiente; </w:t>
      </w:r>
    </w:p>
    <w:p w14:paraId="4AEC8276"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14. Dirección de Educación y Bienestar Social; </w:t>
      </w:r>
    </w:p>
    <w:p w14:paraId="1E7562BE" w14:textId="6E55B66A"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15. Dirección de Agua Potable, Drenaje y Alcantarillado; </w:t>
      </w:r>
    </w:p>
    <w:p w14:paraId="694400A2"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16. Dirección de Turismo y Cultura; </w:t>
      </w:r>
    </w:p>
    <w:p w14:paraId="5848CF9F"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17. Dirección de las Mujeres; </w:t>
      </w:r>
    </w:p>
    <w:p w14:paraId="6EDFA60F"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18. Unidad de Información, Planeación, Programación y Evaluación; </w:t>
      </w:r>
    </w:p>
    <w:p w14:paraId="6A554E75"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19. Secretaria Técnica del Consejo Municipal de Seguridad Pública; </w:t>
      </w:r>
    </w:p>
    <w:p w14:paraId="36EF1FE6" w14:textId="65AFBF29"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20.Unidad de Transparencia y Acceso a la Información Pública; </w:t>
      </w:r>
    </w:p>
    <w:p w14:paraId="4F1CCB0B"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21. Centro de Control, Comando, Comunicaciones y Cómputo (C4); </w:t>
      </w:r>
    </w:p>
    <w:p w14:paraId="22456DE0"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22.Coordinación Municipal de Protección Civil y Bomberos; </w:t>
      </w:r>
    </w:p>
    <w:p w14:paraId="574917C5"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23.Coordinación General Municipal de Mejora Regulatoria. </w:t>
      </w:r>
    </w:p>
    <w:p w14:paraId="6C9406F5" w14:textId="77777777" w:rsidR="001C05B6" w:rsidRPr="008F6764" w:rsidRDefault="001C05B6" w:rsidP="001C05B6">
      <w:pPr>
        <w:spacing w:after="0"/>
        <w:ind w:left="567" w:right="134"/>
        <w:jc w:val="both"/>
        <w:rPr>
          <w:rFonts w:ascii="Palatino Linotype" w:hAnsi="Palatino Linotype"/>
          <w:i/>
        </w:rPr>
      </w:pPr>
    </w:p>
    <w:p w14:paraId="05DBD6E6" w14:textId="77777777" w:rsidR="001C05B6" w:rsidRPr="008F6764" w:rsidRDefault="001C05B6" w:rsidP="001C05B6">
      <w:pPr>
        <w:spacing w:after="0"/>
        <w:ind w:left="567" w:right="134"/>
        <w:jc w:val="both"/>
        <w:rPr>
          <w:rFonts w:ascii="Palatino Linotype" w:hAnsi="Palatino Linotype"/>
          <w:b/>
          <w:i/>
        </w:rPr>
      </w:pPr>
      <w:r w:rsidRPr="008F6764">
        <w:rPr>
          <w:rFonts w:ascii="Palatino Linotype" w:hAnsi="Palatino Linotype"/>
          <w:b/>
          <w:i/>
        </w:rPr>
        <w:t xml:space="preserve">II. ORGANISMOS DESCONCENTRADOS </w:t>
      </w:r>
    </w:p>
    <w:p w14:paraId="2932127E"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1.Defensoría Municipal de los Derechos Humanos; </w:t>
      </w:r>
    </w:p>
    <w:p w14:paraId="64951CEB"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2. Sistema Municipal Anticorrupción. </w:t>
      </w:r>
    </w:p>
    <w:p w14:paraId="13D83AD7" w14:textId="77777777" w:rsidR="001C05B6" w:rsidRPr="008F6764" w:rsidRDefault="001C05B6" w:rsidP="001C05B6">
      <w:pPr>
        <w:spacing w:after="0"/>
        <w:ind w:left="567" w:right="134"/>
        <w:jc w:val="both"/>
        <w:rPr>
          <w:rFonts w:ascii="Palatino Linotype" w:hAnsi="Palatino Linotype"/>
          <w:i/>
        </w:rPr>
      </w:pPr>
    </w:p>
    <w:p w14:paraId="0CB5A360" w14:textId="47835171" w:rsidR="001C05B6" w:rsidRPr="008F6764" w:rsidRDefault="001C05B6" w:rsidP="001C05B6">
      <w:pPr>
        <w:spacing w:after="0"/>
        <w:ind w:left="567" w:right="134"/>
        <w:jc w:val="both"/>
        <w:rPr>
          <w:rFonts w:ascii="Palatino Linotype" w:hAnsi="Palatino Linotype"/>
          <w:b/>
          <w:i/>
        </w:rPr>
      </w:pPr>
      <w:r w:rsidRPr="008F6764">
        <w:rPr>
          <w:rFonts w:ascii="Palatino Linotype" w:hAnsi="Palatino Linotype"/>
          <w:b/>
          <w:i/>
        </w:rPr>
        <w:t xml:space="preserve">III. ORGANISMOS DESCENTRALIZADOS </w:t>
      </w:r>
    </w:p>
    <w:p w14:paraId="6955F4F6" w14:textId="77777777" w:rsidR="001C05B6" w:rsidRPr="008F6764" w:rsidRDefault="001C05B6" w:rsidP="001C05B6">
      <w:pPr>
        <w:spacing w:after="0"/>
        <w:ind w:left="567" w:right="134"/>
        <w:jc w:val="both"/>
        <w:rPr>
          <w:rFonts w:ascii="Palatino Linotype" w:hAnsi="Palatino Linotype"/>
          <w:i/>
        </w:rPr>
      </w:pPr>
      <w:r w:rsidRPr="008F6764">
        <w:rPr>
          <w:rFonts w:ascii="Palatino Linotype" w:hAnsi="Palatino Linotype"/>
          <w:i/>
        </w:rPr>
        <w:t xml:space="preserve">1. Sistema Municipal para el Desarrollo Integral de la Familia de Tepotzotlán; </w:t>
      </w:r>
    </w:p>
    <w:p w14:paraId="5225C72D" w14:textId="21A37DAD" w:rsidR="001C05B6" w:rsidRPr="008F6764" w:rsidRDefault="001C05B6" w:rsidP="001C05B6">
      <w:pPr>
        <w:spacing w:after="0"/>
        <w:ind w:left="567" w:right="134"/>
        <w:jc w:val="both"/>
        <w:rPr>
          <w:rFonts w:ascii="Palatino Linotype" w:eastAsia="Palatino Linotype" w:hAnsi="Palatino Linotype" w:cs="Palatino Linotype"/>
          <w:i/>
        </w:rPr>
      </w:pPr>
      <w:r w:rsidRPr="008F6764">
        <w:rPr>
          <w:rFonts w:ascii="Palatino Linotype" w:hAnsi="Palatino Linotype"/>
          <w:i/>
        </w:rPr>
        <w:t>2. Instituto Municipal de Cultura Física y Deporte de Tepotzotlán</w:t>
      </w:r>
    </w:p>
    <w:p w14:paraId="63D0C379" w14:textId="77777777" w:rsidR="005C1784" w:rsidRPr="008F6764" w:rsidRDefault="005C1784">
      <w:pPr>
        <w:spacing w:after="0" w:line="360" w:lineRule="auto"/>
        <w:ind w:right="134"/>
        <w:jc w:val="both"/>
        <w:rPr>
          <w:rFonts w:ascii="Palatino Linotype" w:eastAsia="Palatino Linotype" w:hAnsi="Palatino Linotype" w:cs="Palatino Linotype"/>
        </w:rPr>
      </w:pPr>
    </w:p>
    <w:p w14:paraId="49CA7FBB" w14:textId="5ACB27BB" w:rsidR="001C05B6" w:rsidRPr="008F6764" w:rsidRDefault="001C05B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De ello, se advierte que, el Sujeto Obligado cuenta con facultades, competencia y funciones para generar, administrar y poseer la información requerida, en razón  de que cuenta con una unidad administrativa denominada Dirección de Administración y Finanzas con funciones de Tesorería. </w:t>
      </w:r>
    </w:p>
    <w:p w14:paraId="7892F3B5" w14:textId="77777777" w:rsidR="001C05B6" w:rsidRPr="008F6764" w:rsidRDefault="001C05B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7FA85CF" w14:textId="6BE55ACF" w:rsidR="0065490D" w:rsidRPr="008F6764" w:rsidRDefault="00E72281" w:rsidP="0065490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Ahora bien, en atención a los agravios hechos valer por la parte Recurrente, </w:t>
      </w:r>
      <w:r w:rsidR="0065490D" w:rsidRPr="008F6764">
        <w:rPr>
          <w:rFonts w:ascii="Palatino Linotype" w:eastAsia="Palatino Linotype" w:hAnsi="Palatino Linotype" w:cs="Palatino Linotype"/>
        </w:rPr>
        <w:t xml:space="preserve">en principio es de señalar que, se advierte que el Ayuntamiento de Tepotzotlán remitió una liga electrónica en formato cerrado, por lo que, es menester referir que de conformidad con el artículo 161 </w:t>
      </w:r>
      <w:r w:rsidR="0065490D" w:rsidRPr="008F6764">
        <w:rPr>
          <w:rFonts w:ascii="Palatino Linotype" w:hAnsi="Palatino Linotype" w:cs="Arial"/>
        </w:rPr>
        <w:t xml:space="preserve">de la </w:t>
      </w:r>
      <w:r w:rsidR="0065490D" w:rsidRPr="008F6764">
        <w:rPr>
          <w:rFonts w:ascii="Palatino Linotype" w:hAnsi="Palatino Linotype"/>
        </w:rPr>
        <w:t>Ley de Transparencia y Acceso a la Información Pública del Estado de México y Municipios</w:t>
      </w:r>
      <w:r w:rsidR="0065490D" w:rsidRPr="008F6764">
        <w:rPr>
          <w:rFonts w:ascii="Palatino Linotype" w:hAnsi="Palatino Linotype"/>
          <w:i/>
        </w:rPr>
        <w:t>,</w:t>
      </w:r>
      <w:r w:rsidR="0065490D" w:rsidRPr="008F6764">
        <w:rPr>
          <w:rFonts w:ascii="Palatino Linotype" w:hAnsi="Palatino Linotype"/>
        </w:rPr>
        <w:t xml:space="preserve"> cuando </w:t>
      </w:r>
      <w:r w:rsidR="0065490D" w:rsidRPr="008F6764">
        <w:rPr>
          <w:rFonts w:ascii="Palatino Linotype" w:eastAsia="Palatino Linotype" w:hAnsi="Palatino Linotype" w:cs="Palatino Linotype"/>
        </w:rPr>
        <w:t>la información que es del interés de las personas solicitantes se encuentre disponible al público en medios impresos, tales como libros, compendios, trípticos, registros públicos, en formatos electrónicos disponibles en internet o en cualquier otro medio, los Sujetos Obligados cuentan con la prerrogativa de informar a los peticionarios por el medio requerido la fuente, el lugar y la forma en que puede consultar, reproducir o adquirir dicha información; en este caso el sistema SAIMEX, dicha fuente debe ser precisa, concreta y no debe implicar que la persona solicitante realice una búsqueda en toda la información que se encuentre disponible.</w:t>
      </w:r>
    </w:p>
    <w:p w14:paraId="50EC0EC5" w14:textId="77777777" w:rsidR="0065490D" w:rsidRPr="008F6764" w:rsidRDefault="0065490D" w:rsidP="0065490D">
      <w:pPr>
        <w:spacing w:after="0" w:line="360" w:lineRule="auto"/>
        <w:jc w:val="both"/>
        <w:rPr>
          <w:rFonts w:ascii="Palatino Linotype" w:eastAsia="Palatino Linotype" w:hAnsi="Palatino Linotype" w:cs="Palatino Linotype"/>
        </w:rPr>
      </w:pPr>
    </w:p>
    <w:p w14:paraId="47BFA444" w14:textId="629EA3E6" w:rsidR="0065490D" w:rsidRPr="008F6764" w:rsidRDefault="0065490D" w:rsidP="0065490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En el presente caso, el Sujeto Obligado remitió una </w:t>
      </w:r>
      <w:r w:rsidRPr="008F6764">
        <w:rPr>
          <w:rFonts w:ascii="Palatino Linotype" w:eastAsia="Palatino Linotype" w:hAnsi="Palatino Linotype" w:cs="Palatino Linotype"/>
          <w:b/>
          <w:u w:val="single"/>
        </w:rPr>
        <w:t>dirección electrónica en un documento digitalizado</w:t>
      </w:r>
      <w:r w:rsidRPr="008F6764">
        <w:rPr>
          <w:rFonts w:ascii="Palatino Linotype" w:eastAsia="Palatino Linotype" w:hAnsi="Palatino Linotype" w:cs="Palatino Linotype"/>
        </w:rPr>
        <w:t xml:space="preserve">, el cual no permite su manipulación, esto es, no permite copiar, editar, modificar o procesar su contenido, por lo que, es necesario realizar la captura carácter por carácter, tarea que se dificulta si tomamos en consideración que las direcciones están compuestas por una cantidad considerable de caracteres, no obstante, se procedió a consultar la liga enviada obteniendo lo siguiente: </w:t>
      </w:r>
    </w:p>
    <w:p w14:paraId="7B029DD2" w14:textId="77777777" w:rsidR="0065490D" w:rsidRPr="008F6764" w:rsidRDefault="0065490D" w:rsidP="0065490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E6D7761" w14:textId="327D6AE4" w:rsidR="0065490D" w:rsidRPr="008F6764" w:rsidRDefault="0065490D" w:rsidP="0065490D">
      <w:pPr>
        <w:pBdr>
          <w:top w:val="nil"/>
          <w:left w:val="nil"/>
          <w:bottom w:val="nil"/>
          <w:right w:val="nil"/>
          <w:between w:val="nil"/>
        </w:pBdr>
        <w:spacing w:after="0" w:line="360" w:lineRule="auto"/>
        <w:ind w:right="-7"/>
        <w:jc w:val="center"/>
        <w:rPr>
          <w:rFonts w:ascii="Palatino Linotype" w:eastAsia="Palatino Linotype" w:hAnsi="Palatino Linotype" w:cs="Palatino Linotype"/>
        </w:rPr>
      </w:pPr>
      <w:r w:rsidRPr="008F6764">
        <w:rPr>
          <w:rFonts w:ascii="Palatino Linotype" w:eastAsia="Palatino Linotype" w:hAnsi="Palatino Linotype" w:cs="Palatino Linotype"/>
          <w:noProof/>
        </w:rPr>
        <w:drawing>
          <wp:inline distT="0" distB="0" distL="0" distR="0" wp14:anchorId="107A7B95" wp14:editId="6CD89D01">
            <wp:extent cx="4290060" cy="381210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9993" cy="3820932"/>
                    </a:xfrm>
                    <a:prstGeom prst="rect">
                      <a:avLst/>
                    </a:prstGeom>
                  </pic:spPr>
                </pic:pic>
              </a:graphicData>
            </a:graphic>
          </wp:inline>
        </w:drawing>
      </w:r>
    </w:p>
    <w:p w14:paraId="2BACBAE0" w14:textId="77777777" w:rsidR="0065490D" w:rsidRPr="008F6764" w:rsidRDefault="0065490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C89E311" w14:textId="0D285AA8" w:rsidR="0065490D" w:rsidRPr="008F6764" w:rsidRDefault="0065490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De lo anterior, se puede observar que, la información contenida en el Portal de Información Pública de Oficio Mexiquense es incompleta y, no se encuentra toda la información requerida por el solicitante. </w:t>
      </w:r>
    </w:p>
    <w:p w14:paraId="602A8C23" w14:textId="77777777" w:rsidR="0065490D" w:rsidRPr="008F6764" w:rsidRDefault="0065490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7879CD2" w14:textId="68C11656" w:rsidR="001C05B6" w:rsidRPr="008F6764" w:rsidRDefault="001C05B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Por otro lado, no pasa desapercibido señalar que, la parte Recurrente solicitó </w:t>
      </w:r>
      <w:r w:rsidRPr="008F6764">
        <w:rPr>
          <w:rFonts w:ascii="Palatino Linotype" w:eastAsia="Palatino Linotype" w:hAnsi="Palatino Linotype" w:cs="Palatino Linotype"/>
          <w:i/>
        </w:rPr>
        <w:t>el “número de nómina”</w:t>
      </w:r>
      <w:r w:rsidRPr="008F6764">
        <w:rPr>
          <w:rFonts w:ascii="Palatino Linotype" w:eastAsia="Palatino Linotype" w:hAnsi="Palatino Linotype" w:cs="Palatino Linotype"/>
        </w:rPr>
        <w:t xml:space="preserve"> por lo que, en atención a lo que establece el artículo 13 de la Ley de Transparencia de la Entidad, se entiende que, este requiere obtener el </w:t>
      </w:r>
      <w:r w:rsidRPr="008F6764">
        <w:rPr>
          <w:rFonts w:ascii="Palatino Linotype" w:eastAsia="Palatino Linotype" w:hAnsi="Palatino Linotype" w:cs="Palatino Linotype"/>
          <w:b/>
        </w:rPr>
        <w:t xml:space="preserve">número de empleado </w:t>
      </w:r>
      <w:r w:rsidRPr="008F6764">
        <w:rPr>
          <w:rFonts w:ascii="Palatino Linotype" w:eastAsia="Palatino Linotype" w:hAnsi="Palatino Linotype" w:cs="Palatino Linotype"/>
        </w:rPr>
        <w:t xml:space="preserve">de los servidores públicos, por lo que, el Ayuntamiento deberá hacer entrega de dicha información además de la solicitada. </w:t>
      </w:r>
    </w:p>
    <w:p w14:paraId="79006B3A" w14:textId="34865C07" w:rsidR="00001CDB" w:rsidRPr="008F6764" w:rsidRDefault="00001CDB" w:rsidP="00001CDB">
      <w:pPr>
        <w:spacing w:after="0" w:line="360" w:lineRule="auto"/>
        <w:jc w:val="both"/>
        <w:rPr>
          <w:rFonts w:ascii="Palatino Linotype" w:eastAsia="Palatino Linotype" w:hAnsi="Palatino Linotype" w:cs="Palatino Linotype"/>
        </w:rPr>
      </w:pPr>
    </w:p>
    <w:p w14:paraId="7322F2E4" w14:textId="3FE79409" w:rsidR="00E72281" w:rsidRPr="008F6764" w:rsidRDefault="00E72281">
      <w:pPr>
        <w:tabs>
          <w:tab w:val="left" w:pos="709"/>
        </w:tabs>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Por lo anterior, se determina que los agravios hechos valer por la parte Recurrente en su recurso de revisión devienen </w:t>
      </w:r>
      <w:r w:rsidRPr="008F6764">
        <w:rPr>
          <w:rFonts w:ascii="Palatino Linotype" w:eastAsia="Palatino Linotype" w:hAnsi="Palatino Linotype" w:cs="Palatino Linotype"/>
          <w:b/>
        </w:rPr>
        <w:t xml:space="preserve">FUNDADOS </w:t>
      </w:r>
      <w:r w:rsidRPr="008F6764">
        <w:rPr>
          <w:rFonts w:ascii="Palatino Linotype" w:eastAsia="Palatino Linotype" w:hAnsi="Palatino Linotype" w:cs="Palatino Linotype"/>
        </w:rPr>
        <w:t xml:space="preserve">y, por ende, resulta procedente </w:t>
      </w:r>
      <w:r w:rsidR="0065490D" w:rsidRPr="008F6764">
        <w:rPr>
          <w:rFonts w:ascii="Palatino Linotype" w:eastAsia="Palatino Linotype" w:hAnsi="Palatino Linotype" w:cs="Palatino Linotype"/>
          <w:b/>
        </w:rPr>
        <w:t>REVOCAR</w:t>
      </w:r>
      <w:r w:rsidRPr="008F6764">
        <w:rPr>
          <w:rFonts w:ascii="Palatino Linotype" w:eastAsia="Palatino Linotype" w:hAnsi="Palatino Linotype" w:cs="Palatino Linotype"/>
          <w:b/>
        </w:rPr>
        <w:t xml:space="preserve"> </w:t>
      </w:r>
      <w:r w:rsidRPr="008F6764">
        <w:rPr>
          <w:rFonts w:ascii="Palatino Linotype" w:eastAsia="Palatino Linotype" w:hAnsi="Palatino Linotype" w:cs="Palatino Linotype"/>
        </w:rPr>
        <w:t xml:space="preserve">la respuesta del Sujeto Obligado y </w:t>
      </w:r>
      <w:r w:rsidRPr="008F6764">
        <w:rPr>
          <w:rFonts w:ascii="Palatino Linotype" w:eastAsia="Palatino Linotype" w:hAnsi="Palatino Linotype" w:cs="Palatino Linotype"/>
          <w:b/>
        </w:rPr>
        <w:t xml:space="preserve">ORDENAR </w:t>
      </w:r>
      <w:r w:rsidRPr="008F6764">
        <w:rPr>
          <w:rFonts w:ascii="Palatino Linotype" w:eastAsia="Palatino Linotype" w:hAnsi="Palatino Linotype" w:cs="Palatino Linotype"/>
        </w:rPr>
        <w:t xml:space="preserve">la entrega, vía Sistema de Acceso a la Información Mexiquense, en versión pública, </w:t>
      </w:r>
      <w:r w:rsidR="001C05B6" w:rsidRPr="008F6764">
        <w:rPr>
          <w:rFonts w:ascii="Palatino Linotype" w:eastAsia="Palatino Linotype" w:hAnsi="Palatino Linotype" w:cs="Palatino Linotype"/>
        </w:rPr>
        <w:t xml:space="preserve">de </w:t>
      </w:r>
      <w:r w:rsidR="001C05B6" w:rsidRPr="008F6764">
        <w:rPr>
          <w:rFonts w:ascii="Palatino Linotype" w:eastAsia="Palatino Linotype" w:hAnsi="Palatino Linotype" w:cs="Palatino Linotype"/>
          <w:b/>
        </w:rPr>
        <w:t>todos los servidores públicos en funciones al veintiocho de mayo de dos mil veinticinco</w:t>
      </w:r>
      <w:r w:rsidR="001C05B6" w:rsidRPr="008F6764">
        <w:rPr>
          <w:rFonts w:ascii="Palatino Linotype" w:eastAsia="Palatino Linotype" w:hAnsi="Palatino Linotype" w:cs="Palatino Linotype"/>
        </w:rPr>
        <w:t xml:space="preserve">, </w:t>
      </w:r>
      <w:r w:rsidR="001C05B6" w:rsidRPr="008F6764">
        <w:rPr>
          <w:rFonts w:ascii="Palatino Linotype" w:eastAsia="Palatino Linotype" w:hAnsi="Palatino Linotype" w:cs="Palatino Linotype"/>
          <w:b/>
        </w:rPr>
        <w:t>incluyendo aquellos que cobran por cheque, honorarios o servicios profesionales,</w:t>
      </w:r>
      <w:r w:rsidR="001C05B6" w:rsidRPr="008F6764">
        <w:rPr>
          <w:rFonts w:ascii="Palatino Linotype" w:eastAsia="Palatino Linotype" w:hAnsi="Palatino Linotype" w:cs="Palatino Linotype"/>
        </w:rPr>
        <w:t xml:space="preserve">  los documentos donde conste</w:t>
      </w:r>
      <w:r w:rsidRPr="008F6764">
        <w:rPr>
          <w:rFonts w:ascii="Palatino Linotype" w:eastAsia="Palatino Linotype" w:hAnsi="Palatino Linotype" w:cs="Palatino Linotype"/>
        </w:rPr>
        <w:t xml:space="preserve"> la siguiente información:</w:t>
      </w:r>
    </w:p>
    <w:p w14:paraId="2D97EB5D" w14:textId="77777777" w:rsidR="001C05B6" w:rsidRPr="008F6764" w:rsidRDefault="001C05B6">
      <w:pPr>
        <w:tabs>
          <w:tab w:val="left" w:pos="709"/>
        </w:tabs>
        <w:spacing w:after="0" w:line="360" w:lineRule="auto"/>
        <w:jc w:val="both"/>
        <w:rPr>
          <w:rFonts w:ascii="Palatino Linotype" w:eastAsia="Palatino Linotype" w:hAnsi="Palatino Linotype" w:cs="Palatino Linotype"/>
        </w:rPr>
      </w:pPr>
    </w:p>
    <w:p w14:paraId="2C3E3A1E" w14:textId="595E3264" w:rsidR="001C05B6" w:rsidRPr="008F6764" w:rsidRDefault="001C05B6" w:rsidP="001C05B6">
      <w:pPr>
        <w:pStyle w:val="Prrafodelista"/>
        <w:numPr>
          <w:ilvl w:val="0"/>
          <w:numId w:val="8"/>
        </w:numPr>
        <w:tabs>
          <w:tab w:val="left" w:pos="709"/>
        </w:tabs>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Nombre, número de empleado, sueldo mensual bruto y área de adscripción. </w:t>
      </w:r>
    </w:p>
    <w:p w14:paraId="0DC00291" w14:textId="77777777" w:rsidR="001C05B6" w:rsidRPr="008F6764" w:rsidRDefault="001C05B6" w:rsidP="001C05B6">
      <w:pPr>
        <w:pStyle w:val="Prrafodelista"/>
        <w:tabs>
          <w:tab w:val="left" w:pos="709"/>
        </w:tabs>
        <w:spacing w:after="0" w:line="360" w:lineRule="auto"/>
        <w:jc w:val="both"/>
        <w:rPr>
          <w:rFonts w:ascii="Palatino Linotype" w:eastAsia="Palatino Linotype" w:hAnsi="Palatino Linotype" w:cs="Palatino Linotype"/>
        </w:rPr>
      </w:pPr>
    </w:p>
    <w:p w14:paraId="1BC98FFB" w14:textId="77777777" w:rsidR="004639EE" w:rsidRPr="008F6764" w:rsidRDefault="00E72281">
      <w:pPr>
        <w:spacing w:after="0"/>
        <w:ind w:left="567" w:right="615"/>
        <w:jc w:val="both"/>
        <w:rPr>
          <w:rFonts w:ascii="Palatino Linotype" w:eastAsia="Palatino Linotype" w:hAnsi="Palatino Linotype" w:cs="Palatino Linotype"/>
          <w:i/>
        </w:rPr>
      </w:pPr>
      <w:r w:rsidRPr="008F6764">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EA55D23" w14:textId="77777777" w:rsidR="004639EE" w:rsidRPr="008F6764" w:rsidRDefault="004639EE">
      <w:pPr>
        <w:tabs>
          <w:tab w:val="left" w:pos="709"/>
        </w:tabs>
        <w:spacing w:after="0" w:line="360" w:lineRule="auto"/>
        <w:jc w:val="both"/>
        <w:rPr>
          <w:rFonts w:ascii="Palatino Linotype" w:eastAsia="Palatino Linotype" w:hAnsi="Palatino Linotype" w:cs="Palatino Linotype"/>
        </w:rPr>
      </w:pPr>
    </w:p>
    <w:p w14:paraId="4A27F831" w14:textId="77777777" w:rsidR="001C05B6" w:rsidRPr="008F6764" w:rsidRDefault="001C05B6" w:rsidP="001C05B6">
      <w:pPr>
        <w:spacing w:after="0" w:line="360" w:lineRule="auto"/>
        <w:jc w:val="both"/>
        <w:rPr>
          <w:rFonts w:ascii="Palatino Linotype" w:hAnsi="Palatino Linotype"/>
        </w:rPr>
      </w:pPr>
      <w:r w:rsidRPr="008F6764">
        <w:rPr>
          <w:rFonts w:ascii="Palatino Linotype" w:eastAsia="Palatino Linotype" w:hAnsi="Palatino Linotype" w:cs="Palatino Linotype"/>
          <w:b/>
        </w:rPr>
        <w:t xml:space="preserve">Quinto. Versión Pública. </w:t>
      </w:r>
      <w:r w:rsidRPr="008F6764">
        <w:rPr>
          <w:rFonts w:ascii="Palatino Linotype" w:hAnsi="Palatino Linotype"/>
        </w:rPr>
        <w:t>Como fue debidamente apuntado, el </w:t>
      </w:r>
      <w:r w:rsidRPr="008F6764">
        <w:rPr>
          <w:rFonts w:ascii="Palatino Linotype" w:hAnsi="Palatino Linotype"/>
          <w:bCs/>
        </w:rPr>
        <w:t>Sujeto Obligado</w:t>
      </w:r>
      <w:r w:rsidRPr="008F6764">
        <w:rPr>
          <w:rFonts w:ascii="Palatino Linotype" w:hAnsi="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E6E3FB8" w14:textId="77777777" w:rsidR="001C05B6" w:rsidRPr="008F6764" w:rsidRDefault="001C05B6" w:rsidP="001C05B6">
      <w:pPr>
        <w:spacing w:after="0" w:line="360" w:lineRule="auto"/>
        <w:jc w:val="both"/>
        <w:rPr>
          <w:rFonts w:ascii="Palatino Linotype" w:eastAsia="Palatino Linotype" w:hAnsi="Palatino Linotype" w:cs="Palatino Linotype"/>
          <w:b/>
        </w:rPr>
      </w:pPr>
    </w:p>
    <w:p w14:paraId="7A6943F1" w14:textId="77777777" w:rsidR="001C05B6" w:rsidRPr="008F6764" w:rsidRDefault="001C05B6" w:rsidP="001C05B6">
      <w:pPr>
        <w:pStyle w:val="NormalWeb"/>
        <w:spacing w:before="0" w:beforeAutospacing="0" w:after="0" w:afterAutospacing="0" w:line="360" w:lineRule="auto"/>
        <w:ind w:right="49"/>
        <w:jc w:val="both"/>
        <w:rPr>
          <w:rFonts w:ascii="Palatino Linotype" w:hAnsi="Palatino Linotype"/>
          <w:sz w:val="22"/>
          <w:szCs w:val="22"/>
        </w:rPr>
      </w:pPr>
      <w:r w:rsidRPr="008F6764">
        <w:rPr>
          <w:rFonts w:ascii="Palatino Linotype" w:hAnsi="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68F4280" w14:textId="77777777" w:rsidR="001C05B6" w:rsidRPr="008F6764" w:rsidRDefault="001C05B6" w:rsidP="001C05B6">
      <w:pPr>
        <w:pStyle w:val="NormalWeb"/>
        <w:spacing w:before="0" w:beforeAutospacing="0" w:after="0" w:afterAutospacing="0" w:line="360" w:lineRule="auto"/>
        <w:ind w:right="49"/>
        <w:jc w:val="both"/>
        <w:rPr>
          <w:sz w:val="22"/>
          <w:szCs w:val="22"/>
        </w:rPr>
      </w:pPr>
    </w:p>
    <w:p w14:paraId="33607414" w14:textId="77777777" w:rsidR="001C05B6" w:rsidRPr="008F6764" w:rsidRDefault="001C05B6" w:rsidP="001C05B6">
      <w:pPr>
        <w:pStyle w:val="NormalWeb"/>
        <w:spacing w:before="0" w:beforeAutospacing="0" w:after="0" w:afterAutospacing="0" w:line="360" w:lineRule="auto"/>
        <w:ind w:right="49"/>
        <w:jc w:val="both"/>
        <w:rPr>
          <w:rFonts w:ascii="Palatino Linotype" w:hAnsi="Palatino Linotype"/>
          <w:sz w:val="22"/>
          <w:szCs w:val="22"/>
        </w:rPr>
      </w:pPr>
      <w:r w:rsidRPr="008F6764">
        <w:rPr>
          <w:rFonts w:ascii="Palatino Linotype" w:hAnsi="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0F6D502" w14:textId="77777777" w:rsidR="001C05B6" w:rsidRPr="008F6764" w:rsidRDefault="001C05B6" w:rsidP="001C05B6">
      <w:pPr>
        <w:pStyle w:val="NormalWeb"/>
        <w:spacing w:before="0" w:beforeAutospacing="0" w:after="0" w:afterAutospacing="0" w:line="360" w:lineRule="auto"/>
        <w:ind w:right="49"/>
        <w:jc w:val="both"/>
        <w:rPr>
          <w:sz w:val="22"/>
          <w:szCs w:val="22"/>
        </w:rPr>
      </w:pPr>
    </w:p>
    <w:p w14:paraId="1652031A" w14:textId="77777777" w:rsidR="001C05B6" w:rsidRPr="008F6764" w:rsidRDefault="001C05B6" w:rsidP="001C05B6">
      <w:pPr>
        <w:pStyle w:val="NormalWeb"/>
        <w:spacing w:before="0" w:beforeAutospacing="0" w:after="0" w:afterAutospacing="0" w:line="360" w:lineRule="auto"/>
        <w:ind w:right="49"/>
        <w:jc w:val="both"/>
        <w:rPr>
          <w:rFonts w:ascii="Palatino Linotype" w:hAnsi="Palatino Linotype"/>
          <w:sz w:val="22"/>
          <w:szCs w:val="22"/>
        </w:rPr>
      </w:pPr>
      <w:r w:rsidRPr="008F6764">
        <w:rPr>
          <w:rFonts w:ascii="Palatino Linotype" w:hAnsi="Palatino Linotype"/>
          <w:sz w:val="22"/>
          <w:szCs w:val="22"/>
        </w:rPr>
        <w:t>Al respecto, los artículos 3, fracciones IX, XX, XXI, XXXII, XLV; 6, 91, 132, 137, 143, fracción I, de la Ley de Transparencia y Acceso a la Información Pública del Estado de México y Municipios vigente establecen:</w:t>
      </w:r>
    </w:p>
    <w:p w14:paraId="58568385" w14:textId="77777777" w:rsidR="001C05B6" w:rsidRPr="008F6764" w:rsidRDefault="001C05B6" w:rsidP="001C05B6">
      <w:pPr>
        <w:pStyle w:val="NormalWeb"/>
        <w:spacing w:before="0" w:beforeAutospacing="0" w:after="0" w:afterAutospacing="0" w:line="360" w:lineRule="auto"/>
        <w:ind w:right="49"/>
        <w:jc w:val="both"/>
        <w:rPr>
          <w:sz w:val="22"/>
          <w:szCs w:val="22"/>
        </w:rPr>
      </w:pPr>
    </w:p>
    <w:p w14:paraId="634DBC22"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sz w:val="22"/>
          <w:szCs w:val="22"/>
        </w:rPr>
        <w:t> </w:t>
      </w:r>
      <w:r w:rsidRPr="008F6764">
        <w:rPr>
          <w:rFonts w:ascii="Palatino Linotype" w:hAnsi="Palatino Linotype"/>
          <w:i/>
          <w:iCs/>
          <w:sz w:val="22"/>
          <w:szCs w:val="22"/>
        </w:rPr>
        <w:t>“</w:t>
      </w:r>
      <w:r w:rsidRPr="008F6764">
        <w:rPr>
          <w:rFonts w:ascii="Palatino Linotype" w:hAnsi="Palatino Linotype"/>
          <w:b/>
          <w:bCs/>
          <w:i/>
          <w:iCs/>
          <w:sz w:val="22"/>
          <w:szCs w:val="22"/>
        </w:rPr>
        <w:t>Artículo 3.</w:t>
      </w:r>
      <w:r w:rsidRPr="008F6764">
        <w:rPr>
          <w:rFonts w:ascii="Palatino Linotype" w:hAnsi="Palatino Linotype"/>
          <w:i/>
          <w:iCs/>
          <w:sz w:val="22"/>
          <w:szCs w:val="22"/>
        </w:rPr>
        <w:t xml:space="preserve"> Para los efectos de la presente Ley se entenderá por:</w:t>
      </w:r>
    </w:p>
    <w:p w14:paraId="38374D54"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i/>
          <w:iCs/>
          <w:sz w:val="22"/>
          <w:szCs w:val="22"/>
        </w:rPr>
        <w:t>…</w:t>
      </w:r>
    </w:p>
    <w:p w14:paraId="3C9E5559"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IX. Datos personales</w:t>
      </w:r>
      <w:r w:rsidRPr="008F6764">
        <w:rPr>
          <w:rFonts w:ascii="Palatino Linotype" w:hAnsi="Palatino Linotype"/>
          <w:i/>
          <w:iCs/>
          <w:sz w:val="22"/>
          <w:szCs w:val="22"/>
        </w:rPr>
        <w:t>: La información concerniente a una persona, identificada o identificable según lo dispuesto por la Ley de Protección de Datos Personales del Estado de México;</w:t>
      </w:r>
    </w:p>
    <w:p w14:paraId="213D1C43"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i/>
          <w:iCs/>
          <w:sz w:val="22"/>
          <w:szCs w:val="22"/>
        </w:rPr>
        <w:t>…</w:t>
      </w:r>
    </w:p>
    <w:p w14:paraId="40720384"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XX. Información clasificada</w:t>
      </w:r>
      <w:r w:rsidRPr="008F6764">
        <w:rPr>
          <w:rFonts w:ascii="Palatino Linotype" w:hAnsi="Palatino Linotype"/>
          <w:i/>
          <w:iCs/>
          <w:sz w:val="22"/>
          <w:szCs w:val="22"/>
        </w:rPr>
        <w:t>: Aquella considerada por la presente Ley como reservada o confidencial;</w:t>
      </w:r>
    </w:p>
    <w:p w14:paraId="70FDBC3C"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XXI. Información confidencial</w:t>
      </w:r>
      <w:r w:rsidRPr="008F6764">
        <w:rPr>
          <w:rFonts w:ascii="Palatino Linotype" w:hAnsi="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2B4F78"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i/>
          <w:iCs/>
          <w:sz w:val="22"/>
          <w:szCs w:val="22"/>
        </w:rPr>
        <w:t>…</w:t>
      </w:r>
    </w:p>
    <w:p w14:paraId="05948A3C"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XXXII. Protección de Datos Personales</w:t>
      </w:r>
      <w:r w:rsidRPr="008F6764">
        <w:rPr>
          <w:rFonts w:ascii="Palatino Linotype" w:hAnsi="Palatino Linotype"/>
          <w:i/>
          <w:iCs/>
          <w:sz w:val="22"/>
          <w:szCs w:val="22"/>
        </w:rPr>
        <w:t>: Derecho humano que tutela la privacidad de datos personales en poder de los sujetos obligados y sujetos particulares;</w:t>
      </w:r>
    </w:p>
    <w:p w14:paraId="2E87D8E5"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i/>
          <w:iCs/>
          <w:sz w:val="22"/>
          <w:szCs w:val="22"/>
        </w:rPr>
        <w:t>…</w:t>
      </w:r>
    </w:p>
    <w:p w14:paraId="2C988C67"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XLV. Versión pública</w:t>
      </w:r>
      <w:r w:rsidRPr="008F6764">
        <w:rPr>
          <w:rFonts w:ascii="Palatino Linotype" w:hAnsi="Palatino Linotype"/>
          <w:i/>
          <w:iCs/>
          <w:sz w:val="22"/>
          <w:szCs w:val="22"/>
        </w:rPr>
        <w:t>: Documento en el que se elimine, suprime o borra la información clasificada como reservada o confidencial para permitir su acceso.</w:t>
      </w:r>
    </w:p>
    <w:p w14:paraId="734F22A2"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 Artículo 6</w:t>
      </w:r>
      <w:r w:rsidRPr="008F6764">
        <w:rPr>
          <w:rFonts w:ascii="Palatino Linotype" w:hAnsi="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DF08B2D"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i/>
          <w:iCs/>
          <w:sz w:val="22"/>
          <w:szCs w:val="22"/>
        </w:rPr>
        <w:t>…</w:t>
      </w:r>
    </w:p>
    <w:p w14:paraId="50180D98"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Artículo 91.</w:t>
      </w:r>
      <w:r w:rsidRPr="008F6764">
        <w:rPr>
          <w:rFonts w:ascii="Palatino Linotype" w:hAnsi="Palatino Linotype"/>
          <w:i/>
          <w:iCs/>
          <w:sz w:val="22"/>
          <w:szCs w:val="22"/>
        </w:rPr>
        <w:t xml:space="preserve"> El acceso a la información pública será restringido excepcionalmente, cuando ésta sea clasificada como reservada o confidencial.</w:t>
      </w:r>
      <w:r w:rsidRPr="008F6764">
        <w:rPr>
          <w:rFonts w:ascii="Palatino Linotype" w:hAnsi="Palatino Linotype"/>
          <w:i/>
          <w:iCs/>
          <w:sz w:val="22"/>
          <w:szCs w:val="22"/>
        </w:rPr>
        <w:br/>
        <w:t>…</w:t>
      </w:r>
    </w:p>
    <w:p w14:paraId="45CE6EAA"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Artículo 132.</w:t>
      </w:r>
      <w:r w:rsidRPr="008F6764">
        <w:rPr>
          <w:rFonts w:ascii="Palatino Linotype" w:hAnsi="Palatino Linotype"/>
          <w:i/>
          <w:iCs/>
          <w:sz w:val="22"/>
          <w:szCs w:val="22"/>
        </w:rPr>
        <w:t xml:space="preserve"> La clasificación de la información se llevará a cabo en el momento en que:</w:t>
      </w:r>
    </w:p>
    <w:p w14:paraId="1B783F8F"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I</w:t>
      </w:r>
      <w:r w:rsidRPr="008F6764">
        <w:rPr>
          <w:rFonts w:ascii="Palatino Linotype" w:hAnsi="Palatino Linotype"/>
          <w:i/>
          <w:iCs/>
          <w:sz w:val="22"/>
          <w:szCs w:val="22"/>
        </w:rPr>
        <w:t>. Se reciba una solicitud de acceso a la información;</w:t>
      </w:r>
    </w:p>
    <w:p w14:paraId="6F2B1595"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II.</w:t>
      </w:r>
      <w:r w:rsidRPr="008F6764">
        <w:rPr>
          <w:rFonts w:ascii="Palatino Linotype" w:hAnsi="Palatino Linotype"/>
          <w:i/>
          <w:iCs/>
          <w:sz w:val="22"/>
          <w:szCs w:val="22"/>
        </w:rPr>
        <w:t xml:space="preserve"> Se determine mediante resolución de autoridad competente; o</w:t>
      </w:r>
    </w:p>
    <w:p w14:paraId="62E7DDA7"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III.</w:t>
      </w:r>
      <w:r w:rsidRPr="008F6764">
        <w:rPr>
          <w:rFonts w:ascii="Palatino Linotype" w:hAnsi="Palatino Linotype"/>
          <w:i/>
          <w:iCs/>
          <w:sz w:val="22"/>
          <w:szCs w:val="22"/>
        </w:rPr>
        <w:t xml:space="preserve"> Se generen versiones públicas para dar cumplimiento a las obligaciones de transparencia previstas en esta Ley.</w:t>
      </w:r>
    </w:p>
    <w:p w14:paraId="742F387D"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w:t>
      </w:r>
    </w:p>
    <w:p w14:paraId="52971808"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Artículo 137.</w:t>
      </w:r>
      <w:r w:rsidRPr="008F6764">
        <w:rPr>
          <w:rFonts w:ascii="Palatino Linotype" w:hAnsi="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981D83B"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 Artículo 143.</w:t>
      </w:r>
      <w:r w:rsidRPr="008F6764">
        <w:rPr>
          <w:rFonts w:ascii="Palatino Linotype" w:hAnsi="Palatino Linotype"/>
          <w:i/>
          <w:iCs/>
          <w:sz w:val="22"/>
          <w:szCs w:val="22"/>
        </w:rPr>
        <w:t xml:space="preserve"> Para los efectos de esta Ley se considera información confidencial, la clasificada como tal, de manera permanente, por su naturaleza, cuando:</w:t>
      </w:r>
    </w:p>
    <w:p w14:paraId="5551036F" w14:textId="77777777" w:rsidR="001C05B6" w:rsidRPr="008F6764" w:rsidRDefault="001C05B6" w:rsidP="001C05B6">
      <w:pPr>
        <w:pStyle w:val="NormalWeb"/>
        <w:spacing w:before="0" w:beforeAutospacing="0" w:after="0" w:afterAutospacing="0"/>
        <w:ind w:left="1134" w:right="902"/>
        <w:jc w:val="both"/>
        <w:rPr>
          <w:sz w:val="22"/>
          <w:szCs w:val="22"/>
        </w:rPr>
      </w:pPr>
      <w:r w:rsidRPr="008F6764">
        <w:rPr>
          <w:rFonts w:ascii="Palatino Linotype" w:hAnsi="Palatino Linotype"/>
          <w:b/>
          <w:bCs/>
          <w:i/>
          <w:iCs/>
          <w:sz w:val="22"/>
          <w:szCs w:val="22"/>
        </w:rPr>
        <w:t>I.</w:t>
      </w:r>
      <w:r w:rsidRPr="008F6764">
        <w:rPr>
          <w:rFonts w:ascii="Palatino Linotype" w:hAnsi="Palatino Linotype"/>
          <w:i/>
          <w:iCs/>
          <w:sz w:val="22"/>
          <w:szCs w:val="22"/>
        </w:rPr>
        <w:t xml:space="preserve"> Se refiera a la información privada y los datos personales concernientes a una persona física o jurídico colectiva identificada o identificable...”</w:t>
      </w:r>
    </w:p>
    <w:p w14:paraId="1FFD956A" w14:textId="77777777" w:rsidR="001C05B6" w:rsidRPr="008F6764" w:rsidRDefault="001C05B6" w:rsidP="001C05B6">
      <w:pPr>
        <w:pStyle w:val="NormalWeb"/>
        <w:spacing w:before="0" w:beforeAutospacing="0" w:after="0" w:afterAutospacing="0" w:line="360" w:lineRule="auto"/>
        <w:ind w:right="50"/>
        <w:jc w:val="both"/>
        <w:rPr>
          <w:rFonts w:ascii="Palatino Linotype" w:hAnsi="Palatino Linotype"/>
          <w:sz w:val="22"/>
          <w:szCs w:val="22"/>
        </w:rPr>
      </w:pPr>
      <w:r w:rsidRPr="008F6764">
        <w:rPr>
          <w:rFonts w:ascii="Palatino Linotype" w:hAnsi="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F6764">
        <w:rPr>
          <w:rFonts w:ascii="Palatino Linotype" w:hAnsi="Palatino Linotype"/>
          <w:bCs/>
          <w:sz w:val="22"/>
          <w:szCs w:val="22"/>
        </w:rPr>
        <w:t>Sujeto Obligado</w:t>
      </w:r>
      <w:r w:rsidRPr="008F6764">
        <w:rPr>
          <w:rFonts w:ascii="Palatino Linotype" w:hAnsi="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A005E56" w14:textId="77777777" w:rsidR="001C05B6" w:rsidRPr="008F6764" w:rsidRDefault="001C05B6" w:rsidP="001C05B6">
      <w:pPr>
        <w:pStyle w:val="NormalWeb"/>
        <w:spacing w:before="0" w:beforeAutospacing="0" w:after="0" w:afterAutospacing="0" w:line="360" w:lineRule="auto"/>
        <w:ind w:right="50"/>
        <w:jc w:val="both"/>
        <w:rPr>
          <w:sz w:val="22"/>
          <w:szCs w:val="22"/>
        </w:rPr>
      </w:pPr>
    </w:p>
    <w:p w14:paraId="5E59C00C" w14:textId="77777777" w:rsidR="001C05B6" w:rsidRPr="008F6764" w:rsidRDefault="001C05B6" w:rsidP="001C05B6">
      <w:pPr>
        <w:pStyle w:val="NormalWeb"/>
        <w:spacing w:before="0" w:beforeAutospacing="0" w:after="0" w:afterAutospacing="0" w:line="360" w:lineRule="auto"/>
        <w:ind w:right="50"/>
        <w:jc w:val="both"/>
        <w:rPr>
          <w:sz w:val="22"/>
          <w:szCs w:val="22"/>
        </w:rPr>
      </w:pPr>
      <w:r w:rsidRPr="008F6764">
        <w:rPr>
          <w:rFonts w:ascii="Palatino Linotype" w:hAnsi="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4298392"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En el caso específico, la información que se ordena si bien tiene el carácter información pública en razón de que se trata de documentos que se encuentran en posesión del </w:t>
      </w:r>
      <w:r w:rsidRPr="008F6764">
        <w:rPr>
          <w:rFonts w:ascii="Palatino Linotype" w:hAnsi="Palatino Linotype"/>
          <w:b/>
          <w:bCs/>
          <w:sz w:val="22"/>
          <w:szCs w:val="22"/>
        </w:rPr>
        <w:t>Sujeto Obligado</w:t>
      </w:r>
      <w:r w:rsidRPr="008F6764">
        <w:rPr>
          <w:rFonts w:ascii="Palatino Linotype" w:hAnsi="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F6764">
        <w:rPr>
          <w:rFonts w:ascii="Palatino Linotype" w:hAnsi="Palatino Linotype"/>
          <w:b/>
          <w:bCs/>
          <w:sz w:val="22"/>
          <w:szCs w:val="22"/>
        </w:rPr>
        <w:t>Registro Federal de Contribuyentes</w:t>
      </w:r>
      <w:r w:rsidRPr="008F6764">
        <w:rPr>
          <w:rFonts w:ascii="Palatino Linotype" w:hAnsi="Palatino Linotype"/>
          <w:sz w:val="22"/>
          <w:szCs w:val="22"/>
        </w:rPr>
        <w:t xml:space="preserve"> (RFC), la </w:t>
      </w:r>
      <w:r w:rsidRPr="008F6764">
        <w:rPr>
          <w:rFonts w:ascii="Palatino Linotype" w:hAnsi="Palatino Linotype"/>
          <w:b/>
          <w:bCs/>
          <w:sz w:val="22"/>
          <w:szCs w:val="22"/>
        </w:rPr>
        <w:t>Clave Única de Registro de Población</w:t>
      </w:r>
      <w:r w:rsidRPr="008F6764">
        <w:rPr>
          <w:rFonts w:ascii="Palatino Linotype" w:hAnsi="Palatino Linotype"/>
          <w:sz w:val="22"/>
          <w:szCs w:val="22"/>
        </w:rPr>
        <w:t xml:space="preserve"> (CURP), la </w:t>
      </w:r>
      <w:r w:rsidRPr="008F6764">
        <w:rPr>
          <w:rFonts w:ascii="Palatino Linotype" w:hAnsi="Palatino Linotype"/>
          <w:b/>
          <w:bCs/>
          <w:sz w:val="22"/>
          <w:szCs w:val="22"/>
        </w:rPr>
        <w:t>Clave de cualquier tipo de seguridad social</w:t>
      </w:r>
      <w:r w:rsidRPr="008F6764">
        <w:rPr>
          <w:rFonts w:ascii="Palatino Linotype" w:hAnsi="Palatino Linotype"/>
          <w:sz w:val="22"/>
          <w:szCs w:val="22"/>
        </w:rPr>
        <w:t xml:space="preserve"> (ISSEMYM, u otros), los </w:t>
      </w:r>
      <w:r w:rsidRPr="008F6764">
        <w:rPr>
          <w:rFonts w:ascii="Palatino Linotype" w:hAnsi="Palatino Linotype"/>
          <w:b/>
          <w:bCs/>
          <w:sz w:val="22"/>
          <w:szCs w:val="22"/>
        </w:rPr>
        <w:t>números de cuentas bancarias</w:t>
      </w:r>
      <w:r w:rsidRPr="008F6764">
        <w:rPr>
          <w:rFonts w:ascii="Palatino Linotype" w:hAnsi="Palatino Linotype"/>
          <w:sz w:val="22"/>
          <w:szCs w:val="22"/>
        </w:rPr>
        <w:t xml:space="preserve">, claves estandarizadas – interbancarias - (CLABES) y de tarjetas, los </w:t>
      </w:r>
      <w:r w:rsidRPr="008F6764">
        <w:rPr>
          <w:rFonts w:ascii="Palatino Linotype" w:hAnsi="Palatino Linotype"/>
          <w:b/>
          <w:bCs/>
          <w:sz w:val="22"/>
          <w:szCs w:val="22"/>
        </w:rPr>
        <w:t>préstamos o descuentos</w:t>
      </w:r>
      <w:r w:rsidRPr="008F6764">
        <w:rPr>
          <w:rFonts w:ascii="Palatino Linotype" w:hAnsi="Palatino Linotype"/>
          <w:sz w:val="22"/>
          <w:szCs w:val="22"/>
        </w:rPr>
        <w:t xml:space="preserve"> que se le hagan a la persona y que no tengan relación con los impuestos o la cuota por seguridad social, el</w:t>
      </w:r>
      <w:r w:rsidRPr="008F6764">
        <w:rPr>
          <w:rFonts w:ascii="Palatino Linotype" w:hAnsi="Palatino Linotype"/>
          <w:b/>
          <w:bCs/>
          <w:sz w:val="22"/>
          <w:szCs w:val="22"/>
        </w:rPr>
        <w:t xml:space="preserve"> número de empleado, </w:t>
      </w:r>
      <w:r w:rsidRPr="008F6764">
        <w:rPr>
          <w:rFonts w:ascii="Palatino Linotype" w:hAnsi="Palatino Linotype"/>
          <w:sz w:val="22"/>
          <w:szCs w:val="22"/>
        </w:rPr>
        <w:t>y cualquier información de carácter fiscal.</w:t>
      </w:r>
    </w:p>
    <w:p w14:paraId="4B2FB4A0" w14:textId="77777777" w:rsidR="001C05B6" w:rsidRPr="008F6764" w:rsidRDefault="001C05B6" w:rsidP="001C05B6">
      <w:pPr>
        <w:pStyle w:val="NormalWeb"/>
        <w:spacing w:before="0" w:beforeAutospacing="0" w:after="0" w:afterAutospacing="0" w:line="360" w:lineRule="auto"/>
        <w:jc w:val="both"/>
        <w:rPr>
          <w:sz w:val="22"/>
          <w:szCs w:val="22"/>
        </w:rPr>
      </w:pPr>
    </w:p>
    <w:p w14:paraId="37A95181" w14:textId="77777777" w:rsidR="001C05B6" w:rsidRPr="008F6764" w:rsidRDefault="001C05B6" w:rsidP="001C05B6">
      <w:pPr>
        <w:pStyle w:val="NormalWeb"/>
        <w:spacing w:before="0" w:beforeAutospacing="0" w:after="0" w:afterAutospacing="0" w:line="360" w:lineRule="auto"/>
        <w:ind w:right="50"/>
        <w:jc w:val="both"/>
        <w:rPr>
          <w:sz w:val="22"/>
          <w:szCs w:val="22"/>
        </w:rPr>
      </w:pPr>
      <w:r w:rsidRPr="008F6764">
        <w:rPr>
          <w:rFonts w:ascii="Palatino Linotype" w:hAnsi="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A8970E"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Por cuanto hace al </w:t>
      </w:r>
      <w:r w:rsidRPr="008F6764">
        <w:rPr>
          <w:rFonts w:ascii="Palatino Linotype" w:hAnsi="Palatino Linotype"/>
          <w:b/>
          <w:bCs/>
          <w:sz w:val="22"/>
          <w:szCs w:val="22"/>
        </w:rPr>
        <w:t>Registro Federal de Contribuyentes, RFC,</w:t>
      </w:r>
      <w:r w:rsidRPr="008F6764">
        <w:rPr>
          <w:rFonts w:ascii="Palatino Linotype" w:hAnsi="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0313E7D" w14:textId="77777777" w:rsidR="001C05B6" w:rsidRPr="008F6764" w:rsidRDefault="001C05B6" w:rsidP="001C05B6">
      <w:pPr>
        <w:pStyle w:val="NormalWeb"/>
        <w:spacing w:before="0" w:beforeAutospacing="0" w:after="0" w:afterAutospacing="0" w:line="360" w:lineRule="auto"/>
        <w:jc w:val="both"/>
        <w:rPr>
          <w:sz w:val="22"/>
          <w:szCs w:val="22"/>
        </w:rPr>
      </w:pPr>
    </w:p>
    <w:p w14:paraId="5FB7E214"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C690BFB"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7C36E526" w14:textId="77777777" w:rsidR="001C05B6" w:rsidRPr="008F6764" w:rsidRDefault="001C05B6" w:rsidP="001C05B6">
      <w:pPr>
        <w:pStyle w:val="NormalWeb"/>
        <w:spacing w:before="0" w:beforeAutospacing="0" w:after="0" w:afterAutospacing="0" w:line="360" w:lineRule="auto"/>
        <w:jc w:val="both"/>
        <w:rPr>
          <w:sz w:val="22"/>
          <w:szCs w:val="22"/>
        </w:rPr>
      </w:pPr>
    </w:p>
    <w:p w14:paraId="54FD798B"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 “Registro Federal de Contribuyentes (RFC) de personas físicas</w:t>
      </w:r>
      <w:r w:rsidRPr="008F6764">
        <w:rPr>
          <w:rFonts w:ascii="Palatino Linotype" w:hAnsi="Palatino Linotype"/>
          <w:i/>
          <w:iCs/>
          <w:sz w:val="22"/>
          <w:szCs w:val="22"/>
        </w:rPr>
        <w:t>. El RFC es una clave de carácter fiscal, única e irrepetible, que permite identificar al titular, su edad y fecha de nacimiento, por lo que es un dato personal de carácter confidencial.”</w:t>
      </w:r>
    </w:p>
    <w:p w14:paraId="6101D54B"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1B2CAFC7"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E609B74" w14:textId="77777777" w:rsidR="001C05B6" w:rsidRPr="008F6764" w:rsidRDefault="001C05B6" w:rsidP="001C05B6">
      <w:pPr>
        <w:pStyle w:val="NormalWeb"/>
        <w:spacing w:before="0" w:beforeAutospacing="0" w:after="0" w:afterAutospacing="0" w:line="360" w:lineRule="auto"/>
        <w:jc w:val="both"/>
        <w:rPr>
          <w:sz w:val="22"/>
          <w:szCs w:val="22"/>
        </w:rPr>
      </w:pPr>
    </w:p>
    <w:p w14:paraId="1C601673"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De igual manera la </w:t>
      </w:r>
      <w:r w:rsidRPr="008F6764">
        <w:rPr>
          <w:rFonts w:ascii="Palatino Linotype" w:hAnsi="Palatino Linotype"/>
          <w:b/>
          <w:bCs/>
          <w:sz w:val="22"/>
          <w:szCs w:val="22"/>
        </w:rPr>
        <w:t>Clave Única de Registro de Población</w:t>
      </w:r>
      <w:r w:rsidRPr="008F6764">
        <w:rPr>
          <w:rFonts w:ascii="Palatino Linotype" w:hAnsi="Palatino Linotype"/>
          <w:sz w:val="22"/>
          <w:szCs w:val="22"/>
        </w:rPr>
        <w:t xml:space="preserve">, </w:t>
      </w:r>
      <w:r w:rsidRPr="008F6764">
        <w:rPr>
          <w:rFonts w:ascii="Palatino Linotype" w:hAnsi="Palatino Linotype"/>
          <w:b/>
          <w:bCs/>
          <w:sz w:val="22"/>
          <w:szCs w:val="22"/>
        </w:rPr>
        <w:t>CURP,</w:t>
      </w:r>
      <w:r w:rsidRPr="008F6764">
        <w:rPr>
          <w:rFonts w:ascii="Palatino Linotype" w:hAnsi="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B38789E" w14:textId="77777777" w:rsidR="001C05B6" w:rsidRPr="008F6764" w:rsidRDefault="001C05B6" w:rsidP="001C05B6">
      <w:pPr>
        <w:pStyle w:val="NormalWeb"/>
        <w:spacing w:before="0" w:beforeAutospacing="0" w:after="0" w:afterAutospacing="0" w:line="360" w:lineRule="auto"/>
        <w:jc w:val="both"/>
        <w:rPr>
          <w:sz w:val="22"/>
          <w:szCs w:val="22"/>
        </w:rPr>
      </w:pPr>
    </w:p>
    <w:p w14:paraId="2D49F340"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4078508A" w14:textId="77777777" w:rsidR="001C05B6" w:rsidRPr="008F6764" w:rsidRDefault="001C05B6" w:rsidP="001C05B6">
      <w:pPr>
        <w:pStyle w:val="NormalWeb"/>
        <w:spacing w:before="0" w:beforeAutospacing="0" w:after="0" w:afterAutospacing="0" w:line="360" w:lineRule="auto"/>
        <w:jc w:val="both"/>
        <w:rPr>
          <w:sz w:val="22"/>
          <w:szCs w:val="22"/>
        </w:rPr>
      </w:pPr>
    </w:p>
    <w:p w14:paraId="09059DF1" w14:textId="77777777" w:rsidR="001C05B6" w:rsidRPr="008F6764" w:rsidRDefault="001C05B6" w:rsidP="001C05B6">
      <w:pPr>
        <w:pStyle w:val="NormalWeb"/>
        <w:spacing w:before="0" w:beforeAutospacing="0" w:after="0" w:afterAutospacing="0" w:line="276" w:lineRule="auto"/>
        <w:ind w:left="851" w:right="902"/>
        <w:jc w:val="both"/>
        <w:rPr>
          <w:sz w:val="22"/>
          <w:szCs w:val="22"/>
        </w:rPr>
      </w:pPr>
      <w:r w:rsidRPr="008F6764">
        <w:rPr>
          <w:rFonts w:ascii="Palatino Linotype" w:hAnsi="Palatino Linotype"/>
          <w:b/>
          <w:bCs/>
          <w:i/>
          <w:iCs/>
          <w:sz w:val="22"/>
          <w:szCs w:val="22"/>
        </w:rPr>
        <w:t xml:space="preserve"> “Clave Única de Registro de Población (CURP). </w:t>
      </w:r>
      <w:r w:rsidRPr="008F6764">
        <w:rPr>
          <w:rFonts w:ascii="Palatino Linotype" w:hAnsi="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707C70"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3788E92A"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sz w:val="22"/>
          <w:szCs w:val="22"/>
        </w:rPr>
        <w:t xml:space="preserve">Por lo que respecta a la </w:t>
      </w:r>
      <w:r w:rsidRPr="008F6764">
        <w:rPr>
          <w:rFonts w:ascii="Palatino Linotype" w:hAnsi="Palatino Linotype"/>
          <w:b/>
          <w:bCs/>
          <w:sz w:val="22"/>
          <w:szCs w:val="22"/>
        </w:rPr>
        <w:t>clave de seguridad social</w:t>
      </w:r>
      <w:r w:rsidRPr="008F6764">
        <w:rPr>
          <w:rFonts w:ascii="Palatino Linotype" w:hAnsi="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1A65B618"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sz w:val="22"/>
          <w:szCs w:val="22"/>
        </w:rPr>
        <w:t xml:space="preserve">Respecto de los </w:t>
      </w:r>
      <w:r w:rsidRPr="008F6764">
        <w:rPr>
          <w:rFonts w:ascii="Palatino Linotype" w:hAnsi="Palatino Linotype"/>
          <w:b/>
          <w:bCs/>
          <w:sz w:val="22"/>
          <w:szCs w:val="22"/>
        </w:rPr>
        <w:t>números de cuentas bancari</w:t>
      </w:r>
      <w:r w:rsidRPr="008F6764">
        <w:rPr>
          <w:rFonts w:ascii="Palatino Linotype" w:hAnsi="Palatino Linotype"/>
          <w:sz w:val="22"/>
          <w:szCs w:val="22"/>
        </w:rPr>
        <w:t xml:space="preserve">as, </w:t>
      </w:r>
      <w:r w:rsidRPr="008F6764">
        <w:rPr>
          <w:rFonts w:ascii="Palatino Linotype" w:hAnsi="Palatino Linotype"/>
          <w:b/>
          <w:bCs/>
          <w:sz w:val="22"/>
          <w:szCs w:val="22"/>
        </w:rPr>
        <w:t>claves estandarizadas –interbancarias- (CLABES) y de tarjetas</w:t>
      </w:r>
      <w:r w:rsidRPr="008F6764">
        <w:rPr>
          <w:rFonts w:ascii="Palatino Linotype" w:hAnsi="Palatino Linotype"/>
          <w:sz w:val="22"/>
          <w:szCs w:val="22"/>
        </w:rPr>
        <w:t>, el Pleno de este Instituto ha determinado que esa información debe clasificarse como confidencial, y elaborarse una versión pública en la que se teste la misma.</w:t>
      </w:r>
    </w:p>
    <w:p w14:paraId="4B077549"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B628D7D" w14:textId="77777777" w:rsidR="001C05B6" w:rsidRPr="008F6764" w:rsidRDefault="001C05B6" w:rsidP="001C05B6">
      <w:pPr>
        <w:pStyle w:val="NormalWeb"/>
        <w:spacing w:before="0" w:beforeAutospacing="0" w:after="0" w:afterAutospacing="0" w:line="360" w:lineRule="auto"/>
        <w:jc w:val="both"/>
        <w:rPr>
          <w:sz w:val="22"/>
          <w:szCs w:val="22"/>
        </w:rPr>
      </w:pPr>
    </w:p>
    <w:p w14:paraId="782B3EB1"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EDA9BBF" w14:textId="77777777" w:rsidR="001C05B6" w:rsidRPr="008F6764" w:rsidRDefault="001C05B6" w:rsidP="001C05B6">
      <w:pPr>
        <w:pStyle w:val="NormalWeb"/>
        <w:spacing w:before="0" w:beforeAutospacing="0" w:after="0" w:afterAutospacing="0" w:line="360" w:lineRule="auto"/>
        <w:jc w:val="both"/>
        <w:rPr>
          <w:sz w:val="22"/>
          <w:szCs w:val="22"/>
        </w:rPr>
      </w:pPr>
    </w:p>
    <w:p w14:paraId="2E110FF4"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En esa virtud, este Pleno determina que dicha información no puede ser del dominio público, toda vez que se podría dar un uso inadecuado a la misma o cometer algún ilícito o fraude como ya ha sido expuesto. </w:t>
      </w:r>
    </w:p>
    <w:p w14:paraId="0395D617" w14:textId="77777777" w:rsidR="001C05B6" w:rsidRPr="008F6764" w:rsidRDefault="001C05B6" w:rsidP="001C05B6">
      <w:pPr>
        <w:pStyle w:val="NormalWeb"/>
        <w:spacing w:before="0" w:beforeAutospacing="0" w:after="0" w:afterAutospacing="0" w:line="360" w:lineRule="auto"/>
        <w:jc w:val="both"/>
        <w:rPr>
          <w:sz w:val="22"/>
          <w:szCs w:val="22"/>
        </w:rPr>
      </w:pPr>
    </w:p>
    <w:p w14:paraId="5F9DBCA9"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642F2D2" w14:textId="77777777" w:rsidR="001C05B6" w:rsidRPr="008F6764" w:rsidRDefault="001C05B6" w:rsidP="001C05B6">
      <w:pPr>
        <w:pStyle w:val="NormalWeb"/>
        <w:spacing w:before="0" w:beforeAutospacing="0" w:after="0" w:afterAutospacing="0" w:line="360" w:lineRule="auto"/>
        <w:jc w:val="both"/>
        <w:rPr>
          <w:sz w:val="22"/>
          <w:szCs w:val="22"/>
        </w:rPr>
      </w:pPr>
    </w:p>
    <w:p w14:paraId="415B8200"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6E971556"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i/>
          <w:iCs/>
          <w:sz w:val="22"/>
          <w:szCs w:val="22"/>
        </w:rPr>
        <w:t>“</w:t>
      </w:r>
      <w:r w:rsidRPr="008F6764">
        <w:rPr>
          <w:rFonts w:ascii="Palatino Linotype" w:hAnsi="Palatino Linotype"/>
          <w:b/>
          <w:bCs/>
          <w:i/>
          <w:iCs/>
          <w:sz w:val="22"/>
          <w:szCs w:val="22"/>
        </w:rPr>
        <w:t>Cuentas bancarias y/o CLABE interbancaria de personas físicas y morales privadas.</w:t>
      </w:r>
      <w:r w:rsidRPr="008F6764">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51A6E31"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“Cuentas bancarias y/o CLABE interbancaria de sujetos obligados que reciben y/o transfieren recursos públicos, son información pública.</w:t>
      </w:r>
      <w:r w:rsidRPr="008F6764">
        <w:rPr>
          <w:rFonts w:ascii="Palatino Linotype" w:hAnsi="Palatino Linotype"/>
          <w:i/>
          <w:iCs/>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16A1A2F"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520221A5"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Por cuanto hace a los </w:t>
      </w:r>
      <w:r w:rsidRPr="008F6764">
        <w:rPr>
          <w:rFonts w:ascii="Palatino Linotype" w:hAnsi="Palatino Linotype"/>
          <w:b/>
          <w:bCs/>
          <w:sz w:val="22"/>
          <w:szCs w:val="22"/>
        </w:rPr>
        <w:t>préstamos o descuentos de carácter personal</w:t>
      </w:r>
      <w:r w:rsidRPr="008F6764">
        <w:rPr>
          <w:rFonts w:ascii="Palatino Linotype" w:hAnsi="Palatino Linotype"/>
          <w:sz w:val="22"/>
          <w:szCs w:val="22"/>
        </w:rPr>
        <w:t>, en virtud de no tener relación con la prestación del servicio y al no involucrar instituciones públicas, se consideran datos confidenciales.</w:t>
      </w:r>
    </w:p>
    <w:p w14:paraId="0E7B6A40" w14:textId="77777777" w:rsidR="001C05B6" w:rsidRPr="008F6764" w:rsidRDefault="001C05B6" w:rsidP="001C05B6">
      <w:pPr>
        <w:pStyle w:val="NormalWeb"/>
        <w:spacing w:before="0" w:beforeAutospacing="0" w:after="0" w:afterAutospacing="0" w:line="360" w:lineRule="auto"/>
        <w:jc w:val="both"/>
        <w:rPr>
          <w:sz w:val="22"/>
          <w:szCs w:val="22"/>
        </w:rPr>
      </w:pPr>
    </w:p>
    <w:p w14:paraId="36D19A99"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Para entender los límites y alcances de esta restricción, es oportuno recurrir al artículo 84 de la Ley del Trabajo de los Servidores Públicos del Estado y Municipios:</w:t>
      </w:r>
    </w:p>
    <w:p w14:paraId="2FA7BF64" w14:textId="77777777" w:rsidR="001C05B6" w:rsidRPr="008F6764" w:rsidRDefault="001C05B6" w:rsidP="001C05B6">
      <w:pPr>
        <w:pStyle w:val="NormalWeb"/>
        <w:spacing w:before="0" w:beforeAutospacing="0" w:after="0" w:afterAutospacing="0" w:line="360" w:lineRule="auto"/>
        <w:jc w:val="both"/>
        <w:rPr>
          <w:sz w:val="22"/>
          <w:szCs w:val="22"/>
        </w:rPr>
      </w:pPr>
    </w:p>
    <w:p w14:paraId="2224A963"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 xml:space="preserve">“ARTÍCULO 84. </w:t>
      </w:r>
      <w:r w:rsidRPr="008F6764">
        <w:rPr>
          <w:rFonts w:ascii="Palatino Linotype" w:hAnsi="Palatino Linotype"/>
          <w:i/>
          <w:iCs/>
          <w:sz w:val="22"/>
          <w:szCs w:val="22"/>
        </w:rPr>
        <w:t>Sólo podrán hacerse retenciones, descuentos o deducciones al sueldo de los servidores públicos por concepto de:</w:t>
      </w:r>
    </w:p>
    <w:p w14:paraId="73831194"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I.</w:t>
      </w:r>
      <w:r w:rsidRPr="008F6764">
        <w:rPr>
          <w:rFonts w:ascii="Palatino Linotype" w:hAnsi="Palatino Linotype"/>
          <w:i/>
          <w:iCs/>
          <w:sz w:val="22"/>
          <w:szCs w:val="22"/>
        </w:rPr>
        <w:t xml:space="preserve"> Gravámenes fiscales relacionados con el sueldo;</w:t>
      </w:r>
    </w:p>
    <w:p w14:paraId="06465A13"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II.</w:t>
      </w:r>
      <w:r w:rsidRPr="008F6764">
        <w:rPr>
          <w:rFonts w:ascii="Palatino Linotype" w:hAnsi="Palatino Linotype"/>
          <w:i/>
          <w:iCs/>
          <w:sz w:val="22"/>
          <w:szCs w:val="22"/>
        </w:rPr>
        <w:t xml:space="preserve"> Deudas contraídas con las instituciones públicas o dependencias por concepto de anticipos de sueldo, pagos hechos con exceso, errores o pérdidas debidamente comprobados;</w:t>
      </w:r>
    </w:p>
    <w:p w14:paraId="53FA2F64"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III.</w:t>
      </w:r>
      <w:r w:rsidRPr="008F6764">
        <w:rPr>
          <w:rFonts w:ascii="Palatino Linotype" w:hAnsi="Palatino Linotype"/>
          <w:i/>
          <w:iCs/>
          <w:sz w:val="22"/>
          <w:szCs w:val="22"/>
        </w:rPr>
        <w:t xml:space="preserve"> </w:t>
      </w:r>
      <w:r w:rsidRPr="008F6764">
        <w:rPr>
          <w:rFonts w:ascii="Palatino Linotype" w:hAnsi="Palatino Linotype"/>
          <w:b/>
          <w:bCs/>
          <w:i/>
          <w:iCs/>
          <w:sz w:val="22"/>
          <w:szCs w:val="22"/>
        </w:rPr>
        <w:t>Cuotas sindicales</w:t>
      </w:r>
      <w:r w:rsidRPr="008F6764">
        <w:rPr>
          <w:rFonts w:ascii="Palatino Linotype" w:hAnsi="Palatino Linotype"/>
          <w:i/>
          <w:iCs/>
          <w:sz w:val="22"/>
          <w:szCs w:val="22"/>
        </w:rPr>
        <w:t>;</w:t>
      </w:r>
    </w:p>
    <w:p w14:paraId="3FF8FAC7"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IV.</w:t>
      </w:r>
      <w:r w:rsidRPr="008F6764">
        <w:rPr>
          <w:rFonts w:ascii="Palatino Linotype" w:hAnsi="Palatino Linotype"/>
          <w:i/>
          <w:iCs/>
          <w:sz w:val="22"/>
          <w:szCs w:val="22"/>
        </w:rPr>
        <w:t xml:space="preserve"> Cuotas de aportación a fondos para la constitución de cooperativas y de cajas de ahorro, siempre que el servidor público hubiese manifestado previamente, de manera expresa, su conformidad;</w:t>
      </w:r>
    </w:p>
    <w:p w14:paraId="4DB969E7"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V.</w:t>
      </w:r>
      <w:r w:rsidRPr="008F6764">
        <w:rPr>
          <w:rFonts w:ascii="Palatino Linotype" w:hAnsi="Palatino Linotype"/>
          <w:i/>
          <w:iCs/>
          <w:sz w:val="22"/>
          <w:szCs w:val="22"/>
        </w:rPr>
        <w:t xml:space="preserve"> Descuentos ordenados por el Instituto de Seguridad Social del Estado de México y Municipios, con motivo de cuotas y obligaciones contraídas con éste por los servidores públicos;</w:t>
      </w:r>
    </w:p>
    <w:p w14:paraId="5D2092F1"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VI.</w:t>
      </w:r>
      <w:r w:rsidRPr="008F6764">
        <w:rPr>
          <w:rFonts w:ascii="Palatino Linotype" w:hAnsi="Palatino Linotype"/>
          <w:i/>
          <w:iCs/>
          <w:sz w:val="22"/>
          <w:szCs w:val="22"/>
        </w:rPr>
        <w:t xml:space="preserve"> Obligaciones a cargo del servidor público con las que haya consentido, derivadas de la adquisición o del uso de habitaciones consideradas como de interés social;</w:t>
      </w:r>
    </w:p>
    <w:p w14:paraId="45B20117"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VII.</w:t>
      </w:r>
      <w:r w:rsidRPr="008F6764">
        <w:rPr>
          <w:rFonts w:ascii="Palatino Linotype" w:hAnsi="Palatino Linotype"/>
          <w:i/>
          <w:iCs/>
          <w:sz w:val="22"/>
          <w:szCs w:val="22"/>
        </w:rPr>
        <w:t xml:space="preserve"> Faltas de puntualidad o de asistencia injustificadas;</w:t>
      </w:r>
    </w:p>
    <w:p w14:paraId="58E0AB84"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VIII. Pensiones alimenticias ordenadas por la autoridad judicial;</w:t>
      </w:r>
      <w:r w:rsidRPr="008F6764">
        <w:rPr>
          <w:rFonts w:ascii="Palatino Linotype" w:hAnsi="Palatino Linotype"/>
          <w:i/>
          <w:iCs/>
          <w:sz w:val="22"/>
          <w:szCs w:val="22"/>
        </w:rPr>
        <w:t xml:space="preserve"> o</w:t>
      </w:r>
    </w:p>
    <w:p w14:paraId="3E20D0D4"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IX. Cualquier otro convenido con instituciones de servicios y aceptado por el servidor público.</w:t>
      </w:r>
    </w:p>
    <w:p w14:paraId="0BF821BF"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i/>
          <w:iCs/>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C66D4A9"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49334FDD"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Como se puede observar, el precepto citado establece claramente cuáles son esos descuentos o gravámenes que directamente se relacionan con las obligaciones adquiridas como servidores públicos y aquéllos que únicamente inciden en su vida privada. </w:t>
      </w:r>
    </w:p>
    <w:p w14:paraId="1FF9307D" w14:textId="77777777" w:rsidR="001C05B6" w:rsidRPr="008F6764" w:rsidRDefault="001C05B6" w:rsidP="001C05B6">
      <w:pPr>
        <w:pStyle w:val="NormalWeb"/>
        <w:spacing w:before="0" w:beforeAutospacing="0" w:after="0" w:afterAutospacing="0" w:line="360" w:lineRule="auto"/>
        <w:jc w:val="both"/>
        <w:rPr>
          <w:sz w:val="22"/>
          <w:szCs w:val="22"/>
        </w:rPr>
      </w:pPr>
    </w:p>
    <w:p w14:paraId="508BA2F5" w14:textId="67FAEFBE"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De este modo, los </w:t>
      </w:r>
      <w:r w:rsidRPr="008F6764">
        <w:rPr>
          <w:rFonts w:ascii="Palatino Linotype" w:hAnsi="Palatino Linotype"/>
          <w:b/>
          <w:bCs/>
          <w:sz w:val="22"/>
          <w:szCs w:val="22"/>
        </w:rPr>
        <w:t>descuentos o deducciones por cuotas sindicales</w:t>
      </w:r>
      <w:r w:rsidRPr="008F6764">
        <w:rPr>
          <w:rFonts w:ascii="Palatino Linotype" w:hAnsi="Palatino Linotype"/>
          <w:sz w:val="22"/>
          <w:szCs w:val="22"/>
        </w:rPr>
        <w:t xml:space="preserve">, </w:t>
      </w:r>
      <w:r w:rsidRPr="008F6764">
        <w:rPr>
          <w:rFonts w:ascii="Palatino Linotype" w:hAnsi="Palatino Linotype"/>
          <w:b/>
          <w:bCs/>
          <w:sz w:val="22"/>
          <w:szCs w:val="22"/>
        </w:rPr>
        <w:t>pensiones alimenticias</w:t>
      </w:r>
      <w:r w:rsidRPr="008F6764">
        <w:rPr>
          <w:rFonts w:ascii="Palatino Linotype" w:hAnsi="Palatino Linotype"/>
          <w:sz w:val="22"/>
          <w:szCs w:val="22"/>
        </w:rPr>
        <w:t xml:space="preserve"> o </w:t>
      </w:r>
      <w:r w:rsidRPr="008F6764">
        <w:rPr>
          <w:rFonts w:ascii="Palatino Linotype" w:hAnsi="Palatino Linotype"/>
          <w:b/>
          <w:bCs/>
          <w:sz w:val="22"/>
          <w:szCs w:val="22"/>
        </w:rPr>
        <w:t>créditos adquiridos con instituciones privadas</w:t>
      </w:r>
      <w:r w:rsidRPr="008F6764">
        <w:rPr>
          <w:rFonts w:ascii="Palatino Linotype" w:hAnsi="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8F6764">
        <w:rPr>
          <w:rFonts w:ascii="Palatino Linotype" w:hAnsi="Palatino Linotype"/>
          <w:b/>
          <w:bCs/>
          <w:sz w:val="22"/>
          <w:szCs w:val="22"/>
        </w:rPr>
        <w:t>es información que no es de carácter público, sino que constituye información confidencial</w:t>
      </w:r>
      <w:r w:rsidRPr="008F6764">
        <w:rPr>
          <w:rFonts w:ascii="Palatino Linotype" w:hAnsi="Palatino Linotype"/>
          <w:sz w:val="22"/>
          <w:szCs w:val="22"/>
        </w:rPr>
        <w:t xml:space="preserve"> en virtud de que corresponde con decisiones personales, y por tanto, se debe clasificar.</w:t>
      </w:r>
    </w:p>
    <w:p w14:paraId="20CC3AFF"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17F76A65"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600137D" w14:textId="77777777" w:rsidR="001C05B6" w:rsidRPr="008F6764" w:rsidRDefault="001C05B6" w:rsidP="001C05B6">
      <w:pPr>
        <w:pStyle w:val="NormalWeb"/>
        <w:spacing w:before="0" w:beforeAutospacing="0" w:after="0" w:afterAutospacing="0" w:line="360" w:lineRule="auto"/>
        <w:jc w:val="both"/>
        <w:rPr>
          <w:sz w:val="22"/>
          <w:szCs w:val="22"/>
        </w:rPr>
      </w:pPr>
    </w:p>
    <w:p w14:paraId="09B972EC"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5BF88DDB" w14:textId="77777777" w:rsidR="001C05B6" w:rsidRPr="008F6764" w:rsidRDefault="001C05B6" w:rsidP="001C05B6">
      <w:pPr>
        <w:pStyle w:val="NormalWeb"/>
        <w:spacing w:before="0" w:beforeAutospacing="0" w:after="0" w:afterAutospacing="0" w:line="360" w:lineRule="auto"/>
        <w:jc w:val="both"/>
        <w:rPr>
          <w:sz w:val="22"/>
          <w:szCs w:val="22"/>
        </w:rPr>
      </w:pPr>
    </w:p>
    <w:p w14:paraId="2A7A6D20"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Con relación al </w:t>
      </w:r>
      <w:r w:rsidRPr="008F6764">
        <w:rPr>
          <w:rFonts w:ascii="Palatino Linotype" w:hAnsi="Palatino Linotype"/>
          <w:b/>
          <w:bCs/>
          <w:sz w:val="22"/>
          <w:szCs w:val="22"/>
        </w:rPr>
        <w:t>número de empleado</w:t>
      </w:r>
      <w:r w:rsidRPr="008F6764">
        <w:rPr>
          <w:rFonts w:ascii="Palatino Linotype" w:hAnsi="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6966F687" w14:textId="77777777" w:rsidR="001C05B6" w:rsidRPr="008F6764" w:rsidRDefault="001C05B6" w:rsidP="001C05B6">
      <w:pPr>
        <w:pStyle w:val="NormalWeb"/>
        <w:spacing w:before="0" w:beforeAutospacing="0" w:after="0" w:afterAutospacing="0" w:line="360" w:lineRule="auto"/>
        <w:jc w:val="both"/>
        <w:rPr>
          <w:sz w:val="22"/>
          <w:szCs w:val="22"/>
        </w:rPr>
      </w:pPr>
    </w:p>
    <w:p w14:paraId="35B9309A"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2E0C8F6E" w14:textId="77777777" w:rsidR="001C05B6" w:rsidRPr="008F6764" w:rsidRDefault="001C05B6" w:rsidP="001C05B6">
      <w:pPr>
        <w:pStyle w:val="NormalWeb"/>
        <w:spacing w:before="0" w:beforeAutospacing="0" w:after="0" w:afterAutospacing="0" w:line="360" w:lineRule="auto"/>
        <w:jc w:val="both"/>
        <w:rPr>
          <w:sz w:val="22"/>
          <w:szCs w:val="22"/>
        </w:rPr>
      </w:pPr>
    </w:p>
    <w:p w14:paraId="1C8A64D5" w14:textId="77777777" w:rsidR="001C05B6" w:rsidRPr="008F6764" w:rsidRDefault="001C05B6" w:rsidP="001C05B6">
      <w:pPr>
        <w:pStyle w:val="NormalWeb"/>
        <w:spacing w:before="0" w:beforeAutospacing="0" w:after="0" w:afterAutospacing="0"/>
        <w:ind w:left="567" w:right="709"/>
        <w:jc w:val="both"/>
        <w:rPr>
          <w:rFonts w:ascii="Palatino Linotype" w:hAnsi="Palatino Linotype"/>
          <w:i/>
          <w:iCs/>
          <w:sz w:val="22"/>
          <w:szCs w:val="22"/>
        </w:rPr>
      </w:pPr>
      <w:r w:rsidRPr="008F6764">
        <w:rPr>
          <w:rFonts w:ascii="Palatino Linotype" w:hAnsi="Palatino Linotype"/>
          <w:b/>
          <w:bCs/>
          <w:i/>
          <w:iCs/>
          <w:sz w:val="22"/>
          <w:szCs w:val="22"/>
        </w:rPr>
        <w:t xml:space="preserve">“Número de empleado. </w:t>
      </w:r>
      <w:r w:rsidRPr="008F6764">
        <w:rPr>
          <w:rFonts w:ascii="Palatino Linotype" w:hAnsi="Palatino Linotype"/>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2E74880" w14:textId="77777777" w:rsidR="001C05B6" w:rsidRPr="008F6764" w:rsidRDefault="001C05B6" w:rsidP="001C05B6">
      <w:pPr>
        <w:pStyle w:val="NormalWeb"/>
        <w:spacing w:before="0" w:beforeAutospacing="0" w:after="0" w:afterAutospacing="0"/>
        <w:ind w:left="992" w:right="992"/>
        <w:jc w:val="both"/>
        <w:rPr>
          <w:sz w:val="22"/>
          <w:szCs w:val="22"/>
        </w:rPr>
      </w:pPr>
    </w:p>
    <w:p w14:paraId="044AED8A"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F6764">
        <w:rPr>
          <w:rFonts w:ascii="Palatino Linotype" w:hAnsi="Palatino Linotype"/>
          <w:b/>
          <w:bCs/>
          <w:sz w:val="22"/>
          <w:szCs w:val="22"/>
        </w:rPr>
        <w:t>Sujeto Obligado</w:t>
      </w:r>
      <w:r w:rsidRPr="008F6764">
        <w:rPr>
          <w:rFonts w:ascii="Palatino Linotype" w:hAnsi="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FDF6070"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4987766A"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b/>
          <w:bCs/>
          <w:sz w:val="22"/>
          <w:szCs w:val="22"/>
        </w:rPr>
        <w:t>De la información fiscal</w:t>
      </w:r>
      <w:r w:rsidRPr="008F6764">
        <w:rPr>
          <w:rFonts w:ascii="Palatino Linotype" w:hAnsi="Palatino Linotype"/>
          <w:sz w:val="22"/>
          <w:szCs w:val="22"/>
        </w:rPr>
        <w:t>: </w:t>
      </w:r>
    </w:p>
    <w:p w14:paraId="6CD68B95" w14:textId="77777777" w:rsidR="001C05B6" w:rsidRPr="008F6764" w:rsidRDefault="001C05B6" w:rsidP="001C05B6">
      <w:pPr>
        <w:spacing w:after="0" w:line="360" w:lineRule="auto"/>
      </w:pPr>
    </w:p>
    <w:p w14:paraId="7DB5D37A"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sz w:val="22"/>
          <w:szCs w:val="22"/>
        </w:rPr>
        <w:t xml:space="preserve">La </w:t>
      </w:r>
      <w:r w:rsidRPr="008F6764">
        <w:rPr>
          <w:rFonts w:ascii="Palatino Linotype" w:hAnsi="Palatino Linotype"/>
          <w:b/>
          <w:bCs/>
          <w:sz w:val="22"/>
          <w:szCs w:val="22"/>
        </w:rPr>
        <w:t>Cadena Original</w:t>
      </w:r>
      <w:r w:rsidRPr="008F6764">
        <w:rPr>
          <w:rFonts w:ascii="Palatino Linotype" w:hAnsi="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F6764">
        <w:rPr>
          <w:rFonts w:ascii="Palatino Linotype" w:hAnsi="Palatino Linotype"/>
          <w:b/>
          <w:bCs/>
          <w:sz w:val="22"/>
          <w:szCs w:val="22"/>
        </w:rPr>
        <w:t>Sujeto Obligado</w:t>
      </w:r>
      <w:r w:rsidRPr="008F6764">
        <w:rPr>
          <w:rFonts w:ascii="Palatino Linotype" w:hAnsi="Palatino Linotype"/>
          <w:sz w:val="22"/>
          <w:szCs w:val="22"/>
        </w:rPr>
        <w:t xml:space="preserve"> analizar dicha circunstancia con la finalidad de proteger, de ser el caso, la información a través de su clasificación por actualizarse el supuesto de confidencialidad.</w:t>
      </w:r>
    </w:p>
    <w:p w14:paraId="437EF55E" w14:textId="77777777" w:rsidR="001C05B6" w:rsidRPr="008F6764" w:rsidRDefault="001C05B6" w:rsidP="001C05B6">
      <w:pPr>
        <w:spacing w:after="0" w:line="360" w:lineRule="auto"/>
      </w:pPr>
    </w:p>
    <w:p w14:paraId="77C5AE6D" w14:textId="57835E7C"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sz w:val="22"/>
          <w:szCs w:val="22"/>
        </w:rPr>
        <w:t xml:space="preserve">Los </w:t>
      </w:r>
      <w:r w:rsidRPr="008F6764">
        <w:rPr>
          <w:rFonts w:ascii="Palatino Linotype" w:hAnsi="Palatino Linotype"/>
          <w:b/>
          <w:bCs/>
          <w:sz w:val="22"/>
          <w:szCs w:val="22"/>
        </w:rPr>
        <w:t>códigos bidimensionales</w:t>
      </w:r>
      <w:r w:rsidRPr="008F6764">
        <w:rPr>
          <w:rFonts w:ascii="Palatino Linotype" w:hAnsi="Palatino Linotype"/>
          <w:sz w:val="22"/>
          <w:szCs w:val="22"/>
        </w:rPr>
        <w:t xml:space="preserve"> o </w:t>
      </w:r>
      <w:r w:rsidRPr="008F6764">
        <w:rPr>
          <w:rFonts w:ascii="Palatino Linotype" w:hAnsi="Palatino Linotype"/>
          <w:b/>
          <w:bCs/>
          <w:sz w:val="22"/>
          <w:szCs w:val="22"/>
        </w:rPr>
        <w:t xml:space="preserve">códigos QR, </w:t>
      </w:r>
      <w:r w:rsidRPr="008F6764">
        <w:rPr>
          <w:rFonts w:ascii="Palatino Linotype" w:hAnsi="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F6764">
        <w:rPr>
          <w:rFonts w:ascii="Palatino Linotype" w:hAnsi="Palatino Linotype"/>
          <w:b/>
          <w:bCs/>
          <w:sz w:val="22"/>
          <w:szCs w:val="22"/>
        </w:rPr>
        <w:t xml:space="preserve">Sujeto Obligado </w:t>
      </w:r>
      <w:r w:rsidRPr="008F6764">
        <w:rPr>
          <w:rFonts w:ascii="Palatino Linotype" w:hAnsi="Palatino Linotype"/>
          <w:sz w:val="22"/>
          <w:szCs w:val="22"/>
        </w:rPr>
        <w:t>analizar dicha circunstancia con la finalidad de determinar si se actualiza algún supuesto de confidencialidad.</w:t>
      </w:r>
    </w:p>
    <w:p w14:paraId="75C172EC"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En tal sentido, si derivado del análisis efectuado por </w:t>
      </w:r>
      <w:r w:rsidRPr="008F6764">
        <w:rPr>
          <w:rFonts w:ascii="Palatino Linotype" w:hAnsi="Palatino Linotype"/>
          <w:b/>
          <w:bCs/>
          <w:sz w:val="22"/>
          <w:szCs w:val="22"/>
        </w:rPr>
        <w:t xml:space="preserve">Sujeto Obligado </w:t>
      </w:r>
      <w:r w:rsidRPr="008F6764">
        <w:rPr>
          <w:rFonts w:ascii="Palatino Linotype" w:hAnsi="Palatino Linotype"/>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65CCA4EB"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1962B429"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8F6764">
        <w:rPr>
          <w:rFonts w:ascii="Palatino Linotype" w:hAnsi="Palatino Linotype"/>
          <w:b/>
          <w:bCs/>
          <w:sz w:val="22"/>
          <w:szCs w:val="22"/>
          <w:u w:val="single"/>
        </w:rPr>
        <w:t>sólo por cuanto hace al nombre</w:t>
      </w:r>
      <w:r w:rsidRPr="008F6764">
        <w:rPr>
          <w:rFonts w:ascii="Palatino Linotype" w:hAnsi="Palatino Linotype"/>
          <w:b/>
          <w:bCs/>
          <w:sz w:val="22"/>
          <w:szCs w:val="22"/>
        </w:rPr>
        <w:t xml:space="preserve">, </w:t>
      </w:r>
      <w:r w:rsidRPr="008F6764">
        <w:rPr>
          <w:rFonts w:ascii="Palatino Linotype" w:hAnsi="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8F6764">
        <w:rPr>
          <w:rFonts w:ascii="Palatino Linotype" w:hAnsi="Palatino Linotype"/>
          <w:b/>
          <w:bCs/>
          <w:sz w:val="22"/>
          <w:szCs w:val="22"/>
        </w:rPr>
        <w:t>que desempeñen funciones operativas</w:t>
      </w:r>
      <w:r w:rsidRPr="008F6764">
        <w:rPr>
          <w:rFonts w:ascii="Palatino Linotype" w:hAnsi="Palatino Linotype"/>
          <w:sz w:val="22"/>
          <w:szCs w:val="22"/>
        </w:rPr>
        <w:t>.</w:t>
      </w:r>
    </w:p>
    <w:p w14:paraId="76DFBE75" w14:textId="77777777" w:rsidR="001C05B6" w:rsidRPr="008F6764" w:rsidRDefault="001C05B6" w:rsidP="001C05B6">
      <w:pPr>
        <w:pStyle w:val="NormalWeb"/>
        <w:spacing w:before="0" w:beforeAutospacing="0" w:after="0" w:afterAutospacing="0" w:line="360" w:lineRule="auto"/>
        <w:jc w:val="both"/>
        <w:rPr>
          <w:sz w:val="22"/>
          <w:szCs w:val="22"/>
        </w:rPr>
      </w:pPr>
    </w:p>
    <w:p w14:paraId="7AA63613"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Al respecto, la información </w:t>
      </w:r>
      <w:r w:rsidRPr="008F6764">
        <w:rPr>
          <w:rFonts w:ascii="Palatino Linotype" w:hAnsi="Palatino Linotype"/>
          <w:b/>
          <w:bCs/>
          <w:sz w:val="22"/>
          <w:szCs w:val="22"/>
        </w:rPr>
        <w:t>de los elementos que realizan funciones operativas, entre ellos su nombre y cargo, deben ser protegidos</w:t>
      </w:r>
      <w:r w:rsidRPr="008F6764">
        <w:rPr>
          <w:rFonts w:ascii="Palatino Linotype" w:hAnsi="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09A8EB6" w14:textId="77777777" w:rsidR="001C05B6" w:rsidRPr="008F6764" w:rsidRDefault="001C05B6" w:rsidP="001C05B6">
      <w:pPr>
        <w:pStyle w:val="NormalWeb"/>
        <w:spacing w:before="0" w:beforeAutospacing="0" w:after="0" w:afterAutospacing="0" w:line="360" w:lineRule="auto"/>
        <w:jc w:val="both"/>
        <w:rPr>
          <w:sz w:val="22"/>
          <w:szCs w:val="22"/>
        </w:rPr>
      </w:pPr>
    </w:p>
    <w:p w14:paraId="5575650C"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44618780" w14:textId="77777777" w:rsidR="001C05B6" w:rsidRPr="008F6764" w:rsidRDefault="001C05B6" w:rsidP="001C05B6">
      <w:pPr>
        <w:pStyle w:val="NormalWeb"/>
        <w:spacing w:before="0" w:beforeAutospacing="0" w:after="0" w:afterAutospacing="0" w:line="360" w:lineRule="auto"/>
        <w:jc w:val="both"/>
        <w:rPr>
          <w:sz w:val="22"/>
          <w:szCs w:val="22"/>
        </w:rPr>
      </w:pPr>
    </w:p>
    <w:p w14:paraId="13B257CD" w14:textId="77777777" w:rsidR="001C05B6" w:rsidRPr="008F6764" w:rsidRDefault="001C05B6" w:rsidP="001C05B6">
      <w:pPr>
        <w:pStyle w:val="NormalWeb"/>
        <w:spacing w:before="0" w:beforeAutospacing="0" w:after="0" w:afterAutospacing="0" w:line="360" w:lineRule="auto"/>
        <w:jc w:val="both"/>
        <w:rPr>
          <w:rFonts w:ascii="Palatino Linotype" w:hAnsi="Palatino Linotype"/>
          <w:b/>
          <w:bCs/>
          <w:sz w:val="22"/>
          <w:szCs w:val="22"/>
        </w:rPr>
      </w:pPr>
      <w:r w:rsidRPr="008F6764">
        <w:rPr>
          <w:rFonts w:ascii="Palatino Linotype" w:hAnsi="Palatino Linotype"/>
          <w:sz w:val="22"/>
          <w:szCs w:val="22"/>
        </w:rPr>
        <w:t xml:space="preserve">Como sustento de lo anterior, es preciso mencionar que el </w:t>
      </w:r>
      <w:r w:rsidRPr="008F6764">
        <w:rPr>
          <w:rFonts w:ascii="Palatino Linotype" w:hAnsi="Palatino Linotype"/>
          <w:b/>
          <w:bCs/>
          <w:sz w:val="22"/>
          <w:szCs w:val="22"/>
        </w:rPr>
        <w:t xml:space="preserve">actual Pleno de este Instituto ha sostenido el criterio de no dar a conocer los nombres de aquellos servidores públicos que realizan funciones operativas en materia de seguridad pública, </w:t>
      </w:r>
      <w:r w:rsidRPr="008F6764">
        <w:rPr>
          <w:rFonts w:ascii="Palatino Linotype" w:hAnsi="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8F6764">
        <w:rPr>
          <w:rFonts w:ascii="Palatino Linotype" w:hAnsi="Palatino Linotype"/>
          <w:b/>
          <w:bCs/>
          <w:sz w:val="22"/>
          <w:szCs w:val="22"/>
        </w:rPr>
        <w:t>vulnerar la vida, seguridad o salud de dichos elementos, incluso la de sus familias o entorno social. </w:t>
      </w:r>
    </w:p>
    <w:p w14:paraId="6C9819DB" w14:textId="77777777" w:rsidR="001C05B6" w:rsidRPr="008F6764" w:rsidRDefault="001C05B6" w:rsidP="001C05B6">
      <w:pPr>
        <w:pStyle w:val="NormalWeb"/>
        <w:spacing w:before="0" w:beforeAutospacing="0" w:after="0" w:afterAutospacing="0" w:line="360" w:lineRule="auto"/>
        <w:jc w:val="both"/>
        <w:rPr>
          <w:sz w:val="22"/>
          <w:szCs w:val="22"/>
        </w:rPr>
      </w:pPr>
    </w:p>
    <w:p w14:paraId="3BDF102A"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2224E27E" w14:textId="77777777" w:rsidR="001C05B6" w:rsidRPr="008F6764" w:rsidRDefault="001C05B6" w:rsidP="001C05B6">
      <w:pPr>
        <w:pStyle w:val="NormalWeb"/>
        <w:spacing w:before="0" w:beforeAutospacing="0" w:after="0" w:afterAutospacing="0" w:line="360" w:lineRule="auto"/>
        <w:jc w:val="both"/>
        <w:rPr>
          <w:sz w:val="22"/>
          <w:szCs w:val="22"/>
        </w:rPr>
      </w:pPr>
    </w:p>
    <w:p w14:paraId="777BFA0A"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7C11C008" w14:textId="77777777" w:rsidR="001C05B6" w:rsidRPr="008F6764" w:rsidRDefault="001C05B6" w:rsidP="001C05B6">
      <w:pPr>
        <w:pStyle w:val="NormalWeb"/>
        <w:spacing w:before="0" w:beforeAutospacing="0" w:after="0" w:afterAutospacing="0" w:line="360" w:lineRule="auto"/>
        <w:jc w:val="both"/>
        <w:rPr>
          <w:sz w:val="22"/>
          <w:szCs w:val="22"/>
        </w:rPr>
      </w:pPr>
    </w:p>
    <w:p w14:paraId="6A344937"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5000DEF4" w14:textId="77777777" w:rsidR="001C05B6" w:rsidRPr="008F6764" w:rsidRDefault="001C05B6" w:rsidP="001C05B6">
      <w:pPr>
        <w:pStyle w:val="NormalWeb"/>
        <w:spacing w:before="0" w:beforeAutospacing="0" w:after="0" w:afterAutospacing="0" w:line="360" w:lineRule="auto"/>
        <w:jc w:val="both"/>
        <w:rPr>
          <w:sz w:val="22"/>
          <w:szCs w:val="22"/>
        </w:rPr>
      </w:pPr>
    </w:p>
    <w:p w14:paraId="72E9BF49" w14:textId="77777777" w:rsidR="001C05B6" w:rsidRPr="008F6764" w:rsidRDefault="001C05B6" w:rsidP="001C05B6">
      <w:pPr>
        <w:pStyle w:val="NormalWeb"/>
        <w:spacing w:before="0" w:beforeAutospacing="0" w:after="0" w:afterAutospacing="0"/>
        <w:ind w:left="851" w:right="902"/>
        <w:jc w:val="both"/>
        <w:rPr>
          <w:sz w:val="22"/>
          <w:szCs w:val="22"/>
        </w:rPr>
      </w:pPr>
      <w:r w:rsidRPr="008F6764">
        <w:rPr>
          <w:rFonts w:ascii="Palatino Linotype" w:hAnsi="Palatino Linotype"/>
          <w:b/>
          <w:bCs/>
          <w:i/>
          <w:iCs/>
          <w:sz w:val="22"/>
          <w:szCs w:val="22"/>
        </w:rPr>
        <w:t>“Nombres de servidores públicos dedicados a actividades en materia de seguridad, por excepción pueden considerarse información reservada.</w:t>
      </w:r>
      <w:r w:rsidRPr="008F6764">
        <w:rPr>
          <w:rFonts w:ascii="Palatino Linotype" w:hAnsi="Palatino Linotype"/>
          <w:i/>
          <w:iCs/>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C760DC8"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0C5C3A79" w14:textId="77777777" w:rsidR="001C05B6" w:rsidRPr="008F6764" w:rsidRDefault="001C05B6" w:rsidP="001C05B6">
      <w:pPr>
        <w:pStyle w:val="NormalWeb"/>
        <w:spacing w:before="0" w:beforeAutospacing="0" w:after="0" w:afterAutospacing="0" w:line="360" w:lineRule="auto"/>
        <w:jc w:val="both"/>
        <w:rPr>
          <w:rFonts w:ascii="Palatino Linotype" w:hAnsi="Palatino Linotype"/>
          <w:b/>
          <w:bCs/>
          <w:sz w:val="22"/>
          <w:szCs w:val="22"/>
        </w:rPr>
      </w:pPr>
      <w:r w:rsidRPr="008F6764">
        <w:rPr>
          <w:rFonts w:ascii="Palatino Linotype" w:hAnsi="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8F6764">
        <w:rPr>
          <w:rFonts w:ascii="Palatino Linotype" w:hAnsi="Palatino Linotype"/>
          <w:b/>
          <w:bCs/>
          <w:sz w:val="22"/>
          <w:szCs w:val="22"/>
        </w:rPr>
        <w:t>funciones de carácter operativo.</w:t>
      </w:r>
    </w:p>
    <w:p w14:paraId="67FB9502" w14:textId="77777777" w:rsidR="001C05B6" w:rsidRPr="008F6764" w:rsidRDefault="001C05B6" w:rsidP="001C05B6">
      <w:pPr>
        <w:pStyle w:val="NormalWeb"/>
        <w:spacing w:before="0" w:beforeAutospacing="0" w:after="0" w:afterAutospacing="0" w:line="360" w:lineRule="auto"/>
        <w:jc w:val="both"/>
        <w:rPr>
          <w:sz w:val="22"/>
          <w:szCs w:val="22"/>
        </w:rPr>
      </w:pPr>
    </w:p>
    <w:p w14:paraId="493BFD9C"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Sirven de sustento a lo anterior las tesis jurisprudenciales emitidas por la Suprema corte de Justicia de la Nación, que son del literal siguiente:</w:t>
      </w:r>
    </w:p>
    <w:p w14:paraId="39906863" w14:textId="77777777" w:rsidR="001C05B6" w:rsidRPr="008F6764" w:rsidRDefault="001C05B6" w:rsidP="001C05B6">
      <w:pPr>
        <w:pStyle w:val="NormalWeb"/>
        <w:spacing w:before="0" w:beforeAutospacing="0" w:after="0" w:afterAutospacing="0" w:line="360" w:lineRule="auto"/>
        <w:jc w:val="both"/>
        <w:rPr>
          <w:sz w:val="22"/>
          <w:szCs w:val="22"/>
        </w:rPr>
      </w:pPr>
    </w:p>
    <w:p w14:paraId="1D7D38B8" w14:textId="77777777" w:rsidR="001C05B6" w:rsidRPr="008F6764" w:rsidRDefault="001C05B6" w:rsidP="001C05B6">
      <w:pPr>
        <w:pStyle w:val="NormalWeb"/>
        <w:spacing w:before="0" w:beforeAutospacing="0" w:after="0" w:afterAutospacing="0"/>
        <w:ind w:left="567" w:right="760"/>
        <w:jc w:val="both"/>
        <w:rPr>
          <w:sz w:val="22"/>
          <w:szCs w:val="22"/>
        </w:rPr>
      </w:pPr>
      <w:r w:rsidRPr="008F6764">
        <w:rPr>
          <w:rFonts w:ascii="Palatino Linotype" w:hAnsi="Palatino Linotype"/>
          <w:b/>
          <w:bCs/>
          <w:i/>
          <w:iCs/>
          <w:sz w:val="22"/>
          <w:szCs w:val="22"/>
        </w:rPr>
        <w:t xml:space="preserve">“DERECHO A LA INFORMACIÓN. SU EJERCICIO SE ENCUENTRA LIMITADO TANTO POR LOS INTERESES NACIONALES Y DE LA SOCIEDAD, COMO POR LOS DERECHOS DE TERCEROS. </w:t>
      </w:r>
      <w:r w:rsidRPr="008F6764">
        <w:rPr>
          <w:rFonts w:ascii="Palatino Linotype" w:hAnsi="Palatino Linotype"/>
          <w:i/>
          <w:iCs/>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F6764">
        <w:rPr>
          <w:rFonts w:ascii="Palatino Linotype" w:hAnsi="Palatino Linotype"/>
          <w:b/>
          <w:bCs/>
          <w:i/>
          <w:iCs/>
          <w:sz w:val="22"/>
          <w:szCs w:val="22"/>
        </w:rPr>
        <w:t>restringen el acceso a la información en esta materia, en razón de que su conocimiento público puede generar daños a los intereses nacionales y, por el otro, sancionan la inobservancia de esa reserva;</w:t>
      </w:r>
      <w:r w:rsidRPr="008F6764">
        <w:rPr>
          <w:rFonts w:ascii="Palatino Linotype" w:hAnsi="Palatino Linotype"/>
          <w:i/>
          <w:iCs/>
          <w:sz w:val="22"/>
          <w:szCs w:val="22"/>
        </w:rPr>
        <w:t xml:space="preserve"> por lo que hace al interés social, se cuenta con normas que tienden a proteger la averiguación de los delitos, la salud y la moral públicas, </w:t>
      </w:r>
      <w:r w:rsidRPr="008F6764">
        <w:rPr>
          <w:rFonts w:ascii="Palatino Linotype" w:hAnsi="Palatino Linotype"/>
          <w:b/>
          <w:bCs/>
          <w:i/>
          <w:iCs/>
          <w:sz w:val="22"/>
          <w:szCs w:val="22"/>
        </w:rPr>
        <w:t>mientras que por lo que respecta a la protección de la persona existen normas que protegen el derecho a la vida o a la privacidad de los gobernados.</w:t>
      </w:r>
      <w:r w:rsidRPr="008F6764">
        <w:rPr>
          <w:rFonts w:ascii="Palatino Linotype" w:hAnsi="Palatino Linotype"/>
          <w:i/>
          <w:iCs/>
          <w:sz w:val="22"/>
          <w:szCs w:val="22"/>
        </w:rPr>
        <w:t>”</w:t>
      </w:r>
    </w:p>
    <w:p w14:paraId="67F5A5A9" w14:textId="77777777" w:rsidR="001C05B6" w:rsidRPr="008F6764" w:rsidRDefault="001C05B6" w:rsidP="001C05B6">
      <w:pPr>
        <w:pStyle w:val="NormalWeb"/>
        <w:spacing w:before="0" w:beforeAutospacing="0" w:after="0" w:afterAutospacing="0"/>
        <w:ind w:left="567" w:right="760"/>
        <w:jc w:val="both"/>
        <w:rPr>
          <w:sz w:val="22"/>
          <w:szCs w:val="22"/>
        </w:rPr>
      </w:pPr>
      <w:r w:rsidRPr="008F6764">
        <w:rPr>
          <w:rFonts w:ascii="Palatino Linotype" w:hAnsi="Palatino Linotype"/>
          <w:b/>
          <w:bCs/>
          <w:i/>
          <w:iCs/>
          <w:sz w:val="22"/>
          <w:szCs w:val="22"/>
        </w:rPr>
        <w:t>“TRANSPARENCIA Y ACCESO A LA INFORMACIÓN PÚBLICA GUBERNAMENTAL. EL ARTÍCULO 14, FRACCIÓN I, DE LA LEY FEDERAL RELATIVA, NO VIOLA LA GARANTÍA DE ACCESO A LA INFORMACIÓN.</w:t>
      </w:r>
      <w:r w:rsidRPr="008F6764">
        <w:rPr>
          <w:rFonts w:ascii="Palatino Linotype" w:hAnsi="Palatino Linotype"/>
          <w:i/>
          <w:iCs/>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F6764">
        <w:rPr>
          <w:rFonts w:ascii="Palatino Linotype" w:hAnsi="Palatino Linotype"/>
          <w:b/>
          <w:bCs/>
          <w:i/>
          <w:iCs/>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F6764">
        <w:rPr>
          <w:rFonts w:ascii="Palatino Linotype" w:hAnsi="Palatino Linotype"/>
          <w:i/>
          <w:iCs/>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E134C9"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p>
    <w:p w14:paraId="3BB2EE8B" w14:textId="77777777" w:rsidR="001C05B6" w:rsidRPr="008F6764" w:rsidRDefault="001C05B6" w:rsidP="001C05B6">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Por lo que hace a las </w:t>
      </w:r>
      <w:r w:rsidRPr="008F6764">
        <w:rPr>
          <w:rFonts w:ascii="Palatino Linotype" w:eastAsia="Palatino Linotype" w:hAnsi="Palatino Linotype" w:cs="Palatino Linotype"/>
          <w:b/>
          <w:u w:val="single"/>
        </w:rPr>
        <w:t>percepciones, o ingresos</w:t>
      </w:r>
      <w:r w:rsidRPr="008F6764">
        <w:rPr>
          <w:rFonts w:ascii="Palatino Linotype" w:eastAsia="Palatino Linotype" w:hAnsi="Palatino Linotype" w:cs="Palatino Linotype"/>
        </w:rPr>
        <w:t xml:space="preserve"> como se dijo es información de carácter público que no podrá ser clasificada, por las razones expuestas en el considerando cuarto, entre las que se destaca </w:t>
      </w:r>
      <w:r w:rsidRPr="008F6764">
        <w:rPr>
          <w:rFonts w:ascii="Palatino Linotype" w:eastAsia="Palatino Linotype" w:hAnsi="Palatino Linotype" w:cs="Palatino Linotype"/>
          <w:b/>
          <w:bCs/>
          <w:u w:val="single"/>
        </w:rPr>
        <w:t xml:space="preserve">las remuneraciones brutas y netas de todos los servidores públicos, que incluya todas las percepciones, entre las cuales, se encuentran los sueldos, prestaciones, gratificaciones, primas, comisiones, dietas, bonos, estímulos, ingresos, entre otros </w:t>
      </w:r>
      <w:r w:rsidRPr="008F6764">
        <w:rPr>
          <w:rFonts w:ascii="Palatino Linotype" w:eastAsia="Palatino Linotype" w:hAnsi="Palatino Linotype" w:cs="Palatino Linotype"/>
        </w:rPr>
        <w:t xml:space="preserve"> se trata de información vinculada con las obligaciones de transparencia </w:t>
      </w:r>
      <w:r w:rsidRPr="008F6764">
        <w:rPr>
          <w:rFonts w:ascii="Palatino Linotype" w:eastAsia="Palatino Linotype" w:hAnsi="Palatino Linotype" w:cs="Palatino Linotype"/>
          <w:b/>
          <w:bCs/>
          <w:u w:val="single"/>
        </w:rPr>
        <w:t xml:space="preserve">que los Sujetos Obligados deberán poner a disposición del público de manera permanente y actualizada, por ello no resulta procedente su clasificación. </w:t>
      </w:r>
    </w:p>
    <w:p w14:paraId="5A761712" w14:textId="77777777" w:rsidR="001C05B6" w:rsidRPr="008F6764" w:rsidRDefault="001C05B6" w:rsidP="001C05B6">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 </w:t>
      </w:r>
    </w:p>
    <w:p w14:paraId="7F5FFFCD"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eastAsia="Palatino Linotype" w:hAnsi="Palatino Linotype" w:cs="Palatino Linotype"/>
          <w:sz w:val="22"/>
          <w:szCs w:val="22"/>
        </w:rPr>
        <w:t xml:space="preserve">En cuanto a la </w:t>
      </w:r>
      <w:r w:rsidRPr="008F6764">
        <w:rPr>
          <w:rFonts w:ascii="Palatino Linotype" w:eastAsia="Palatino Linotype" w:hAnsi="Palatino Linotype" w:cs="Palatino Linotype"/>
          <w:b/>
          <w:sz w:val="22"/>
          <w:szCs w:val="22"/>
          <w:u w:val="single"/>
        </w:rPr>
        <w:t>Firma de servidores públicos</w:t>
      </w:r>
      <w:r w:rsidRPr="008F6764">
        <w:rPr>
          <w:rFonts w:ascii="Palatino Linotype" w:eastAsia="Palatino Linotype" w:hAnsi="Palatino Linotype" w:cs="Palatino Linotype"/>
          <w:sz w:val="22"/>
          <w:szCs w:val="22"/>
        </w:rPr>
        <w:t xml:space="preserve">, contenidas en los recibos de nómina, si bien, </w:t>
      </w:r>
      <w:r w:rsidRPr="008F6764">
        <w:rPr>
          <w:rFonts w:ascii="Palatino Linotype" w:hAnsi="Palatino Linotype"/>
          <w:sz w:val="22"/>
          <w:szCs w:val="22"/>
        </w:rPr>
        <w:t>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r w:rsidRPr="008F6764">
        <w:rPr>
          <w:rFonts w:ascii="Palatino Linotype" w:hAnsi="Palatino Linotype"/>
          <w:b/>
          <w:sz w:val="22"/>
          <w:szCs w:val="22"/>
          <w:u w:val="single"/>
        </w:rPr>
        <w:t>, sin embargo, en el caso de los servidores públicos,</w:t>
      </w:r>
      <w:r w:rsidRPr="008F6764">
        <w:rPr>
          <w:rFonts w:ascii="Palatino Linotype" w:hAnsi="Palatino Linotype"/>
          <w:sz w:val="22"/>
          <w:szCs w:val="22"/>
        </w:rPr>
        <w:t xml:space="preserve"> dicho dato es público cuando, en ejercicio de las atribuciones que les fueron conferidas, emiten un acto de autoridad, siendo la firma el medio por el cual se le da validez a dicho acto.</w:t>
      </w:r>
    </w:p>
    <w:p w14:paraId="20E55BC1" w14:textId="77777777" w:rsidR="001C05B6" w:rsidRPr="008F6764" w:rsidRDefault="001C05B6" w:rsidP="001C05B6">
      <w:pPr>
        <w:spacing w:after="0" w:line="360" w:lineRule="auto"/>
      </w:pPr>
    </w:p>
    <w:p w14:paraId="19FDAD65" w14:textId="77777777" w:rsidR="001C05B6" w:rsidRPr="008F6764" w:rsidRDefault="001C05B6" w:rsidP="001C05B6">
      <w:pPr>
        <w:pStyle w:val="NormalWeb"/>
        <w:spacing w:before="0" w:beforeAutospacing="0" w:after="0" w:afterAutospacing="0" w:line="360" w:lineRule="auto"/>
        <w:jc w:val="both"/>
        <w:rPr>
          <w:sz w:val="22"/>
          <w:szCs w:val="22"/>
        </w:rPr>
      </w:pPr>
      <w:r w:rsidRPr="008F6764">
        <w:rPr>
          <w:rFonts w:ascii="Palatino Linotype" w:hAnsi="Palatino Linotype"/>
          <w:sz w:val="22"/>
          <w:szCs w:val="22"/>
        </w:rPr>
        <w:t>Robustece lo anterior el criterio orientador 02-19 emitido por el entonces Instituto Nacional de Transparencia, Acceso a la Información y Protección de Datos Personales, INAI, el cual refiere:</w:t>
      </w:r>
    </w:p>
    <w:p w14:paraId="33F1AA99" w14:textId="77777777" w:rsidR="001C05B6" w:rsidRPr="008F6764" w:rsidRDefault="001C05B6" w:rsidP="001C05B6">
      <w:pPr>
        <w:spacing w:after="0"/>
      </w:pPr>
    </w:p>
    <w:p w14:paraId="592A7E2E" w14:textId="77777777" w:rsidR="001C05B6" w:rsidRPr="008F6764" w:rsidRDefault="001C05B6" w:rsidP="001C05B6">
      <w:pPr>
        <w:pStyle w:val="NormalWeb"/>
        <w:spacing w:before="0" w:beforeAutospacing="0" w:after="0" w:afterAutospacing="0"/>
        <w:ind w:left="567" w:right="-7"/>
        <w:jc w:val="both"/>
        <w:rPr>
          <w:rFonts w:ascii="Palatino Linotype" w:hAnsi="Palatino Linotype"/>
          <w:i/>
          <w:iCs/>
          <w:sz w:val="22"/>
          <w:szCs w:val="22"/>
        </w:rPr>
      </w:pPr>
      <w:r w:rsidRPr="008F6764">
        <w:rPr>
          <w:rFonts w:ascii="Palatino Linotype" w:hAnsi="Palatino Linotype"/>
          <w:i/>
          <w:iCs/>
          <w:sz w:val="22"/>
          <w:szCs w:val="22"/>
        </w:rPr>
        <w:t>“</w:t>
      </w:r>
      <w:r w:rsidRPr="008F6764">
        <w:rPr>
          <w:rFonts w:ascii="Palatino Linotype" w:hAnsi="Palatino Linotype"/>
          <w:b/>
          <w:bCs/>
          <w:i/>
          <w:iCs/>
          <w:sz w:val="22"/>
          <w:szCs w:val="22"/>
        </w:rPr>
        <w:t>Firma y rúbrica de servidores públicos.</w:t>
      </w:r>
      <w:r w:rsidRPr="008F6764">
        <w:rPr>
          <w:rFonts w:ascii="Palatino Linotype" w:hAnsi="Palatino Linotype"/>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E37994E" w14:textId="77777777" w:rsidR="001C05B6" w:rsidRPr="008F6764" w:rsidRDefault="001C05B6" w:rsidP="001C05B6">
      <w:pPr>
        <w:pStyle w:val="NormalWeb"/>
        <w:spacing w:before="0" w:beforeAutospacing="0" w:after="0" w:afterAutospacing="0"/>
        <w:ind w:right="-7"/>
        <w:jc w:val="both"/>
        <w:rPr>
          <w:rFonts w:ascii="Palatino Linotype" w:hAnsi="Palatino Linotype"/>
          <w:i/>
          <w:iCs/>
          <w:sz w:val="22"/>
          <w:szCs w:val="22"/>
        </w:rPr>
      </w:pPr>
    </w:p>
    <w:p w14:paraId="46012312" w14:textId="77777777" w:rsidR="001C05B6" w:rsidRPr="008F6764" w:rsidRDefault="001C05B6" w:rsidP="001C05B6">
      <w:pPr>
        <w:pStyle w:val="NormalWeb"/>
        <w:spacing w:before="0" w:beforeAutospacing="0" w:after="0" w:afterAutospacing="0"/>
        <w:ind w:right="-7"/>
        <w:jc w:val="both"/>
        <w:rPr>
          <w:sz w:val="22"/>
          <w:szCs w:val="22"/>
        </w:rPr>
      </w:pPr>
      <w:r w:rsidRPr="008F6764">
        <w:rPr>
          <w:rFonts w:ascii="Palatino Linotype" w:hAnsi="Palatino Linotype"/>
          <w:iCs/>
          <w:sz w:val="22"/>
          <w:szCs w:val="22"/>
        </w:rPr>
        <w:t>Por lo que en caso de plasmarse en recibos de nómina, no procede su clasificación.</w:t>
      </w:r>
    </w:p>
    <w:p w14:paraId="34AB4C4C" w14:textId="77777777" w:rsidR="001C05B6" w:rsidRPr="008F6764" w:rsidRDefault="001C05B6" w:rsidP="001C05B6">
      <w:pPr>
        <w:pStyle w:val="NormalWeb"/>
        <w:spacing w:before="0" w:beforeAutospacing="0" w:after="0" w:afterAutospacing="0" w:line="360" w:lineRule="auto"/>
        <w:jc w:val="both"/>
        <w:rPr>
          <w:sz w:val="22"/>
          <w:szCs w:val="22"/>
        </w:rPr>
      </w:pPr>
    </w:p>
    <w:p w14:paraId="2A9AC286"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F6764">
        <w:rPr>
          <w:rFonts w:ascii="Palatino Linotype" w:hAnsi="Palatino Linotype"/>
          <w:b/>
          <w:bCs/>
          <w:sz w:val="22"/>
          <w:szCs w:val="22"/>
          <w:u w:val="single"/>
        </w:rPr>
        <w:t>razones, motivos o circunstancias especiales</w:t>
      </w:r>
      <w:r w:rsidRPr="008F6764">
        <w:rPr>
          <w:rFonts w:ascii="Palatino Linotype" w:hAnsi="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A9539C5" w14:textId="77777777" w:rsidR="001C05B6" w:rsidRPr="008F6764" w:rsidRDefault="001C05B6" w:rsidP="001C05B6">
      <w:pPr>
        <w:pStyle w:val="NormalWeb"/>
        <w:spacing w:before="0" w:beforeAutospacing="0" w:after="0" w:afterAutospacing="0" w:line="360" w:lineRule="auto"/>
        <w:jc w:val="both"/>
        <w:rPr>
          <w:sz w:val="22"/>
          <w:szCs w:val="22"/>
        </w:rPr>
      </w:pPr>
    </w:p>
    <w:p w14:paraId="0E254A07" w14:textId="77777777" w:rsidR="001C05B6" w:rsidRPr="008F6764" w:rsidRDefault="001C05B6" w:rsidP="001C05B6">
      <w:pPr>
        <w:pStyle w:val="NormalWeb"/>
        <w:spacing w:before="0" w:beforeAutospacing="0" w:after="0" w:afterAutospacing="0" w:line="360" w:lineRule="auto"/>
        <w:ind w:right="50"/>
        <w:jc w:val="both"/>
        <w:rPr>
          <w:sz w:val="22"/>
          <w:szCs w:val="22"/>
        </w:rPr>
      </w:pPr>
      <w:r w:rsidRPr="008F6764">
        <w:rPr>
          <w:rFonts w:ascii="Palatino Linotype" w:hAnsi="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7959CA0"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“Artículo 49.</w:t>
      </w:r>
      <w:r w:rsidRPr="008F6764">
        <w:rPr>
          <w:rFonts w:ascii="Palatino Linotype" w:hAnsi="Palatino Linotype"/>
          <w:i/>
          <w:iCs/>
          <w:sz w:val="22"/>
          <w:szCs w:val="22"/>
        </w:rPr>
        <w:t xml:space="preserve"> </w:t>
      </w:r>
      <w:r w:rsidRPr="008F6764">
        <w:rPr>
          <w:rFonts w:ascii="Palatino Linotype" w:hAnsi="Palatino Linotype"/>
          <w:b/>
          <w:bCs/>
          <w:i/>
          <w:iCs/>
          <w:sz w:val="22"/>
          <w:szCs w:val="22"/>
        </w:rPr>
        <w:t>Los Comités de Transparencia</w:t>
      </w:r>
      <w:r w:rsidRPr="008F6764">
        <w:rPr>
          <w:rFonts w:ascii="Palatino Linotype" w:hAnsi="Palatino Linotype"/>
          <w:i/>
          <w:iCs/>
          <w:sz w:val="22"/>
          <w:szCs w:val="22"/>
        </w:rPr>
        <w:t xml:space="preserve"> tendrán las siguientes atribuciones:</w:t>
      </w:r>
    </w:p>
    <w:p w14:paraId="51A674CD"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VIII. Aprobar, modificar o revocar la clasificación de la información</w:t>
      </w:r>
      <w:r w:rsidRPr="008F6764">
        <w:rPr>
          <w:rFonts w:ascii="Palatino Linotype" w:hAnsi="Palatino Linotype"/>
          <w:i/>
          <w:iCs/>
          <w:sz w:val="22"/>
          <w:szCs w:val="22"/>
        </w:rPr>
        <w:t>…”</w:t>
      </w:r>
    </w:p>
    <w:p w14:paraId="79DBABAB"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i/>
          <w:iCs/>
          <w:sz w:val="22"/>
          <w:szCs w:val="22"/>
        </w:rPr>
        <w:t>“</w:t>
      </w:r>
      <w:r w:rsidRPr="008F6764">
        <w:rPr>
          <w:rFonts w:ascii="Palatino Linotype" w:hAnsi="Palatino Linotype"/>
          <w:b/>
          <w:bCs/>
          <w:i/>
          <w:iCs/>
          <w:sz w:val="22"/>
          <w:szCs w:val="22"/>
        </w:rPr>
        <w:t>Artículo 53.</w:t>
      </w:r>
      <w:r w:rsidRPr="008F6764">
        <w:rPr>
          <w:rFonts w:ascii="Palatino Linotype" w:hAnsi="Palatino Linotype"/>
          <w:i/>
          <w:iCs/>
          <w:sz w:val="22"/>
          <w:szCs w:val="22"/>
        </w:rPr>
        <w:t xml:space="preserve"> Las </w:t>
      </w:r>
      <w:r w:rsidRPr="008F6764">
        <w:rPr>
          <w:rFonts w:ascii="Palatino Linotype" w:hAnsi="Palatino Linotype"/>
          <w:b/>
          <w:bCs/>
          <w:i/>
          <w:iCs/>
          <w:sz w:val="22"/>
          <w:szCs w:val="22"/>
        </w:rPr>
        <w:t>Unidades de Transparencia</w:t>
      </w:r>
      <w:r w:rsidRPr="008F6764">
        <w:rPr>
          <w:rFonts w:ascii="Palatino Linotype" w:hAnsi="Palatino Linotype"/>
          <w:i/>
          <w:iCs/>
          <w:sz w:val="22"/>
          <w:szCs w:val="22"/>
        </w:rPr>
        <w:t xml:space="preserve"> tendrán las siguientes </w:t>
      </w:r>
      <w:r w:rsidRPr="008F6764">
        <w:rPr>
          <w:rFonts w:ascii="Palatino Linotype" w:hAnsi="Palatino Linotype"/>
          <w:b/>
          <w:bCs/>
          <w:i/>
          <w:iCs/>
          <w:sz w:val="22"/>
          <w:szCs w:val="22"/>
        </w:rPr>
        <w:t>funciones</w:t>
      </w:r>
      <w:r w:rsidRPr="008F6764">
        <w:rPr>
          <w:rFonts w:ascii="Palatino Linotype" w:hAnsi="Palatino Linotype"/>
          <w:i/>
          <w:iCs/>
          <w:sz w:val="22"/>
          <w:szCs w:val="22"/>
        </w:rPr>
        <w:t>:</w:t>
      </w:r>
    </w:p>
    <w:p w14:paraId="7B55BF18"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X. Presentar ante el Comité, el proyecto de clasificación de información</w:t>
      </w:r>
      <w:r w:rsidRPr="008F6764">
        <w:rPr>
          <w:rFonts w:ascii="Palatino Linotype" w:hAnsi="Palatino Linotype"/>
          <w:i/>
          <w:iCs/>
          <w:sz w:val="22"/>
          <w:szCs w:val="22"/>
        </w:rPr>
        <w:t>…” </w:t>
      </w:r>
    </w:p>
    <w:p w14:paraId="23910537" w14:textId="77777777" w:rsidR="001C05B6" w:rsidRPr="008F6764" w:rsidRDefault="001C05B6" w:rsidP="001C05B6">
      <w:pPr>
        <w:pStyle w:val="NormalWeb"/>
        <w:spacing w:before="0" w:beforeAutospacing="0" w:after="0" w:afterAutospacing="0"/>
        <w:ind w:left="567" w:right="709"/>
        <w:jc w:val="both"/>
        <w:rPr>
          <w:sz w:val="22"/>
          <w:szCs w:val="22"/>
        </w:rPr>
      </w:pPr>
      <w:r w:rsidRPr="008F6764">
        <w:rPr>
          <w:rFonts w:ascii="Palatino Linotype" w:hAnsi="Palatino Linotype"/>
          <w:b/>
          <w:bCs/>
          <w:i/>
          <w:iCs/>
          <w:sz w:val="22"/>
          <w:szCs w:val="22"/>
        </w:rPr>
        <w:t>“Artículo 59.</w:t>
      </w:r>
      <w:r w:rsidRPr="008F6764">
        <w:rPr>
          <w:rFonts w:ascii="Palatino Linotype" w:hAnsi="Palatino Linotype"/>
          <w:i/>
          <w:iCs/>
          <w:sz w:val="22"/>
          <w:szCs w:val="22"/>
        </w:rPr>
        <w:t xml:space="preserve"> Los </w:t>
      </w:r>
      <w:r w:rsidRPr="008F6764">
        <w:rPr>
          <w:rFonts w:ascii="Palatino Linotype" w:hAnsi="Palatino Linotype"/>
          <w:b/>
          <w:bCs/>
          <w:i/>
          <w:iCs/>
          <w:sz w:val="22"/>
          <w:szCs w:val="22"/>
        </w:rPr>
        <w:t>servidores públicos habilitados</w:t>
      </w:r>
      <w:r w:rsidRPr="008F6764">
        <w:rPr>
          <w:rFonts w:ascii="Palatino Linotype" w:hAnsi="Palatino Linotype"/>
          <w:i/>
          <w:iCs/>
          <w:sz w:val="22"/>
          <w:szCs w:val="22"/>
        </w:rPr>
        <w:t xml:space="preserve"> tendrán las </w:t>
      </w:r>
      <w:r w:rsidRPr="008F6764">
        <w:rPr>
          <w:rFonts w:ascii="Palatino Linotype" w:hAnsi="Palatino Linotype"/>
          <w:b/>
          <w:bCs/>
          <w:i/>
          <w:iCs/>
          <w:sz w:val="22"/>
          <w:szCs w:val="22"/>
        </w:rPr>
        <w:t>funciones</w:t>
      </w:r>
      <w:r w:rsidRPr="008F6764">
        <w:rPr>
          <w:rFonts w:ascii="Palatino Linotype" w:hAnsi="Palatino Linotype"/>
          <w:i/>
          <w:iCs/>
          <w:sz w:val="22"/>
          <w:szCs w:val="22"/>
        </w:rPr>
        <w:t xml:space="preserve"> siguientes:</w:t>
      </w:r>
    </w:p>
    <w:p w14:paraId="0D81CE73" w14:textId="77777777" w:rsidR="001C05B6" w:rsidRPr="008F6764" w:rsidRDefault="001C05B6" w:rsidP="001C05B6">
      <w:pPr>
        <w:pStyle w:val="NormalWeb"/>
        <w:spacing w:before="0" w:beforeAutospacing="0" w:after="0" w:afterAutospacing="0"/>
        <w:ind w:left="567" w:right="709"/>
        <w:jc w:val="both"/>
        <w:rPr>
          <w:rFonts w:ascii="Palatino Linotype" w:hAnsi="Palatino Linotype"/>
          <w:i/>
          <w:iCs/>
          <w:sz w:val="22"/>
          <w:szCs w:val="22"/>
        </w:rPr>
      </w:pPr>
      <w:r w:rsidRPr="008F6764">
        <w:rPr>
          <w:rFonts w:ascii="Palatino Linotype" w:hAnsi="Palatino Linotype"/>
          <w:b/>
          <w:bCs/>
          <w:i/>
          <w:iCs/>
          <w:sz w:val="22"/>
          <w:szCs w:val="22"/>
        </w:rPr>
        <w:t>V. Integrar y presentar al responsable de la Unidad de Transparencia la propuesta de clasificación de información</w:t>
      </w:r>
      <w:r w:rsidRPr="008F6764">
        <w:rPr>
          <w:rFonts w:ascii="Palatino Linotype" w:hAnsi="Palatino Linotype"/>
          <w:i/>
          <w:iCs/>
          <w:sz w:val="22"/>
          <w:szCs w:val="22"/>
        </w:rPr>
        <w:t>, la cual tendrá los fundamentos y argumentos en que se basa dicha propuesta…”</w:t>
      </w:r>
    </w:p>
    <w:p w14:paraId="69D5FE13" w14:textId="77777777" w:rsidR="001C05B6" w:rsidRPr="008F6764" w:rsidRDefault="001C05B6" w:rsidP="001C05B6">
      <w:pPr>
        <w:pStyle w:val="NormalWeb"/>
        <w:spacing w:before="0" w:beforeAutospacing="0" w:after="0" w:afterAutospacing="0" w:line="360" w:lineRule="auto"/>
        <w:ind w:left="1134" w:right="902"/>
        <w:jc w:val="both"/>
        <w:rPr>
          <w:sz w:val="22"/>
          <w:szCs w:val="22"/>
        </w:rPr>
      </w:pPr>
    </w:p>
    <w:p w14:paraId="47D9BF7C"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0A9B1A7" w14:textId="77777777" w:rsidR="001C05B6" w:rsidRPr="008F6764" w:rsidRDefault="001C05B6" w:rsidP="001C05B6">
      <w:pPr>
        <w:pStyle w:val="NormalWeb"/>
        <w:spacing w:before="0" w:beforeAutospacing="0" w:after="0" w:afterAutospacing="0" w:line="360" w:lineRule="auto"/>
        <w:jc w:val="both"/>
        <w:rPr>
          <w:sz w:val="22"/>
          <w:szCs w:val="22"/>
        </w:rPr>
      </w:pPr>
    </w:p>
    <w:p w14:paraId="0793CA3F"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Para lo cual, a su vez en el caso de información de carácter confidencial, se debe atender a lo que señala el artículo 149 de la Ley de Transparencia Local vigente, que se lee como sigue:</w:t>
      </w:r>
    </w:p>
    <w:p w14:paraId="791114A1" w14:textId="77777777" w:rsidR="001C05B6" w:rsidRPr="008F6764" w:rsidRDefault="001C05B6" w:rsidP="001C05B6">
      <w:pPr>
        <w:pStyle w:val="NormalWeb"/>
        <w:spacing w:before="0" w:beforeAutospacing="0" w:after="0" w:afterAutospacing="0" w:line="360" w:lineRule="auto"/>
        <w:jc w:val="both"/>
        <w:rPr>
          <w:sz w:val="22"/>
          <w:szCs w:val="22"/>
        </w:rPr>
      </w:pPr>
    </w:p>
    <w:p w14:paraId="4BC29054" w14:textId="77777777" w:rsidR="001C05B6" w:rsidRPr="008F6764" w:rsidRDefault="001C05B6" w:rsidP="001C05B6">
      <w:pPr>
        <w:pStyle w:val="NormalWeb"/>
        <w:spacing w:before="0" w:beforeAutospacing="0" w:after="0" w:afterAutospacing="0"/>
        <w:ind w:left="851" w:right="902"/>
        <w:jc w:val="both"/>
        <w:rPr>
          <w:rFonts w:ascii="Palatino Linotype" w:hAnsi="Palatino Linotype"/>
          <w:i/>
          <w:iCs/>
          <w:sz w:val="22"/>
          <w:szCs w:val="22"/>
        </w:rPr>
      </w:pPr>
      <w:r w:rsidRPr="008F6764">
        <w:rPr>
          <w:rFonts w:ascii="Palatino Linotype" w:hAnsi="Palatino Linotype"/>
          <w:i/>
          <w:iCs/>
          <w:sz w:val="22"/>
          <w:szCs w:val="22"/>
        </w:rPr>
        <w:t>“</w:t>
      </w:r>
      <w:r w:rsidRPr="008F6764">
        <w:rPr>
          <w:rFonts w:ascii="Palatino Linotype" w:hAnsi="Palatino Linotype"/>
          <w:b/>
          <w:bCs/>
          <w:i/>
          <w:iCs/>
          <w:sz w:val="22"/>
          <w:szCs w:val="22"/>
        </w:rPr>
        <w:t>Artículo 149.</w:t>
      </w:r>
      <w:r w:rsidRPr="008F6764">
        <w:rPr>
          <w:rFonts w:ascii="Palatino Linotype" w:hAnsi="Palatino Linotype"/>
          <w:i/>
          <w:iCs/>
          <w:sz w:val="22"/>
          <w:szCs w:val="22"/>
        </w:rPr>
        <w:t xml:space="preserve"> El </w:t>
      </w:r>
      <w:r w:rsidRPr="008F6764">
        <w:rPr>
          <w:rFonts w:ascii="Palatino Linotype" w:hAnsi="Palatino Linotype"/>
          <w:b/>
          <w:bCs/>
          <w:i/>
          <w:iCs/>
          <w:sz w:val="22"/>
          <w:szCs w:val="22"/>
        </w:rPr>
        <w:t>acuerdo que clasifique la información como confidencial</w:t>
      </w:r>
      <w:r w:rsidRPr="008F6764">
        <w:rPr>
          <w:rFonts w:ascii="Palatino Linotype" w:hAnsi="Palatino Linotype"/>
          <w:i/>
          <w:iCs/>
          <w:sz w:val="22"/>
          <w:szCs w:val="22"/>
        </w:rPr>
        <w:t xml:space="preserve"> deberá contener un razonamiento lógico en el que demuestre que la información se encuentra en alguna o algunas de las hipótesis previstas en la presente Ley.” </w:t>
      </w:r>
    </w:p>
    <w:p w14:paraId="1F5150D6" w14:textId="77777777" w:rsidR="001C05B6" w:rsidRPr="008F6764" w:rsidRDefault="001C05B6" w:rsidP="001C05B6">
      <w:pPr>
        <w:pStyle w:val="NormalWeb"/>
        <w:spacing w:before="0" w:beforeAutospacing="0" w:after="0" w:afterAutospacing="0"/>
        <w:ind w:left="851" w:right="902"/>
        <w:jc w:val="both"/>
        <w:rPr>
          <w:sz w:val="22"/>
          <w:szCs w:val="22"/>
        </w:rPr>
      </w:pPr>
    </w:p>
    <w:p w14:paraId="0227BE43" w14:textId="77777777" w:rsidR="001C05B6" w:rsidRPr="008F6764" w:rsidRDefault="001C05B6" w:rsidP="001C05B6">
      <w:pPr>
        <w:pStyle w:val="NormalWeb"/>
        <w:spacing w:before="0" w:beforeAutospacing="0" w:after="0" w:afterAutospacing="0" w:line="360" w:lineRule="auto"/>
        <w:ind w:right="51"/>
        <w:jc w:val="both"/>
        <w:rPr>
          <w:rFonts w:ascii="Palatino Linotype" w:hAnsi="Palatino Linotype"/>
          <w:sz w:val="22"/>
          <w:szCs w:val="22"/>
        </w:rPr>
      </w:pPr>
      <w:r w:rsidRPr="008F6764">
        <w:rPr>
          <w:rFonts w:ascii="Palatino Linotype" w:hAnsi="Palatino Linotype"/>
          <w:sz w:val="22"/>
          <w:szCs w:val="22"/>
        </w:rPr>
        <w:t xml:space="preserve">Es decir, el </w:t>
      </w:r>
      <w:r w:rsidRPr="008F6764">
        <w:rPr>
          <w:rFonts w:ascii="Palatino Linotype" w:hAnsi="Palatino Linotype"/>
          <w:b/>
          <w:bCs/>
          <w:sz w:val="22"/>
          <w:szCs w:val="22"/>
        </w:rPr>
        <w:t>Sujeto Obligado</w:t>
      </w:r>
      <w:r w:rsidRPr="008F6764">
        <w:rPr>
          <w:rFonts w:ascii="Palatino Linotype" w:hAnsi="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D96EE66" w14:textId="77777777" w:rsidR="001C05B6" w:rsidRPr="008F6764" w:rsidRDefault="001C05B6" w:rsidP="001C05B6">
      <w:pPr>
        <w:pStyle w:val="NormalWeb"/>
        <w:spacing w:before="0" w:beforeAutospacing="0" w:after="0" w:afterAutospacing="0" w:line="360" w:lineRule="auto"/>
        <w:ind w:right="51"/>
        <w:jc w:val="both"/>
        <w:rPr>
          <w:sz w:val="22"/>
          <w:szCs w:val="22"/>
        </w:rPr>
      </w:pPr>
    </w:p>
    <w:p w14:paraId="49BAB85A" w14:textId="77777777" w:rsidR="001C05B6" w:rsidRPr="008F6764" w:rsidRDefault="001C05B6" w:rsidP="001C05B6">
      <w:pPr>
        <w:pStyle w:val="NormalWeb"/>
        <w:spacing w:before="0" w:beforeAutospacing="0" w:after="0" w:afterAutospacing="0" w:line="360" w:lineRule="auto"/>
        <w:ind w:left="567" w:right="51"/>
        <w:jc w:val="both"/>
        <w:rPr>
          <w:rFonts w:ascii="Palatino Linotype" w:hAnsi="Palatino Linotype"/>
          <w:sz w:val="22"/>
          <w:szCs w:val="22"/>
        </w:rPr>
      </w:pPr>
      <w:r w:rsidRPr="008F6764">
        <w:rPr>
          <w:rFonts w:ascii="Palatino Linotype" w:hAnsi="Palatino Linotype"/>
          <w:sz w:val="22"/>
          <w:szCs w:val="22"/>
        </w:rPr>
        <w:t xml:space="preserve">Asimismo, respecto a las formalidades que deberá llevar el acuerdo de clasificación que deberá emitir el </w:t>
      </w:r>
      <w:r w:rsidRPr="008F6764">
        <w:rPr>
          <w:rFonts w:ascii="Palatino Linotype" w:hAnsi="Palatino Linotype"/>
          <w:b/>
          <w:bCs/>
          <w:sz w:val="22"/>
          <w:szCs w:val="22"/>
        </w:rPr>
        <w:t>Sujeto Obligado</w:t>
      </w:r>
      <w:r w:rsidRPr="008F6764">
        <w:rPr>
          <w:rFonts w:ascii="Palatino Linotype" w:hAnsi="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72446B8F" w14:textId="77777777" w:rsidR="001C05B6" w:rsidRPr="008F6764" w:rsidRDefault="001C05B6" w:rsidP="001C05B6">
      <w:pPr>
        <w:pStyle w:val="NormalWeb"/>
        <w:spacing w:before="0" w:beforeAutospacing="0" w:after="0" w:afterAutospacing="0" w:line="360" w:lineRule="auto"/>
        <w:ind w:left="567" w:right="51"/>
        <w:jc w:val="both"/>
        <w:rPr>
          <w:sz w:val="22"/>
          <w:szCs w:val="22"/>
        </w:rPr>
      </w:pPr>
    </w:p>
    <w:p w14:paraId="1B3F2E64"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 xml:space="preserve"> “Quincuagésimo. </w:t>
      </w:r>
      <w:r w:rsidRPr="008F6764">
        <w:rPr>
          <w:rFonts w:ascii="Palatino Linotype" w:hAnsi="Palatino Linotype"/>
          <w:i/>
          <w:iCs/>
          <w:sz w:val="22"/>
          <w:szCs w:val="22"/>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1E366B4"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 xml:space="preserve">Quincuagésimo primero. </w:t>
      </w:r>
      <w:r w:rsidRPr="008F6764">
        <w:rPr>
          <w:rFonts w:ascii="Palatino Linotype" w:hAnsi="Palatino Linotype"/>
          <w:i/>
          <w:iCs/>
          <w:sz w:val="22"/>
          <w:szCs w:val="22"/>
        </w:rPr>
        <w:t>Toda acta del Comité de Transparencia deberá contener: </w:t>
      </w:r>
    </w:p>
    <w:p w14:paraId="6BE7DFF4"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w:t>
      </w:r>
      <w:r w:rsidRPr="008F6764">
        <w:rPr>
          <w:rFonts w:ascii="Palatino Linotype" w:hAnsi="Palatino Linotype"/>
          <w:i/>
          <w:iCs/>
          <w:sz w:val="22"/>
          <w:szCs w:val="22"/>
        </w:rPr>
        <w:t xml:space="preserve"> El número de sesión y fecha; </w:t>
      </w:r>
    </w:p>
    <w:p w14:paraId="3987884E"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II</w:t>
      </w:r>
      <w:r w:rsidRPr="008F6764">
        <w:rPr>
          <w:rFonts w:ascii="Palatino Linotype" w:hAnsi="Palatino Linotype"/>
          <w:i/>
          <w:iCs/>
          <w:sz w:val="22"/>
          <w:szCs w:val="22"/>
        </w:rPr>
        <w:t>. El nombre del área que solicitó la clasificación de información; </w:t>
      </w:r>
    </w:p>
    <w:p w14:paraId="1F84EB22"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III</w:t>
      </w:r>
      <w:r w:rsidRPr="008F6764">
        <w:rPr>
          <w:rFonts w:ascii="Palatino Linotype" w:hAnsi="Palatino Linotype"/>
          <w:i/>
          <w:iCs/>
          <w:sz w:val="22"/>
          <w:szCs w:val="22"/>
        </w:rPr>
        <w:t>. La fundamentación legal y motivación correspondiente; </w:t>
      </w:r>
    </w:p>
    <w:p w14:paraId="493D462D"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IV</w:t>
      </w:r>
      <w:r w:rsidRPr="008F6764">
        <w:rPr>
          <w:rFonts w:ascii="Palatino Linotype" w:hAnsi="Palatino Linotype"/>
          <w:i/>
          <w:iCs/>
          <w:sz w:val="22"/>
          <w:szCs w:val="22"/>
        </w:rPr>
        <w:t>. La resolución o resoluciones aprobadas; y </w:t>
      </w:r>
    </w:p>
    <w:p w14:paraId="4EBA097C"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V</w:t>
      </w:r>
      <w:r w:rsidRPr="008F6764">
        <w:rPr>
          <w:rFonts w:ascii="Palatino Linotype" w:hAnsi="Palatino Linotype"/>
          <w:i/>
          <w:iCs/>
          <w:sz w:val="22"/>
          <w:szCs w:val="22"/>
        </w:rPr>
        <w:t>. La rúbrica o firma digital de cada integrante del Comité de Transparencia. </w:t>
      </w:r>
    </w:p>
    <w:p w14:paraId="520AAB6B"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i/>
          <w:iCs/>
          <w:sz w:val="22"/>
          <w:szCs w:val="22"/>
        </w:rPr>
        <w:t>Las resoluciones del Comité en las que se haya determinado confirmar o modificar la clasificación de información pública como reservada, deberán incluir, cuando menos: </w:t>
      </w:r>
    </w:p>
    <w:p w14:paraId="7E5F0BBF"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w:t>
      </w:r>
      <w:r w:rsidRPr="008F6764">
        <w:rPr>
          <w:rFonts w:ascii="Palatino Linotype" w:hAnsi="Palatino Linotype"/>
          <w:i/>
          <w:iCs/>
          <w:sz w:val="22"/>
          <w:szCs w:val="22"/>
        </w:rPr>
        <w:t xml:space="preserve"> Los motivos y razonamientos que sustenten la confirmación o modificación de la prueba de daño;</w:t>
      </w:r>
    </w:p>
    <w:p w14:paraId="1F52A376"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II</w:t>
      </w:r>
      <w:r w:rsidRPr="008F6764">
        <w:rPr>
          <w:rFonts w:ascii="Palatino Linotype" w:hAnsi="Palatino Linotype"/>
          <w:i/>
          <w:iCs/>
          <w:sz w:val="22"/>
          <w:szCs w:val="22"/>
        </w:rPr>
        <w:t>. Descripción de las partes o secciones reservadas, en caso de clasificación parcial</w:t>
      </w:r>
      <w:r w:rsidRPr="008F6764">
        <w:rPr>
          <w:rFonts w:ascii="Palatino Linotype" w:hAnsi="Palatino Linotype"/>
          <w:b/>
          <w:bCs/>
          <w:i/>
          <w:iCs/>
          <w:sz w:val="22"/>
          <w:szCs w:val="22"/>
        </w:rPr>
        <w:t>; </w:t>
      </w:r>
    </w:p>
    <w:p w14:paraId="4055B01F"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III.</w:t>
      </w:r>
      <w:r w:rsidRPr="008F6764">
        <w:rPr>
          <w:rFonts w:ascii="Palatino Linotype" w:hAnsi="Palatino Linotype"/>
          <w:i/>
          <w:iCs/>
          <w:sz w:val="22"/>
          <w:szCs w:val="22"/>
        </w:rPr>
        <w:t xml:space="preserve"> El periodo por el que mantendrá su clasificación y fecha de expiración; y </w:t>
      </w:r>
    </w:p>
    <w:p w14:paraId="32526F54"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IV.</w:t>
      </w:r>
      <w:r w:rsidRPr="008F6764">
        <w:rPr>
          <w:rFonts w:ascii="Palatino Linotype" w:hAnsi="Palatino Linotype"/>
          <w:i/>
          <w:iCs/>
          <w:sz w:val="22"/>
          <w:szCs w:val="22"/>
        </w:rPr>
        <w:t xml:space="preserve"> El nombre del titular y área encargada de realizar la versión pública del documento, en su caso. </w:t>
      </w:r>
    </w:p>
    <w:p w14:paraId="1F85A9BB"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i/>
          <w:iCs/>
          <w:sz w:val="22"/>
          <w:szCs w:val="22"/>
        </w:rPr>
        <w:t>En los casos en que se clasifique la información como reservada siempre se entregará o anexará la prueba de daño con la respuesta al solicitante. </w:t>
      </w:r>
    </w:p>
    <w:p w14:paraId="65CD37F5"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CE8A7B8" w14:textId="77777777" w:rsidR="001C05B6" w:rsidRPr="008F6764" w:rsidRDefault="001C05B6" w:rsidP="001C05B6">
      <w:pPr>
        <w:pStyle w:val="NormalWeb"/>
        <w:spacing w:before="0" w:beforeAutospacing="0" w:after="0" w:afterAutospacing="0" w:line="360" w:lineRule="auto"/>
        <w:jc w:val="both"/>
        <w:rPr>
          <w:rFonts w:ascii="Palatino Linotype" w:hAnsi="Palatino Linotype"/>
          <w:sz w:val="22"/>
          <w:szCs w:val="22"/>
        </w:rPr>
      </w:pPr>
      <w:r w:rsidRPr="008F6764">
        <w:rPr>
          <w:rFonts w:ascii="Palatino Linotype" w:hAnsi="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899FB9E" w14:textId="77777777" w:rsidR="001C05B6" w:rsidRPr="008F6764" w:rsidRDefault="001C05B6" w:rsidP="001C05B6">
      <w:pPr>
        <w:pStyle w:val="NormalWeb"/>
        <w:spacing w:before="0" w:beforeAutospacing="0" w:after="0" w:afterAutospacing="0" w:line="360" w:lineRule="auto"/>
        <w:jc w:val="both"/>
        <w:rPr>
          <w:sz w:val="22"/>
          <w:szCs w:val="22"/>
        </w:rPr>
      </w:pPr>
    </w:p>
    <w:p w14:paraId="5476FF08"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i/>
          <w:iCs/>
          <w:sz w:val="22"/>
          <w:szCs w:val="22"/>
        </w:rPr>
        <w:t>“</w:t>
      </w:r>
      <w:r w:rsidRPr="008F6764">
        <w:rPr>
          <w:rFonts w:ascii="Palatino Linotype" w:hAnsi="Palatino Linotype"/>
          <w:b/>
          <w:bCs/>
          <w:i/>
          <w:iCs/>
          <w:sz w:val="22"/>
          <w:szCs w:val="22"/>
        </w:rPr>
        <w:t>Quincuagésimo segundo</w:t>
      </w:r>
      <w:r w:rsidRPr="008F6764">
        <w:rPr>
          <w:rFonts w:ascii="Palatino Linotype" w:hAnsi="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422B0CB"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i/>
          <w:iCs/>
          <w:sz w:val="22"/>
          <w:szCs w:val="22"/>
        </w:rPr>
        <w:t>En el caso específico de la clasificación y elaboración de versiones públicas de documentos que contengan información confidencial, las áreas de los sujetos obligados deberán: </w:t>
      </w:r>
    </w:p>
    <w:p w14:paraId="71E5423F"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b/>
          <w:bCs/>
          <w:i/>
          <w:iCs/>
          <w:sz w:val="22"/>
          <w:szCs w:val="22"/>
        </w:rPr>
        <w:t>I.</w:t>
      </w:r>
      <w:r w:rsidRPr="008F6764">
        <w:rPr>
          <w:rFonts w:ascii="Palatino Linotype" w:hAnsi="Palatino Linotype"/>
          <w:i/>
          <w:iCs/>
          <w:sz w:val="22"/>
          <w:szCs w:val="22"/>
        </w:rPr>
        <w:t xml:space="preserve"> Fijar la fecha en que se elaboró la versión pública y la fecha en la cual el Comité de Transparencia confirmó dicha versión;</w:t>
      </w:r>
    </w:p>
    <w:p w14:paraId="032B5750"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b/>
          <w:bCs/>
          <w:i/>
          <w:iCs/>
          <w:sz w:val="22"/>
          <w:szCs w:val="22"/>
        </w:rPr>
        <w:t>II.</w:t>
      </w:r>
      <w:r w:rsidRPr="008F6764">
        <w:rPr>
          <w:rFonts w:ascii="Palatino Linotype" w:hAnsi="Palatino Linotype"/>
          <w:i/>
          <w:iCs/>
          <w:sz w:val="22"/>
          <w:szCs w:val="22"/>
        </w:rPr>
        <w:t xml:space="preserve"> Señalar dentro del documento el tipo de información confidencial que fue testada en cada caso específico, de conformidad con el lineamiento trigésimo octavo; y</w:t>
      </w:r>
    </w:p>
    <w:p w14:paraId="30C1453F"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b/>
          <w:bCs/>
          <w:i/>
          <w:iCs/>
          <w:sz w:val="22"/>
          <w:szCs w:val="22"/>
        </w:rPr>
        <w:t>III.</w:t>
      </w:r>
      <w:r w:rsidRPr="008F6764">
        <w:rPr>
          <w:rFonts w:ascii="Palatino Linotype" w:hAnsi="Palatino Linotype"/>
          <w:i/>
          <w:iCs/>
          <w:sz w:val="22"/>
          <w:szCs w:val="22"/>
        </w:rPr>
        <w:t xml:space="preserve"> Señalar las personas o instancias autorizadas a acceder a la información clasificada.</w:t>
      </w:r>
    </w:p>
    <w:p w14:paraId="018A49AD"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i/>
          <w:iCs/>
          <w:sz w:val="22"/>
          <w:szCs w:val="22"/>
        </w:rPr>
        <w:t>En los documentos de difusión electrónica, señalar en la primera hoja y en el nombre del archivo, que la versión pública corresponde a un documento que contiene información confidencial.”</w:t>
      </w:r>
    </w:p>
    <w:p w14:paraId="3139166A"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i/>
          <w:iCs/>
          <w:sz w:val="22"/>
          <w:szCs w:val="22"/>
        </w:rPr>
        <w:t>…</w:t>
      </w:r>
    </w:p>
    <w:p w14:paraId="761DAC8F" w14:textId="77777777" w:rsidR="001C05B6" w:rsidRPr="008F6764" w:rsidRDefault="001C05B6" w:rsidP="001C05B6">
      <w:pPr>
        <w:pStyle w:val="NormalWeb"/>
        <w:spacing w:before="0" w:beforeAutospacing="0" w:after="0" w:afterAutospacing="0"/>
        <w:ind w:left="567" w:right="900"/>
        <w:jc w:val="both"/>
        <w:rPr>
          <w:sz w:val="22"/>
          <w:szCs w:val="22"/>
        </w:rPr>
      </w:pPr>
      <w:r w:rsidRPr="008F6764">
        <w:rPr>
          <w:rFonts w:ascii="Palatino Linotype" w:hAnsi="Palatino Linotype"/>
          <w:b/>
          <w:bCs/>
          <w:i/>
          <w:iCs/>
          <w:sz w:val="22"/>
          <w:szCs w:val="22"/>
        </w:rPr>
        <w:t xml:space="preserve">Quincuagésimo cuarto. </w:t>
      </w:r>
      <w:r w:rsidRPr="008F6764">
        <w:rPr>
          <w:rFonts w:ascii="Palatino Linotype" w:hAnsi="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F6764">
        <w:rPr>
          <w:rFonts w:ascii="Palatino Linotype" w:hAnsi="Palatino Linotype"/>
          <w:b/>
          <w:bCs/>
          <w:i/>
          <w:iCs/>
          <w:sz w:val="22"/>
          <w:szCs w:val="22"/>
        </w:rPr>
        <w:t> </w:t>
      </w:r>
    </w:p>
    <w:p w14:paraId="6B71DD4D"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 xml:space="preserve">Quincuagésimo quinto. </w:t>
      </w:r>
      <w:r w:rsidRPr="008F6764">
        <w:rPr>
          <w:rFonts w:ascii="Palatino Linotype" w:hAnsi="Palatino Linotype"/>
          <w:i/>
          <w:iCs/>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A43B20F"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w:t>
      </w:r>
    </w:p>
    <w:p w14:paraId="6212B041"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Quincuagésimo séptimo</w:t>
      </w:r>
      <w:r w:rsidRPr="008F6764">
        <w:rPr>
          <w:rFonts w:ascii="Palatino Linotype" w:hAnsi="Palatino Linotype"/>
          <w:i/>
          <w:iCs/>
          <w:sz w:val="22"/>
          <w:szCs w:val="22"/>
        </w:rPr>
        <w:t>. Se considera, en principio, como información pública y no podrá omitirse de las versiones públicas la siguiente: </w:t>
      </w:r>
    </w:p>
    <w:p w14:paraId="0200A068"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w:t>
      </w:r>
      <w:r w:rsidRPr="008F6764">
        <w:rPr>
          <w:rFonts w:ascii="Palatino Linotype" w:hAnsi="Palatino Linotype"/>
          <w:i/>
          <w:iCs/>
          <w:sz w:val="22"/>
          <w:szCs w:val="22"/>
        </w:rPr>
        <w:t>. La relativa a las Obligaciones de Transparencia que contempla el Título V de la Ley General y las demás disposiciones legales aplicables; </w:t>
      </w:r>
    </w:p>
    <w:p w14:paraId="6D1673BF"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II.</w:t>
      </w:r>
      <w:r w:rsidRPr="008F6764">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163488C"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III</w:t>
      </w:r>
      <w:r w:rsidRPr="008F6764">
        <w:rPr>
          <w:rFonts w:ascii="Palatino Linotype" w:hAnsi="Palatino Linotype"/>
          <w:i/>
          <w:iCs/>
          <w:sz w:val="22"/>
          <w:szCs w:val="22"/>
        </w:rPr>
        <w:t>. La información que documente decisiones y los actos de autoridad concluidos de los sujetos obligados, así como el ejercicio de las facultades o actividades de los servidores públicos, de manera que se pueda valorar el desempeño de los mismos. </w:t>
      </w:r>
    </w:p>
    <w:p w14:paraId="28E2EB77"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i/>
          <w:iCs/>
          <w:sz w:val="22"/>
          <w:szCs w:val="22"/>
        </w:rPr>
        <w:t>Lo anterior, siempre y cuando no se acredite alguna causal de clasificación, prevista en las leyes o en los tratados internacionales suscritas por el Estado mexicano.  </w:t>
      </w:r>
    </w:p>
    <w:p w14:paraId="24700E72" w14:textId="77777777" w:rsidR="001C05B6" w:rsidRPr="008F6764" w:rsidRDefault="001C05B6" w:rsidP="001C05B6">
      <w:pPr>
        <w:pStyle w:val="NormalWeb"/>
        <w:spacing w:before="0" w:beforeAutospacing="0" w:after="0" w:afterAutospacing="0"/>
        <w:ind w:left="567" w:right="902"/>
        <w:jc w:val="both"/>
        <w:rPr>
          <w:sz w:val="22"/>
          <w:szCs w:val="22"/>
        </w:rPr>
      </w:pPr>
      <w:r w:rsidRPr="008F6764">
        <w:rPr>
          <w:rFonts w:ascii="Palatino Linotype" w:hAnsi="Palatino Linotype"/>
          <w:b/>
          <w:bCs/>
          <w:i/>
          <w:iCs/>
          <w:sz w:val="22"/>
          <w:szCs w:val="22"/>
        </w:rPr>
        <w:t>Quincuagésimo octavo</w:t>
      </w:r>
      <w:r w:rsidRPr="008F6764">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C74774F" w14:textId="77777777" w:rsidR="004639EE" w:rsidRPr="008F6764" w:rsidRDefault="004639EE">
      <w:pPr>
        <w:spacing w:after="0" w:line="360" w:lineRule="auto"/>
        <w:jc w:val="both"/>
        <w:rPr>
          <w:rFonts w:ascii="Palatino Linotype" w:eastAsia="Palatino Linotype" w:hAnsi="Palatino Linotype" w:cs="Palatino Linotype"/>
        </w:rPr>
      </w:pPr>
    </w:p>
    <w:p w14:paraId="5B11D8F4" w14:textId="671D8CDB" w:rsidR="004639EE" w:rsidRPr="008F6764" w:rsidRDefault="00E72281">
      <w:pPr>
        <w:spacing w:after="0" w:line="360" w:lineRule="auto"/>
        <w:ind w:right="49"/>
        <w:jc w:val="both"/>
        <w:rPr>
          <w:rFonts w:ascii="Palatino Linotype" w:eastAsia="Palatino Linotype" w:hAnsi="Palatino Linotype" w:cs="Palatino Linotype"/>
          <w:b/>
        </w:rPr>
      </w:pPr>
      <w:r w:rsidRPr="008F6764">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parte </w:t>
      </w:r>
      <w:r w:rsidRPr="008F6764">
        <w:rPr>
          <w:rFonts w:ascii="Palatino Linotype" w:eastAsia="Palatino Linotype" w:hAnsi="Palatino Linotype" w:cs="Palatino Linotype"/>
          <w:b/>
        </w:rPr>
        <w:t>RECURRENTE</w:t>
      </w:r>
      <w:r w:rsidRPr="008F6764">
        <w:rPr>
          <w:rFonts w:ascii="Palatino Linotype" w:eastAsia="Palatino Linotype" w:hAnsi="Palatino Linotype" w:cs="Palatino Linotype"/>
        </w:rPr>
        <w:t xml:space="preserve"> dentro del recurso de revisión </w:t>
      </w:r>
      <w:r w:rsidR="001C05B6" w:rsidRPr="008F6764">
        <w:rPr>
          <w:rFonts w:ascii="Palatino Linotype" w:eastAsia="Palatino Linotype" w:hAnsi="Palatino Linotype" w:cs="Palatino Linotype"/>
          <w:b/>
        </w:rPr>
        <w:t>07399</w:t>
      </w:r>
      <w:r w:rsidRPr="008F6764">
        <w:rPr>
          <w:rFonts w:ascii="Palatino Linotype" w:eastAsia="Palatino Linotype" w:hAnsi="Palatino Linotype" w:cs="Palatino Linotype"/>
          <w:b/>
        </w:rPr>
        <w:t>/INFOEM/IP/RR/2025</w:t>
      </w:r>
      <w:r w:rsidRPr="008F6764">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1C05B6" w:rsidRPr="008F6764">
        <w:rPr>
          <w:rFonts w:ascii="Palatino Linotype" w:eastAsia="Palatino Linotype" w:hAnsi="Palatino Linotype" w:cs="Palatino Linotype"/>
          <w:b/>
        </w:rPr>
        <w:t>REVOCA</w:t>
      </w:r>
      <w:r w:rsidRPr="008F6764">
        <w:rPr>
          <w:rFonts w:ascii="Palatino Linotype" w:eastAsia="Palatino Linotype" w:hAnsi="Palatino Linotype" w:cs="Palatino Linotype"/>
          <w:b/>
        </w:rPr>
        <w:t xml:space="preserve"> </w:t>
      </w:r>
      <w:r w:rsidRPr="008F6764">
        <w:rPr>
          <w:rFonts w:ascii="Palatino Linotype" w:eastAsia="Palatino Linotype" w:hAnsi="Palatino Linotype" w:cs="Palatino Linotype"/>
        </w:rPr>
        <w:t xml:space="preserve">la respuesta del </w:t>
      </w:r>
      <w:r w:rsidRPr="008F6764">
        <w:rPr>
          <w:rFonts w:ascii="Palatino Linotype" w:eastAsia="Palatino Linotype" w:hAnsi="Palatino Linotype" w:cs="Palatino Linotype"/>
          <w:b/>
        </w:rPr>
        <w:t xml:space="preserve">SUJETO OBLIGADO </w:t>
      </w:r>
      <w:r w:rsidRPr="008F6764">
        <w:rPr>
          <w:rFonts w:ascii="Palatino Linotype" w:eastAsia="Palatino Linotype" w:hAnsi="Palatino Linotype" w:cs="Palatino Linotype"/>
        </w:rPr>
        <w:t xml:space="preserve">a la solicitud de información </w:t>
      </w:r>
      <w:r w:rsidR="001C05B6" w:rsidRPr="008F6764">
        <w:rPr>
          <w:rFonts w:ascii="Palatino Linotype" w:eastAsia="Palatino Linotype" w:hAnsi="Palatino Linotype" w:cs="Palatino Linotype"/>
          <w:b/>
        </w:rPr>
        <w:t>00247</w:t>
      </w:r>
      <w:r w:rsidRPr="008F6764">
        <w:rPr>
          <w:rFonts w:ascii="Palatino Linotype" w:eastAsia="Palatino Linotype" w:hAnsi="Palatino Linotype" w:cs="Palatino Linotype"/>
          <w:b/>
        </w:rPr>
        <w:t>/</w:t>
      </w:r>
      <w:r w:rsidR="001C05B6" w:rsidRPr="008F6764">
        <w:rPr>
          <w:rFonts w:ascii="Palatino Linotype" w:eastAsia="Palatino Linotype" w:hAnsi="Palatino Linotype" w:cs="Palatino Linotype"/>
          <w:b/>
        </w:rPr>
        <w:t>TEPOTZOT</w:t>
      </w:r>
      <w:r w:rsidRPr="008F6764">
        <w:rPr>
          <w:rFonts w:ascii="Palatino Linotype" w:eastAsia="Palatino Linotype" w:hAnsi="Palatino Linotype" w:cs="Palatino Linotype"/>
          <w:b/>
        </w:rPr>
        <w:t>/IP/2025</w:t>
      </w:r>
      <w:r w:rsidRPr="008F6764">
        <w:rPr>
          <w:rFonts w:ascii="Palatino Linotype" w:eastAsia="Palatino Linotype" w:hAnsi="Palatino Linotype" w:cs="Palatino Linotype"/>
        </w:rPr>
        <w:t xml:space="preserve">.  </w:t>
      </w:r>
    </w:p>
    <w:p w14:paraId="56BCFEE0" w14:textId="77777777" w:rsidR="004639EE" w:rsidRPr="008F6764" w:rsidRDefault="004639EE">
      <w:pPr>
        <w:spacing w:after="0" w:line="360" w:lineRule="auto"/>
        <w:ind w:right="49"/>
        <w:jc w:val="both"/>
        <w:rPr>
          <w:rFonts w:ascii="Palatino Linotype" w:eastAsia="Palatino Linotype" w:hAnsi="Palatino Linotype" w:cs="Palatino Linotype"/>
          <w:b/>
        </w:rPr>
      </w:pPr>
    </w:p>
    <w:p w14:paraId="1ED817DE" w14:textId="4BFDE080" w:rsidR="001C05B6" w:rsidRPr="008F6764" w:rsidRDefault="001C05B6" w:rsidP="001C05B6">
      <w:pPr>
        <w:spacing w:after="0" w:line="360" w:lineRule="auto"/>
        <w:ind w:right="40"/>
        <w:jc w:val="both"/>
        <w:rPr>
          <w:rFonts w:ascii="Palatino Linotype" w:eastAsia="Palatino Linotype" w:hAnsi="Palatino Linotype" w:cs="Palatino Linotype"/>
        </w:rPr>
      </w:pPr>
      <w:r w:rsidRPr="008F676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63185E70" w14:textId="77777777" w:rsidR="001C05B6" w:rsidRPr="008F6764" w:rsidRDefault="001C05B6" w:rsidP="0037689E">
      <w:pPr>
        <w:spacing w:after="0" w:line="360" w:lineRule="auto"/>
        <w:ind w:right="49"/>
        <w:jc w:val="both"/>
        <w:rPr>
          <w:rFonts w:ascii="Palatino Linotype" w:eastAsia="Palatino Linotype" w:hAnsi="Palatino Linotype" w:cs="Palatino Linotype"/>
        </w:rPr>
      </w:pPr>
    </w:p>
    <w:p w14:paraId="49B4E67D" w14:textId="77777777" w:rsidR="001C05B6" w:rsidRPr="008F6764" w:rsidRDefault="001C05B6" w:rsidP="0037689E">
      <w:pPr>
        <w:spacing w:after="0" w:line="360" w:lineRule="auto"/>
        <w:ind w:right="49"/>
        <w:jc w:val="both"/>
        <w:rPr>
          <w:rFonts w:ascii="Palatino Linotype" w:eastAsia="Palatino Linotype" w:hAnsi="Palatino Linotype" w:cs="Palatino Linotype"/>
        </w:rPr>
      </w:pPr>
    </w:p>
    <w:p w14:paraId="065AF303" w14:textId="77777777" w:rsidR="0037689E" w:rsidRPr="008F6764" w:rsidRDefault="0037689E">
      <w:pPr>
        <w:spacing w:after="0" w:line="360" w:lineRule="auto"/>
        <w:ind w:right="49"/>
        <w:jc w:val="center"/>
        <w:rPr>
          <w:rFonts w:ascii="Palatino Linotype" w:eastAsia="Palatino Linotype" w:hAnsi="Palatino Linotype" w:cs="Palatino Linotype"/>
          <w:b/>
        </w:rPr>
      </w:pPr>
    </w:p>
    <w:p w14:paraId="6A297CD9" w14:textId="77777777" w:rsidR="004639EE" w:rsidRPr="008F6764" w:rsidRDefault="00E72281">
      <w:pPr>
        <w:spacing w:after="0" w:line="360" w:lineRule="auto"/>
        <w:ind w:right="49"/>
        <w:jc w:val="center"/>
        <w:rPr>
          <w:rFonts w:ascii="Palatino Linotype" w:eastAsia="Palatino Linotype" w:hAnsi="Palatino Linotype" w:cs="Palatino Linotype"/>
          <w:b/>
        </w:rPr>
      </w:pPr>
      <w:r w:rsidRPr="008F6764">
        <w:rPr>
          <w:rFonts w:ascii="Palatino Linotype" w:eastAsia="Palatino Linotype" w:hAnsi="Palatino Linotype" w:cs="Palatino Linotype"/>
          <w:b/>
        </w:rPr>
        <w:t>III.</w:t>
      </w:r>
      <w:r w:rsidRPr="008F6764">
        <w:rPr>
          <w:rFonts w:ascii="Palatino Linotype" w:eastAsia="Palatino Linotype" w:hAnsi="Palatino Linotype" w:cs="Palatino Linotype"/>
          <w:b/>
        </w:rPr>
        <w:tab/>
        <w:t>R E S U E L V E:</w:t>
      </w:r>
    </w:p>
    <w:p w14:paraId="54A78AF7" w14:textId="77777777" w:rsidR="004639EE" w:rsidRPr="008F6764" w:rsidRDefault="004639EE">
      <w:pPr>
        <w:spacing w:after="0" w:line="360" w:lineRule="auto"/>
        <w:ind w:right="49"/>
        <w:jc w:val="both"/>
        <w:rPr>
          <w:rFonts w:ascii="Palatino Linotype" w:eastAsia="Palatino Linotype" w:hAnsi="Palatino Linotype" w:cs="Palatino Linotype"/>
        </w:rPr>
      </w:pPr>
    </w:p>
    <w:p w14:paraId="3A8B026B" w14:textId="7181E491" w:rsidR="004639EE" w:rsidRPr="008F6764"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b/>
        </w:rPr>
        <w:t>Primero.</w:t>
      </w:r>
      <w:r w:rsidRPr="008F6764">
        <w:rPr>
          <w:rFonts w:ascii="Palatino Linotype" w:eastAsia="Palatino Linotype" w:hAnsi="Palatino Linotype" w:cs="Palatino Linotype"/>
        </w:rPr>
        <w:t xml:space="preserve"> Resultan</w:t>
      </w:r>
      <w:r w:rsidRPr="008F6764">
        <w:rPr>
          <w:rFonts w:ascii="Palatino Linotype" w:eastAsia="Palatino Linotype" w:hAnsi="Palatino Linotype" w:cs="Palatino Linotype"/>
          <w:b/>
        </w:rPr>
        <w:t xml:space="preserve"> FUNDADOS</w:t>
      </w:r>
      <w:r w:rsidRPr="008F6764">
        <w:rPr>
          <w:rFonts w:ascii="Palatino Linotype" w:eastAsia="Palatino Linotype" w:hAnsi="Palatino Linotype" w:cs="Palatino Linotype"/>
        </w:rPr>
        <w:t xml:space="preserve"> los motivos de inconformidad hechos valer por la parte </w:t>
      </w:r>
      <w:r w:rsidRPr="008F6764">
        <w:rPr>
          <w:rFonts w:ascii="Palatino Linotype" w:eastAsia="Palatino Linotype" w:hAnsi="Palatino Linotype" w:cs="Palatino Linotype"/>
          <w:b/>
        </w:rPr>
        <w:t>Recurrente</w:t>
      </w:r>
      <w:r w:rsidRPr="008F6764">
        <w:rPr>
          <w:rFonts w:ascii="Palatino Linotype" w:eastAsia="Palatino Linotype" w:hAnsi="Palatino Linotype" w:cs="Palatino Linotype"/>
        </w:rPr>
        <w:t xml:space="preserve"> en el Recurso de Revisión </w:t>
      </w:r>
      <w:r w:rsidR="00AC7DEA" w:rsidRPr="008F6764">
        <w:rPr>
          <w:rFonts w:ascii="Palatino Linotype" w:eastAsia="Palatino Linotype" w:hAnsi="Palatino Linotype" w:cs="Palatino Linotype"/>
          <w:b/>
        </w:rPr>
        <w:t>0</w:t>
      </w:r>
      <w:r w:rsidR="00D301EB" w:rsidRPr="008F6764">
        <w:rPr>
          <w:rFonts w:ascii="Palatino Linotype" w:eastAsia="Palatino Linotype" w:hAnsi="Palatino Linotype" w:cs="Palatino Linotype"/>
          <w:b/>
        </w:rPr>
        <w:t>7399</w:t>
      </w:r>
      <w:r w:rsidRPr="008F6764">
        <w:rPr>
          <w:rFonts w:ascii="Palatino Linotype" w:eastAsia="Palatino Linotype" w:hAnsi="Palatino Linotype" w:cs="Palatino Linotype"/>
          <w:b/>
        </w:rPr>
        <w:t>/INFOEM/IP/RR/2025</w:t>
      </w:r>
      <w:r w:rsidRPr="008F6764">
        <w:rPr>
          <w:rFonts w:ascii="Palatino Linotype" w:eastAsia="Palatino Linotype" w:hAnsi="Palatino Linotype" w:cs="Palatino Linotype"/>
        </w:rPr>
        <w:t xml:space="preserve">, por lo que, en términos del </w:t>
      </w:r>
      <w:r w:rsidRPr="008F6764">
        <w:rPr>
          <w:rFonts w:ascii="Palatino Linotype" w:eastAsia="Palatino Linotype" w:hAnsi="Palatino Linotype" w:cs="Palatino Linotype"/>
          <w:b/>
        </w:rPr>
        <w:t>Considerando Cuarto</w:t>
      </w:r>
      <w:r w:rsidRPr="008F6764">
        <w:rPr>
          <w:rFonts w:ascii="Palatino Linotype" w:eastAsia="Palatino Linotype" w:hAnsi="Palatino Linotype" w:cs="Palatino Linotype"/>
        </w:rPr>
        <w:t xml:space="preserve"> de esta resolución, se </w:t>
      </w:r>
      <w:r w:rsidR="00D301EB" w:rsidRPr="008F6764">
        <w:rPr>
          <w:rFonts w:ascii="Palatino Linotype" w:eastAsia="Palatino Linotype" w:hAnsi="Palatino Linotype" w:cs="Palatino Linotype"/>
          <w:b/>
        </w:rPr>
        <w:t>REVOCA</w:t>
      </w:r>
      <w:r w:rsidRPr="008F6764">
        <w:rPr>
          <w:rFonts w:ascii="Palatino Linotype" w:eastAsia="Palatino Linotype" w:hAnsi="Palatino Linotype" w:cs="Palatino Linotype"/>
        </w:rPr>
        <w:t xml:space="preserve"> la respuesta emitida por el </w:t>
      </w:r>
      <w:r w:rsidRPr="008F6764">
        <w:rPr>
          <w:rFonts w:ascii="Palatino Linotype" w:eastAsia="Palatino Linotype" w:hAnsi="Palatino Linotype" w:cs="Palatino Linotype"/>
          <w:b/>
        </w:rPr>
        <w:t>Sujeto Obligado</w:t>
      </w:r>
      <w:r w:rsidRPr="008F6764">
        <w:rPr>
          <w:rFonts w:ascii="Palatino Linotype" w:eastAsia="Palatino Linotype" w:hAnsi="Palatino Linotype" w:cs="Palatino Linotype"/>
        </w:rPr>
        <w:t>.</w:t>
      </w:r>
    </w:p>
    <w:p w14:paraId="01E890CD" w14:textId="77777777" w:rsidR="004639EE" w:rsidRPr="008F6764" w:rsidRDefault="004639EE">
      <w:pPr>
        <w:spacing w:after="0" w:line="360" w:lineRule="auto"/>
        <w:ind w:right="49"/>
        <w:jc w:val="both"/>
        <w:rPr>
          <w:rFonts w:ascii="Palatino Linotype" w:eastAsia="Palatino Linotype" w:hAnsi="Palatino Linotype" w:cs="Palatino Linotype"/>
        </w:rPr>
      </w:pPr>
    </w:p>
    <w:p w14:paraId="73B1A7D7" w14:textId="066D58A8" w:rsidR="001C05B6" w:rsidRPr="008F6764" w:rsidRDefault="00E72281" w:rsidP="001C05B6">
      <w:pPr>
        <w:spacing w:after="0" w:line="360" w:lineRule="auto"/>
        <w:jc w:val="both"/>
        <w:rPr>
          <w:rFonts w:ascii="Palatino Linotype" w:eastAsia="Palatino Linotype" w:hAnsi="Palatino Linotype" w:cs="Palatino Linotype"/>
        </w:rPr>
      </w:pPr>
      <w:bookmarkStart w:id="2" w:name="_heading=h.1fob9te" w:colFirst="0" w:colLast="0"/>
      <w:bookmarkEnd w:id="2"/>
      <w:r w:rsidRPr="008F6764">
        <w:rPr>
          <w:rFonts w:ascii="Palatino Linotype" w:eastAsia="Palatino Linotype" w:hAnsi="Palatino Linotype" w:cs="Palatino Linotype"/>
          <w:b/>
        </w:rPr>
        <w:t>Segundo</w:t>
      </w:r>
      <w:r w:rsidRPr="008F6764">
        <w:rPr>
          <w:rFonts w:ascii="Palatino Linotype" w:eastAsia="Palatino Linotype" w:hAnsi="Palatino Linotype" w:cs="Palatino Linotype"/>
        </w:rPr>
        <w:t xml:space="preserve">. Se </w:t>
      </w:r>
      <w:r w:rsidRPr="008F6764">
        <w:rPr>
          <w:rFonts w:ascii="Palatino Linotype" w:eastAsia="Palatino Linotype" w:hAnsi="Palatino Linotype" w:cs="Palatino Linotype"/>
          <w:b/>
        </w:rPr>
        <w:t>ORDENA</w:t>
      </w:r>
      <w:r w:rsidRPr="008F6764">
        <w:rPr>
          <w:rFonts w:ascii="Palatino Linotype" w:eastAsia="Palatino Linotype" w:hAnsi="Palatino Linotype" w:cs="Palatino Linotype"/>
        </w:rPr>
        <w:t xml:space="preserve"> al </w:t>
      </w:r>
      <w:r w:rsidRPr="008F6764">
        <w:rPr>
          <w:rFonts w:ascii="Palatino Linotype" w:eastAsia="Palatino Linotype" w:hAnsi="Palatino Linotype" w:cs="Palatino Linotype"/>
          <w:b/>
        </w:rPr>
        <w:t>Sujeto Obligado</w:t>
      </w:r>
      <w:r w:rsidRPr="008F6764">
        <w:rPr>
          <w:rFonts w:ascii="Palatino Linotype" w:eastAsia="Palatino Linotype" w:hAnsi="Palatino Linotype" w:cs="Palatino Linotype"/>
        </w:rPr>
        <w:t xml:space="preserve"> a que, en términos del Considerando </w:t>
      </w:r>
      <w:r w:rsidRPr="008F6764">
        <w:rPr>
          <w:rFonts w:ascii="Palatino Linotype" w:eastAsia="Palatino Linotype" w:hAnsi="Palatino Linotype" w:cs="Palatino Linotype"/>
          <w:b/>
        </w:rPr>
        <w:t>Cuarto y Quinto</w:t>
      </w:r>
      <w:r w:rsidRPr="008F6764">
        <w:rPr>
          <w:rFonts w:ascii="Palatino Linotype" w:eastAsia="Palatino Linotype" w:hAnsi="Palatino Linotype" w:cs="Palatino Linotype"/>
        </w:rPr>
        <w:t>, haga entrega, vía Sistema de Acceso a la Información Mexiquense (</w:t>
      </w:r>
      <w:r w:rsidRPr="008F6764">
        <w:rPr>
          <w:rFonts w:ascii="Palatino Linotype" w:eastAsia="Palatino Linotype" w:hAnsi="Palatino Linotype" w:cs="Palatino Linotype"/>
          <w:b/>
        </w:rPr>
        <w:t>SAIMEX</w:t>
      </w:r>
      <w:r w:rsidRPr="008F6764">
        <w:rPr>
          <w:rFonts w:ascii="Palatino Linotype" w:eastAsia="Palatino Linotype" w:hAnsi="Palatino Linotype" w:cs="Palatino Linotype"/>
        </w:rPr>
        <w:t>), en versión pública</w:t>
      </w:r>
      <w:r w:rsidR="001C05B6" w:rsidRPr="008F6764">
        <w:rPr>
          <w:rFonts w:ascii="Palatino Linotype" w:eastAsia="Palatino Linotype" w:hAnsi="Palatino Linotype" w:cs="Palatino Linotype"/>
        </w:rPr>
        <w:t xml:space="preserve">, de </w:t>
      </w:r>
      <w:r w:rsidR="001C05B6" w:rsidRPr="008F6764">
        <w:rPr>
          <w:rFonts w:ascii="Palatino Linotype" w:eastAsia="Palatino Linotype" w:hAnsi="Palatino Linotype" w:cs="Palatino Linotype"/>
          <w:b/>
        </w:rPr>
        <w:t>todos los servidores públicos en funciones al veintiocho de mayo de dos mil veinticinco</w:t>
      </w:r>
      <w:r w:rsidR="001C05B6" w:rsidRPr="008F6764">
        <w:rPr>
          <w:rFonts w:ascii="Palatino Linotype" w:eastAsia="Palatino Linotype" w:hAnsi="Palatino Linotype" w:cs="Palatino Linotype"/>
        </w:rPr>
        <w:t xml:space="preserve">, </w:t>
      </w:r>
      <w:r w:rsidR="001C05B6" w:rsidRPr="008F6764">
        <w:rPr>
          <w:rFonts w:ascii="Palatino Linotype" w:eastAsia="Palatino Linotype" w:hAnsi="Palatino Linotype" w:cs="Palatino Linotype"/>
          <w:b/>
        </w:rPr>
        <w:t>incluyendo aquellos que cobran por cheque, honorarios o servicios profesionales,</w:t>
      </w:r>
      <w:r w:rsidR="001C05B6" w:rsidRPr="008F6764">
        <w:rPr>
          <w:rFonts w:ascii="Palatino Linotype" w:eastAsia="Palatino Linotype" w:hAnsi="Palatino Linotype" w:cs="Palatino Linotype"/>
        </w:rPr>
        <w:t xml:space="preserve">  los documentos donde conste la siguiente información:</w:t>
      </w:r>
    </w:p>
    <w:p w14:paraId="0180CDBC" w14:textId="77777777" w:rsidR="001C05B6" w:rsidRPr="008F6764" w:rsidRDefault="001C05B6" w:rsidP="001C05B6">
      <w:pPr>
        <w:tabs>
          <w:tab w:val="left" w:pos="709"/>
        </w:tabs>
        <w:spacing w:after="0" w:line="360" w:lineRule="auto"/>
        <w:jc w:val="both"/>
        <w:rPr>
          <w:rFonts w:ascii="Palatino Linotype" w:eastAsia="Palatino Linotype" w:hAnsi="Palatino Linotype" w:cs="Palatino Linotype"/>
        </w:rPr>
      </w:pPr>
    </w:p>
    <w:p w14:paraId="456144B1" w14:textId="77777777" w:rsidR="001C05B6" w:rsidRPr="008F6764" w:rsidRDefault="001C05B6" w:rsidP="001C05B6">
      <w:pPr>
        <w:pStyle w:val="Prrafodelista"/>
        <w:numPr>
          <w:ilvl w:val="0"/>
          <w:numId w:val="8"/>
        </w:numPr>
        <w:tabs>
          <w:tab w:val="left" w:pos="709"/>
        </w:tabs>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rPr>
        <w:t xml:space="preserve">Nombre, número de empleado, sueldo mensual bruto y área de adscripción. </w:t>
      </w:r>
    </w:p>
    <w:p w14:paraId="3F951843" w14:textId="77777777" w:rsidR="001C05B6" w:rsidRPr="008F6764" w:rsidRDefault="001C05B6" w:rsidP="001C05B6">
      <w:pPr>
        <w:pStyle w:val="Prrafodelista"/>
        <w:tabs>
          <w:tab w:val="left" w:pos="709"/>
        </w:tabs>
        <w:spacing w:after="0" w:line="360" w:lineRule="auto"/>
        <w:jc w:val="both"/>
        <w:rPr>
          <w:rFonts w:ascii="Palatino Linotype" w:eastAsia="Palatino Linotype" w:hAnsi="Palatino Linotype" w:cs="Palatino Linotype"/>
        </w:rPr>
      </w:pPr>
    </w:p>
    <w:p w14:paraId="500D0BB5" w14:textId="6C1A2437" w:rsidR="0037689E" w:rsidRPr="008F6764" w:rsidRDefault="001C05B6" w:rsidP="001C05B6">
      <w:pPr>
        <w:spacing w:after="0"/>
        <w:ind w:left="567" w:right="615"/>
        <w:jc w:val="both"/>
        <w:rPr>
          <w:rFonts w:ascii="Palatino Linotype" w:eastAsia="Palatino Linotype" w:hAnsi="Palatino Linotype" w:cs="Palatino Linotype"/>
          <w:i/>
        </w:rPr>
      </w:pPr>
      <w:r w:rsidRPr="008F6764">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1EC3C74" w14:textId="77777777" w:rsidR="001C05B6" w:rsidRPr="008F6764" w:rsidRDefault="001C05B6" w:rsidP="001C05B6">
      <w:pPr>
        <w:spacing w:after="0"/>
        <w:ind w:left="567" w:right="615"/>
        <w:jc w:val="both"/>
        <w:rPr>
          <w:rFonts w:ascii="Palatino Linotype" w:eastAsia="Palatino Linotype" w:hAnsi="Palatino Linotype" w:cs="Palatino Linotype"/>
          <w:i/>
        </w:rPr>
      </w:pPr>
    </w:p>
    <w:p w14:paraId="751D598B" w14:textId="77777777" w:rsidR="001C05B6" w:rsidRPr="008F6764" w:rsidRDefault="001C05B6" w:rsidP="001C05B6">
      <w:pPr>
        <w:pBdr>
          <w:top w:val="nil"/>
          <w:left w:val="nil"/>
          <w:bottom w:val="nil"/>
          <w:right w:val="nil"/>
          <w:between w:val="nil"/>
        </w:pBdr>
        <w:tabs>
          <w:tab w:val="left" w:pos="567"/>
          <w:tab w:val="left" w:pos="993"/>
        </w:tabs>
        <w:spacing w:after="0"/>
        <w:ind w:right="560"/>
        <w:jc w:val="both"/>
        <w:rPr>
          <w:rFonts w:ascii="Palatino Linotype" w:eastAsia="Palatino Linotype" w:hAnsi="Palatino Linotype" w:cs="Palatino Linotype"/>
          <w:b/>
          <w:i/>
        </w:rPr>
      </w:pPr>
      <w:bookmarkStart w:id="3" w:name="_heading=h.gjdgxs" w:colFirst="0" w:colLast="0"/>
      <w:bookmarkEnd w:id="3"/>
    </w:p>
    <w:p w14:paraId="02011ACB" w14:textId="77777777" w:rsidR="001C05B6" w:rsidRPr="008F6764" w:rsidRDefault="001C05B6" w:rsidP="001C05B6">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b/>
        </w:rPr>
        <w:t>Tercero.</w:t>
      </w:r>
      <w:r w:rsidRPr="008F6764">
        <w:rPr>
          <w:rFonts w:ascii="Palatino Linotype" w:eastAsia="Palatino Linotype" w:hAnsi="Palatino Linotype" w:cs="Palatino Linotype"/>
        </w:rPr>
        <w:t xml:space="preserve"> </w:t>
      </w:r>
      <w:r w:rsidRPr="008F6764">
        <w:rPr>
          <w:rFonts w:ascii="Palatino Linotype" w:eastAsia="Palatino Linotype" w:hAnsi="Palatino Linotype" w:cs="Palatino Linotype"/>
          <w:b/>
        </w:rPr>
        <w:t xml:space="preserve">Notifíquese vía SAIMEX </w:t>
      </w:r>
      <w:r w:rsidRPr="008F6764">
        <w:rPr>
          <w:rFonts w:ascii="Palatino Linotype" w:eastAsia="Palatino Linotype" w:hAnsi="Palatino Linotype" w:cs="Palatino Linotype"/>
        </w:rPr>
        <w:t>la presente resolución al T</w:t>
      </w:r>
      <w:r w:rsidRPr="008F6764">
        <w:rPr>
          <w:rFonts w:ascii="Palatino Linotype" w:eastAsia="Palatino Linotype" w:hAnsi="Palatino Linotype" w:cs="Palatino Linotype"/>
          <w:b/>
        </w:rPr>
        <w:t xml:space="preserve">itular de la Unidad de Transparencia </w:t>
      </w:r>
      <w:r w:rsidRPr="008F6764">
        <w:rPr>
          <w:rFonts w:ascii="Palatino Linotype" w:eastAsia="Palatino Linotype" w:hAnsi="Palatino Linotype" w:cs="Palatino Linotype"/>
        </w:rPr>
        <w:t xml:space="preserve">del </w:t>
      </w:r>
      <w:r w:rsidRPr="008F6764">
        <w:rPr>
          <w:rFonts w:ascii="Palatino Linotype" w:eastAsia="Palatino Linotype" w:hAnsi="Palatino Linotype" w:cs="Palatino Linotype"/>
          <w:b/>
        </w:rPr>
        <w:t>SUJETO OBLIGADO</w:t>
      </w:r>
      <w:r w:rsidRPr="008F6764">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6D91D1" w14:textId="77777777" w:rsidR="001C05B6" w:rsidRPr="008F6764" w:rsidRDefault="001C05B6" w:rsidP="001C05B6">
      <w:pPr>
        <w:spacing w:after="0" w:line="360" w:lineRule="auto"/>
        <w:ind w:right="49"/>
        <w:jc w:val="both"/>
        <w:rPr>
          <w:rFonts w:ascii="Palatino Linotype" w:eastAsia="Palatino Linotype" w:hAnsi="Palatino Linotype" w:cs="Palatino Linotype"/>
        </w:rPr>
      </w:pPr>
    </w:p>
    <w:p w14:paraId="29800859" w14:textId="77777777" w:rsidR="001C05B6" w:rsidRPr="008F6764" w:rsidRDefault="001C05B6" w:rsidP="001C05B6">
      <w:pPr>
        <w:spacing w:after="0" w:line="360" w:lineRule="auto"/>
        <w:jc w:val="both"/>
        <w:rPr>
          <w:rFonts w:ascii="Palatino Linotype" w:eastAsia="Palatino Linotype" w:hAnsi="Palatino Linotype" w:cs="Palatino Linotype"/>
        </w:rPr>
      </w:pPr>
      <w:r w:rsidRPr="008F6764">
        <w:rPr>
          <w:rFonts w:ascii="Palatino Linotype" w:eastAsia="Palatino Linotype" w:hAnsi="Palatino Linotype" w:cs="Palatino Linotype"/>
          <w:b/>
        </w:rPr>
        <w:t xml:space="preserve">Cuarto. Notifíquese vía SAIMEX </w:t>
      </w:r>
      <w:r w:rsidRPr="008F6764">
        <w:rPr>
          <w:rFonts w:ascii="Palatino Linotype" w:eastAsia="Palatino Linotype" w:hAnsi="Palatino Linotype" w:cs="Palatino Linotype"/>
        </w:rPr>
        <w:t xml:space="preserve">a la parte </w:t>
      </w:r>
      <w:r w:rsidRPr="008F6764">
        <w:rPr>
          <w:rFonts w:ascii="Palatino Linotype" w:eastAsia="Palatino Linotype" w:hAnsi="Palatino Linotype" w:cs="Palatino Linotype"/>
          <w:b/>
        </w:rPr>
        <w:t xml:space="preserve">Recurrente </w:t>
      </w:r>
      <w:r w:rsidRPr="008F676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CD0DD5" w14:textId="77777777" w:rsidR="001C05B6" w:rsidRPr="008F6764" w:rsidRDefault="001C05B6" w:rsidP="001C05B6">
      <w:pPr>
        <w:spacing w:after="0" w:line="360" w:lineRule="auto"/>
        <w:jc w:val="both"/>
        <w:rPr>
          <w:rFonts w:ascii="Palatino Linotype" w:eastAsia="Palatino Linotype" w:hAnsi="Palatino Linotype" w:cs="Palatino Linotype"/>
        </w:rPr>
      </w:pPr>
    </w:p>
    <w:p w14:paraId="68987380" w14:textId="77777777" w:rsidR="001C05B6" w:rsidRPr="008F6764" w:rsidRDefault="001C05B6" w:rsidP="001C05B6">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b/>
        </w:rPr>
        <w:t>Quinto.</w:t>
      </w:r>
      <w:r w:rsidRPr="008F676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F6764">
        <w:rPr>
          <w:rFonts w:ascii="Palatino Linotype" w:eastAsia="Palatino Linotype" w:hAnsi="Palatino Linotype" w:cs="Palatino Linotype"/>
          <w:b/>
        </w:rPr>
        <w:t>SUJETO OBLIGADO</w:t>
      </w:r>
      <w:r w:rsidRPr="008F6764">
        <w:rPr>
          <w:rFonts w:ascii="Palatino Linotype" w:eastAsia="Palatino Linotype" w:hAnsi="Palatino Linotype" w:cs="Palatino Linotype"/>
        </w:rPr>
        <w:t xml:space="preserve"> de manera fundada y motivada, podrá solicitar una ampliación de plazo para el cumplimiento de la presente resolución.</w:t>
      </w:r>
    </w:p>
    <w:p w14:paraId="3B93EE83" w14:textId="77777777" w:rsidR="001C05B6" w:rsidRPr="008F6764" w:rsidRDefault="001C05B6">
      <w:pPr>
        <w:spacing w:after="0" w:line="360" w:lineRule="auto"/>
        <w:ind w:right="49"/>
        <w:jc w:val="both"/>
        <w:rPr>
          <w:rFonts w:ascii="Palatino Linotype" w:eastAsia="Palatino Linotype" w:hAnsi="Palatino Linotype" w:cs="Palatino Linotype"/>
        </w:rPr>
      </w:pPr>
    </w:p>
    <w:p w14:paraId="325A834C" w14:textId="379566C5" w:rsidR="004639EE" w:rsidRPr="005B2BFB" w:rsidRDefault="00E72281">
      <w:pPr>
        <w:spacing w:after="0" w:line="360" w:lineRule="auto"/>
        <w:ind w:right="49"/>
        <w:jc w:val="both"/>
        <w:rPr>
          <w:rFonts w:ascii="Palatino Linotype" w:eastAsia="Palatino Linotype" w:hAnsi="Palatino Linotype" w:cs="Palatino Linotype"/>
        </w:rPr>
      </w:pPr>
      <w:r w:rsidRPr="008F676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B2BFB" w:rsidRPr="008F6764">
        <w:rPr>
          <w:rFonts w:ascii="Palatino Linotype" w:eastAsia="Palatino Linotype" w:hAnsi="Palatino Linotype" w:cs="Palatino Linotype"/>
        </w:rPr>
        <w:t>, EMITIENDO VOTO PARTICULAR,</w:t>
      </w:r>
      <w:r w:rsidRPr="008F6764">
        <w:rPr>
          <w:rFonts w:ascii="Palatino Linotype" w:eastAsia="Palatino Linotype" w:hAnsi="Palatino Linotype" w:cs="Palatino Linotype"/>
        </w:rPr>
        <w:t xml:space="preserve"> Y GUADALUPE RAMÍREZ PEÑA</w:t>
      </w:r>
      <w:r w:rsidR="008F6764" w:rsidRPr="008F6764">
        <w:rPr>
          <w:rFonts w:ascii="Palatino Linotype" w:eastAsia="Palatino Linotype" w:hAnsi="Palatino Linotype" w:cs="Palatino Linotype"/>
        </w:rPr>
        <w:t>, EMITIENDO VOTO PARTICULAR</w:t>
      </w:r>
      <w:r w:rsidRPr="008F6764">
        <w:rPr>
          <w:rFonts w:ascii="Palatino Linotype" w:eastAsia="Palatino Linotype" w:hAnsi="Palatino Linotype" w:cs="Palatino Linotype"/>
        </w:rPr>
        <w:t xml:space="preserve">; EN LA  </w:t>
      </w:r>
      <w:r w:rsidR="00D301EB" w:rsidRPr="008F6764">
        <w:rPr>
          <w:rFonts w:ascii="Palatino Linotype" w:eastAsia="Palatino Linotype" w:hAnsi="Palatino Linotype" w:cs="Palatino Linotype"/>
        </w:rPr>
        <w:t>CUADRAGÉSIMA PRIMERA</w:t>
      </w:r>
      <w:r w:rsidRPr="008F6764">
        <w:rPr>
          <w:rFonts w:ascii="Palatino Linotype" w:eastAsia="Palatino Linotype" w:hAnsi="Palatino Linotype" w:cs="Palatino Linotype"/>
        </w:rPr>
        <w:t xml:space="preserve"> SESIÓN ORDINARIA CELEBRADA EL </w:t>
      </w:r>
      <w:r w:rsidR="005B2BFB" w:rsidRPr="008F6764">
        <w:rPr>
          <w:rFonts w:ascii="Palatino Linotype" w:eastAsia="Palatino Linotype" w:hAnsi="Palatino Linotype" w:cs="Palatino Linotype"/>
        </w:rPr>
        <w:t>VEINTE</w:t>
      </w:r>
      <w:r w:rsidR="001C05B6" w:rsidRPr="008F6764">
        <w:rPr>
          <w:rFonts w:ascii="Palatino Linotype" w:eastAsia="Palatino Linotype" w:hAnsi="Palatino Linotype" w:cs="Palatino Linotype"/>
        </w:rPr>
        <w:t xml:space="preserve"> DE NOVIEMBRE</w:t>
      </w:r>
      <w:r w:rsidRPr="008F6764">
        <w:rPr>
          <w:rFonts w:ascii="Palatino Linotype" w:eastAsia="Palatino Linotype" w:hAnsi="Palatino Linotype" w:cs="Palatino Linotype"/>
        </w:rPr>
        <w:t xml:space="preserve"> DE DOS MIL VEINTICINCO, ANTE EL SECRETARIO TÉCNICO DEL PLENO ALEXIS TAPIA RAMÍREZ.</w:t>
      </w:r>
      <w:r w:rsidRPr="005B2BFB">
        <w:rPr>
          <w:rFonts w:ascii="Palatino Linotype" w:eastAsia="Palatino Linotype" w:hAnsi="Palatino Linotype" w:cs="Palatino Linotype"/>
        </w:rPr>
        <w:t xml:space="preserve"> </w:t>
      </w:r>
    </w:p>
    <w:p w14:paraId="556BC9E2" w14:textId="2F93448F" w:rsidR="004639EE" w:rsidRPr="005B2BFB" w:rsidRDefault="004639EE"/>
    <w:p w14:paraId="3FB9FA84" w14:textId="5CCC6840" w:rsidR="005B2BFB" w:rsidRPr="005B2BFB" w:rsidRDefault="005B2BFB"/>
    <w:p w14:paraId="28C85856" w14:textId="28F1A31A" w:rsidR="005B2BFB" w:rsidRPr="005B2BFB" w:rsidRDefault="005B2BFB"/>
    <w:p w14:paraId="590AD756" w14:textId="0FF3F59B" w:rsidR="005B2BFB" w:rsidRPr="005B2BFB" w:rsidRDefault="005B2BFB"/>
    <w:p w14:paraId="1D21FC59" w14:textId="77777777" w:rsidR="005B2BFB" w:rsidRPr="005B2BFB" w:rsidRDefault="005B2BFB"/>
    <w:sectPr w:rsidR="005B2BFB" w:rsidRPr="005B2BFB">
      <w:headerReference w:type="default" r:id="rId12"/>
      <w:footerReference w:type="default" r:id="rId13"/>
      <w:headerReference w:type="first" r:id="rId14"/>
      <w:footerReference w:type="first" r:id="rId15"/>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87A29" w14:textId="77777777" w:rsidR="00EB709F" w:rsidRDefault="00EB709F">
      <w:pPr>
        <w:spacing w:after="0" w:line="240" w:lineRule="auto"/>
      </w:pPr>
      <w:r>
        <w:separator/>
      </w:r>
    </w:p>
  </w:endnote>
  <w:endnote w:type="continuationSeparator" w:id="0">
    <w:p w14:paraId="6D4E1147" w14:textId="77777777" w:rsidR="00EB709F" w:rsidRDefault="00EB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DC60" w14:textId="4E49593E" w:rsidR="001C05B6" w:rsidRDefault="001C05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61B0">
      <w:rPr>
        <w:b/>
        <w:noProof/>
        <w:color w:val="000000"/>
        <w:sz w:val="24"/>
        <w:szCs w:val="24"/>
      </w:rPr>
      <w:t>45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61B0">
      <w:rPr>
        <w:b/>
        <w:noProof/>
        <w:color w:val="000000"/>
        <w:sz w:val="24"/>
        <w:szCs w:val="24"/>
      </w:rPr>
      <w:t>45</w:t>
    </w:r>
    <w:r>
      <w:rPr>
        <w:b/>
        <w:color w:val="000000"/>
        <w:sz w:val="24"/>
        <w:szCs w:val="24"/>
      </w:rPr>
      <w:fldChar w:fldCharType="end"/>
    </w:r>
  </w:p>
  <w:p w14:paraId="6CBE11B5" w14:textId="77777777" w:rsidR="001C05B6" w:rsidRDefault="001C05B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A8CE" w14:textId="4C091D4C" w:rsidR="001C05B6" w:rsidRDefault="001C05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61B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61B0">
      <w:rPr>
        <w:b/>
        <w:noProof/>
        <w:color w:val="000000"/>
        <w:sz w:val="24"/>
        <w:szCs w:val="24"/>
      </w:rPr>
      <w:t>45</w:t>
    </w:r>
    <w:r>
      <w:rPr>
        <w:b/>
        <w:color w:val="000000"/>
        <w:sz w:val="24"/>
        <w:szCs w:val="24"/>
      </w:rPr>
      <w:fldChar w:fldCharType="end"/>
    </w:r>
  </w:p>
  <w:p w14:paraId="54F1CADD" w14:textId="77777777" w:rsidR="001C05B6" w:rsidRDefault="001C05B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F2B66" w14:textId="77777777" w:rsidR="00EB709F" w:rsidRDefault="00EB709F">
      <w:pPr>
        <w:spacing w:after="0" w:line="240" w:lineRule="auto"/>
      </w:pPr>
      <w:r>
        <w:separator/>
      </w:r>
    </w:p>
  </w:footnote>
  <w:footnote w:type="continuationSeparator" w:id="0">
    <w:p w14:paraId="71D96326" w14:textId="77777777" w:rsidR="00EB709F" w:rsidRDefault="00EB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6F65" w14:textId="77777777" w:rsidR="001C05B6" w:rsidRDefault="001C05B6">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088EC28F" wp14:editId="67CAA11E">
          <wp:simplePos x="0" y="0"/>
          <wp:positionH relativeFrom="column">
            <wp:posOffset>-744854</wp:posOffset>
          </wp:positionH>
          <wp:positionV relativeFrom="paragraph">
            <wp:posOffset>-315594</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1C05B6" w14:paraId="68F511D6" w14:textId="77777777">
      <w:tc>
        <w:tcPr>
          <w:tcW w:w="2551" w:type="dxa"/>
          <w:vAlign w:val="center"/>
        </w:tcPr>
        <w:p w14:paraId="49A52858"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00989B7" w14:textId="0EF5A9BB"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07399/INFOEM/IP/RR/202</w:t>
          </w:r>
          <w:r>
            <w:rPr>
              <w:rFonts w:ascii="Palatino Linotype" w:eastAsia="Palatino Linotype" w:hAnsi="Palatino Linotype" w:cs="Palatino Linotype"/>
              <w:b/>
              <w:sz w:val="20"/>
              <w:szCs w:val="20"/>
            </w:rPr>
            <w:t>5</w:t>
          </w:r>
        </w:p>
      </w:tc>
    </w:tr>
    <w:tr w:rsidR="001C05B6" w14:paraId="6BD9BBBE" w14:textId="77777777">
      <w:trPr>
        <w:trHeight w:val="217"/>
      </w:trPr>
      <w:tc>
        <w:tcPr>
          <w:tcW w:w="2551" w:type="dxa"/>
          <w:vAlign w:val="center"/>
        </w:tcPr>
        <w:p w14:paraId="1CBA2F36"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DB1F6BF"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F53C5D8" w14:textId="74FE4DD0" w:rsidR="001C05B6" w:rsidRDefault="001C05B6" w:rsidP="007C1F3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1C05B6" w14:paraId="61DF0D50" w14:textId="77777777">
      <w:tc>
        <w:tcPr>
          <w:tcW w:w="2551" w:type="dxa"/>
          <w:vAlign w:val="center"/>
        </w:tcPr>
        <w:p w14:paraId="1B0464C8"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29B10C5"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50E954C" w14:textId="77777777" w:rsidR="001C05B6" w:rsidRDefault="001C05B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A333" w14:textId="77777777" w:rsidR="001C05B6" w:rsidRDefault="001C05B6">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393EC70" wp14:editId="3CE27E26">
          <wp:simplePos x="0" y="0"/>
          <wp:positionH relativeFrom="column">
            <wp:posOffset>-712468</wp:posOffset>
          </wp:positionH>
          <wp:positionV relativeFrom="paragraph">
            <wp:posOffset>-117473</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1C05B6" w14:paraId="035A1E5A" w14:textId="77777777">
      <w:tc>
        <w:tcPr>
          <w:tcW w:w="2565" w:type="dxa"/>
          <w:vAlign w:val="center"/>
        </w:tcPr>
        <w:p w14:paraId="3406B0CC"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7FB950B5" w14:textId="46F9603E"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07399/INFOEM/IP/RR/2025</w:t>
          </w:r>
        </w:p>
      </w:tc>
    </w:tr>
    <w:tr w:rsidR="001C05B6" w14:paraId="5848F3BC" w14:textId="77777777">
      <w:tc>
        <w:tcPr>
          <w:tcW w:w="2565" w:type="dxa"/>
          <w:vAlign w:val="center"/>
        </w:tcPr>
        <w:p w14:paraId="334B1A12"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6333E0EE" w14:textId="2838AAF0" w:rsidR="001C05B6" w:rsidRDefault="004461B0" w:rsidP="004461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 XXX XXXXX XXXX </w:t>
          </w:r>
        </w:p>
      </w:tc>
    </w:tr>
    <w:tr w:rsidR="001C05B6" w14:paraId="453F1191" w14:textId="77777777">
      <w:trPr>
        <w:trHeight w:val="152"/>
      </w:trPr>
      <w:tc>
        <w:tcPr>
          <w:tcW w:w="2565" w:type="dxa"/>
          <w:vAlign w:val="center"/>
        </w:tcPr>
        <w:p w14:paraId="01BB5502" w14:textId="77777777" w:rsidR="001C05B6" w:rsidRDefault="001C05B6">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AB8DBD0" w14:textId="77777777" w:rsidR="001C05B6" w:rsidRDefault="001C05B6">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70D562E0" w14:textId="26938AAE" w:rsidR="001C05B6" w:rsidRDefault="001C05B6" w:rsidP="007C1F3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1C05B6" w14:paraId="4FC8E12D" w14:textId="77777777">
      <w:tc>
        <w:tcPr>
          <w:tcW w:w="2565" w:type="dxa"/>
          <w:vAlign w:val="center"/>
        </w:tcPr>
        <w:p w14:paraId="1F91CF74"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37D05E92" w14:textId="77777777" w:rsidR="001C05B6" w:rsidRDefault="001C05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87368E4" w14:textId="77777777" w:rsidR="001C05B6" w:rsidRDefault="001C05B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664"/>
    <w:multiLevelType w:val="hybridMultilevel"/>
    <w:tmpl w:val="E056E39E"/>
    <w:lvl w:ilvl="0" w:tplc="E7F2D62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DB7FF8"/>
    <w:multiLevelType w:val="hybridMultilevel"/>
    <w:tmpl w:val="6E0AF49A"/>
    <w:lvl w:ilvl="0" w:tplc="7B5291B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9920376"/>
    <w:multiLevelType w:val="hybridMultilevel"/>
    <w:tmpl w:val="5E0EA6FA"/>
    <w:lvl w:ilvl="0" w:tplc="EABCDF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6"/>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EE"/>
    <w:rsid w:val="00001CDB"/>
    <w:rsid w:val="00037228"/>
    <w:rsid w:val="001C05B6"/>
    <w:rsid w:val="00297A11"/>
    <w:rsid w:val="00306C8C"/>
    <w:rsid w:val="0037689E"/>
    <w:rsid w:val="003E14CF"/>
    <w:rsid w:val="003E219F"/>
    <w:rsid w:val="004461B0"/>
    <w:rsid w:val="004639EE"/>
    <w:rsid w:val="005B2BFB"/>
    <w:rsid w:val="005C1784"/>
    <w:rsid w:val="0065490D"/>
    <w:rsid w:val="007C1F36"/>
    <w:rsid w:val="007C6E7D"/>
    <w:rsid w:val="008049C5"/>
    <w:rsid w:val="00837F1B"/>
    <w:rsid w:val="00887DA7"/>
    <w:rsid w:val="008F6764"/>
    <w:rsid w:val="009972D3"/>
    <w:rsid w:val="00A6461E"/>
    <w:rsid w:val="00AC2EAA"/>
    <w:rsid w:val="00AC7DEA"/>
    <w:rsid w:val="00BF59AB"/>
    <w:rsid w:val="00C80EE0"/>
    <w:rsid w:val="00CA04D0"/>
    <w:rsid w:val="00D301EB"/>
    <w:rsid w:val="00DB19E7"/>
    <w:rsid w:val="00DB2469"/>
    <w:rsid w:val="00E50E40"/>
    <w:rsid w:val="00E72281"/>
    <w:rsid w:val="00EB709F"/>
    <w:rsid w:val="00F62279"/>
    <w:rsid w:val="00F96E79"/>
    <w:rsid w:val="00FC1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FDBB"/>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7C6E7D"/>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C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5B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5869">
      <w:bodyDiv w:val="1"/>
      <w:marLeft w:val="0"/>
      <w:marRight w:val="0"/>
      <w:marTop w:val="0"/>
      <w:marBottom w:val="0"/>
      <w:divBdr>
        <w:top w:val="none" w:sz="0" w:space="0" w:color="auto"/>
        <w:left w:val="none" w:sz="0" w:space="0" w:color="auto"/>
        <w:bottom w:val="none" w:sz="0" w:space="0" w:color="auto"/>
        <w:right w:val="none" w:sz="0" w:space="0" w:color="auto"/>
      </w:divBdr>
    </w:div>
    <w:div w:id="200753181">
      <w:bodyDiv w:val="1"/>
      <w:marLeft w:val="0"/>
      <w:marRight w:val="0"/>
      <w:marTop w:val="0"/>
      <w:marBottom w:val="0"/>
      <w:divBdr>
        <w:top w:val="none" w:sz="0" w:space="0" w:color="auto"/>
        <w:left w:val="none" w:sz="0" w:space="0" w:color="auto"/>
        <w:bottom w:val="none" w:sz="0" w:space="0" w:color="auto"/>
        <w:right w:val="none" w:sz="0" w:space="0" w:color="auto"/>
      </w:divBdr>
    </w:div>
    <w:div w:id="320083039">
      <w:bodyDiv w:val="1"/>
      <w:marLeft w:val="0"/>
      <w:marRight w:val="0"/>
      <w:marTop w:val="0"/>
      <w:marBottom w:val="0"/>
      <w:divBdr>
        <w:top w:val="none" w:sz="0" w:space="0" w:color="auto"/>
        <w:left w:val="none" w:sz="0" w:space="0" w:color="auto"/>
        <w:bottom w:val="none" w:sz="0" w:space="0" w:color="auto"/>
        <w:right w:val="none" w:sz="0" w:space="0" w:color="auto"/>
      </w:divBdr>
    </w:div>
    <w:div w:id="383676900">
      <w:bodyDiv w:val="1"/>
      <w:marLeft w:val="0"/>
      <w:marRight w:val="0"/>
      <w:marTop w:val="0"/>
      <w:marBottom w:val="0"/>
      <w:divBdr>
        <w:top w:val="none" w:sz="0" w:space="0" w:color="auto"/>
        <w:left w:val="none" w:sz="0" w:space="0" w:color="auto"/>
        <w:bottom w:val="none" w:sz="0" w:space="0" w:color="auto"/>
        <w:right w:val="none" w:sz="0" w:space="0" w:color="auto"/>
      </w:divBdr>
    </w:div>
    <w:div w:id="896664295">
      <w:bodyDiv w:val="1"/>
      <w:marLeft w:val="0"/>
      <w:marRight w:val="0"/>
      <w:marTop w:val="0"/>
      <w:marBottom w:val="0"/>
      <w:divBdr>
        <w:top w:val="none" w:sz="0" w:space="0" w:color="auto"/>
        <w:left w:val="none" w:sz="0" w:space="0" w:color="auto"/>
        <w:bottom w:val="none" w:sz="0" w:space="0" w:color="auto"/>
        <w:right w:val="none" w:sz="0" w:space="0" w:color="auto"/>
      </w:divBdr>
    </w:div>
    <w:div w:id="960527591">
      <w:bodyDiv w:val="1"/>
      <w:marLeft w:val="0"/>
      <w:marRight w:val="0"/>
      <w:marTop w:val="0"/>
      <w:marBottom w:val="0"/>
      <w:divBdr>
        <w:top w:val="none" w:sz="0" w:space="0" w:color="auto"/>
        <w:left w:val="none" w:sz="0" w:space="0" w:color="auto"/>
        <w:bottom w:val="none" w:sz="0" w:space="0" w:color="auto"/>
        <w:right w:val="none" w:sz="0" w:space="0" w:color="auto"/>
      </w:divBdr>
    </w:div>
    <w:div w:id="1000154851">
      <w:bodyDiv w:val="1"/>
      <w:marLeft w:val="0"/>
      <w:marRight w:val="0"/>
      <w:marTop w:val="0"/>
      <w:marBottom w:val="0"/>
      <w:divBdr>
        <w:top w:val="none" w:sz="0" w:space="0" w:color="auto"/>
        <w:left w:val="none" w:sz="0" w:space="0" w:color="auto"/>
        <w:bottom w:val="none" w:sz="0" w:space="0" w:color="auto"/>
        <w:right w:val="none" w:sz="0" w:space="0" w:color="auto"/>
      </w:divBdr>
    </w:div>
    <w:div w:id="1262298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12629</Words>
  <Characters>69463</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2025-11-21T20:06:00Z</cp:lastPrinted>
  <dcterms:created xsi:type="dcterms:W3CDTF">2025-12-13T02:44:00Z</dcterms:created>
  <dcterms:modified xsi:type="dcterms:W3CDTF">2025-12-13T02:44:00Z</dcterms:modified>
</cp:coreProperties>
</file>