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ADA65B" w14:textId="4D36B7BD" w:rsidR="00C74027" w:rsidRDefault="00C74027" w:rsidP="00EE3535">
      <w:pPr>
        <w:tabs>
          <w:tab w:val="left" w:pos="1843"/>
        </w:tabs>
        <w:spacing w:after="0" w:line="360" w:lineRule="auto"/>
        <w:contextualSpacing/>
        <w:jc w:val="both"/>
        <w:rPr>
          <w:rFonts w:ascii="Palatino Linotype" w:hAnsi="Palatino Linotype" w:cs="Tahoma"/>
          <w:b/>
          <w:kern w:val="0"/>
          <w:lang w:val="es-ES"/>
          <w14:ligatures w14:val="none"/>
        </w:rPr>
      </w:pPr>
      <w:r w:rsidRPr="003D6AF6">
        <w:rPr>
          <w:rFonts w:ascii="Palatino Linotype" w:hAnsi="Palatino Linotype" w:cs="Tahoma"/>
          <w:b/>
          <w:kern w:val="0"/>
          <w:lang w:val="es-ES"/>
          <w14:ligatures w14:val="none"/>
        </w:rPr>
        <w:t xml:space="preserve">VOTO PARTICULAR QUE FORMULA EL COMISIONADO LUIS GUSTAVO PARRA NORIEGA, A LA RESOLUCIÓN DEL RECURSO DE REVISIÓN </w:t>
      </w:r>
      <w:r w:rsidR="00060D0D" w:rsidRPr="00060D0D">
        <w:rPr>
          <w:rFonts w:ascii="Palatino Linotype" w:eastAsia="Palatino Linotype" w:hAnsi="Palatino Linotype" w:cs="Palatino Linotype"/>
          <w:b/>
          <w:kern w:val="0"/>
          <w:lang w:val="es-ES"/>
          <w14:ligatures w14:val="none"/>
        </w:rPr>
        <w:t>06364/INFOEM/IP/RR/2026 Y ACUMULADOS</w:t>
      </w:r>
      <w:r w:rsidR="00060D0D">
        <w:rPr>
          <w:rFonts w:ascii="Palatino Linotype" w:eastAsia="Palatino Linotype" w:hAnsi="Palatino Linotype" w:cs="Palatino Linotype"/>
          <w:b/>
          <w:kern w:val="0"/>
          <w:lang w:val="es-ES"/>
          <w14:ligatures w14:val="none"/>
        </w:rPr>
        <w:t>,</w:t>
      </w:r>
      <w:r w:rsidR="00060D0D" w:rsidRPr="003D6AF6">
        <w:rPr>
          <w:rFonts w:ascii="Palatino Linotype" w:hAnsi="Palatino Linotype" w:cs="Tahoma"/>
          <w:b/>
          <w:kern w:val="0"/>
          <w:lang w:val="es-ES"/>
          <w14:ligatures w14:val="none"/>
        </w:rPr>
        <w:t xml:space="preserve"> </w:t>
      </w:r>
      <w:r w:rsidR="00696CE5" w:rsidRPr="003D6AF6">
        <w:rPr>
          <w:rFonts w:ascii="Palatino Linotype" w:hAnsi="Palatino Linotype" w:cs="Tahoma"/>
          <w:b/>
          <w:kern w:val="0"/>
          <w:lang w:val="es-ES"/>
          <w14:ligatures w14:val="none"/>
        </w:rPr>
        <w:t xml:space="preserve">PROMOVIDO EN CONTRA DEL </w:t>
      </w:r>
      <w:r w:rsidR="00060D0D" w:rsidRPr="00060D0D">
        <w:rPr>
          <w:rFonts w:ascii="Palatino Linotype" w:hAnsi="Palatino Linotype" w:cs="Tahoma"/>
          <w:b/>
          <w:kern w:val="0"/>
          <w:lang w:val="es-ES"/>
          <w14:ligatures w14:val="none"/>
        </w:rPr>
        <w:t>AYUNTAMIENTO DE TEOLOYUCAN</w:t>
      </w:r>
    </w:p>
    <w:p w14:paraId="4C733899" w14:textId="77777777" w:rsidR="00EE3535" w:rsidRPr="003D6AF6" w:rsidRDefault="00EE3535" w:rsidP="00EE3535">
      <w:pPr>
        <w:tabs>
          <w:tab w:val="left" w:pos="1843"/>
        </w:tabs>
        <w:spacing w:after="0" w:line="360" w:lineRule="auto"/>
        <w:contextualSpacing/>
        <w:jc w:val="both"/>
        <w:rPr>
          <w:rFonts w:ascii="Palatino Linotype" w:hAnsi="Palatino Linotype" w:cs="Tahoma"/>
          <w:color w:val="FF0000"/>
          <w:kern w:val="0"/>
          <w:lang w:val="es-ES"/>
          <w14:ligatures w14:val="none"/>
        </w:rPr>
      </w:pPr>
    </w:p>
    <w:p w14:paraId="5379DED2" w14:textId="363F6323" w:rsidR="00EE3535" w:rsidRDefault="00C74027" w:rsidP="00EE3535">
      <w:pPr>
        <w:tabs>
          <w:tab w:val="left" w:pos="1843"/>
        </w:tabs>
        <w:spacing w:after="0" w:line="360" w:lineRule="auto"/>
        <w:contextualSpacing/>
        <w:jc w:val="both"/>
        <w:rPr>
          <w:rFonts w:ascii="Palatino Linotype" w:eastAsia="Palatino Linotype" w:hAnsi="Palatino Linotype" w:cs="Palatino Linotype"/>
          <w:b/>
          <w:bCs/>
          <w:kern w:val="0"/>
          <w14:ligatures w14:val="none"/>
        </w:rPr>
      </w:pPr>
      <w:r w:rsidRPr="003D6AF6">
        <w:rPr>
          <w:rFonts w:ascii="Palatino Linotype" w:hAnsi="Palatino Linotype" w:cs="Tahoma"/>
          <w:kern w:val="0"/>
          <w:lang w:val="es-ES"/>
          <w14:ligatures w14:val="none"/>
        </w:rPr>
        <w:t xml:space="preserve">En términos de lo dispuesto por los artículos 189, párrafo primero, de la Ley de Transparencia y Acceso a la Información Pública del Estado de México y Municipios; 14, fracción XI, del Reglamento Interior del Instituto de Transparencia, Acceso a la Información Pública y Protección de Datos Personales del Estado de México y Municipios; 45, 48, fracción I, de los Lineamientos para el funcionamiento del Pleno y las Comisiones del Instituto de Transparencia, Acceso a la Información Pública y Protección de Datos Personales del Estado de México y Municipios, emito el presente </w:t>
      </w:r>
      <w:r w:rsidRPr="003D6AF6">
        <w:rPr>
          <w:rFonts w:ascii="Palatino Linotype" w:hAnsi="Palatino Linotype" w:cs="Tahoma"/>
          <w:b/>
          <w:kern w:val="0"/>
          <w:lang w:val="es-ES"/>
          <w14:ligatures w14:val="none"/>
        </w:rPr>
        <w:t>Voto Particular</w:t>
      </w:r>
      <w:r w:rsidRPr="003D6AF6">
        <w:rPr>
          <w:rFonts w:ascii="Palatino Linotype" w:hAnsi="Palatino Linotype" w:cs="Tahoma"/>
          <w:kern w:val="0"/>
          <w:lang w:val="es-ES"/>
          <w14:ligatures w14:val="none"/>
        </w:rPr>
        <w:t xml:space="preserve"> por no compartir en su totalidad las consideraciones que sustentan la Resolución de</w:t>
      </w:r>
      <w:r w:rsidR="003D6AF6" w:rsidRPr="003D6AF6">
        <w:rPr>
          <w:rFonts w:ascii="Palatino Linotype" w:hAnsi="Palatino Linotype" w:cs="Tahoma"/>
          <w:kern w:val="0"/>
          <w:lang w:val="es-ES"/>
          <w14:ligatures w14:val="none"/>
        </w:rPr>
        <w:t xml:space="preserve"> </w:t>
      </w:r>
      <w:r w:rsidRPr="003D6AF6">
        <w:rPr>
          <w:rFonts w:ascii="Palatino Linotype" w:hAnsi="Palatino Linotype" w:cs="Tahoma"/>
          <w:kern w:val="0"/>
          <w:lang w:val="es-ES"/>
          <w14:ligatures w14:val="none"/>
        </w:rPr>
        <w:t>l</w:t>
      </w:r>
      <w:r w:rsidR="003D6AF6" w:rsidRPr="003D6AF6">
        <w:rPr>
          <w:rFonts w:ascii="Palatino Linotype" w:hAnsi="Palatino Linotype" w:cs="Tahoma"/>
          <w:kern w:val="0"/>
          <w:lang w:val="es-ES"/>
          <w14:ligatures w14:val="none"/>
        </w:rPr>
        <w:t>os</w:t>
      </w:r>
      <w:r w:rsidRPr="003D6AF6">
        <w:rPr>
          <w:rFonts w:ascii="Palatino Linotype" w:hAnsi="Palatino Linotype" w:cs="Tahoma"/>
          <w:kern w:val="0"/>
          <w:lang w:val="es-ES"/>
          <w14:ligatures w14:val="none"/>
        </w:rPr>
        <w:t xml:space="preserve"> Recurso</w:t>
      </w:r>
      <w:r w:rsidR="003D6AF6" w:rsidRPr="003D6AF6">
        <w:rPr>
          <w:rFonts w:ascii="Palatino Linotype" w:hAnsi="Palatino Linotype" w:cs="Tahoma"/>
          <w:kern w:val="0"/>
          <w:lang w:val="es-ES"/>
          <w14:ligatures w14:val="none"/>
        </w:rPr>
        <w:t>s</w:t>
      </w:r>
      <w:r w:rsidRPr="003D6AF6">
        <w:rPr>
          <w:rFonts w:ascii="Palatino Linotype" w:hAnsi="Palatino Linotype" w:cs="Tahoma"/>
          <w:kern w:val="0"/>
          <w:lang w:val="es-ES"/>
          <w14:ligatures w14:val="none"/>
        </w:rPr>
        <w:t xml:space="preserve"> de Revisión </w:t>
      </w:r>
      <w:r w:rsidR="00060D0D" w:rsidRPr="00060D0D">
        <w:rPr>
          <w:rFonts w:ascii="Palatino Linotype" w:eastAsia="Palatino Linotype" w:hAnsi="Palatino Linotype" w:cs="Palatino Linotype"/>
          <w:b/>
          <w:bCs/>
          <w:kern w:val="0"/>
          <w14:ligatures w14:val="none"/>
        </w:rPr>
        <w:t>06364/INFOEM/IP/RR/2026 y acumulados</w:t>
      </w:r>
      <w:r w:rsidR="000D6369">
        <w:rPr>
          <w:rFonts w:ascii="Palatino Linotype" w:eastAsia="Palatino Linotype" w:hAnsi="Palatino Linotype" w:cs="Palatino Linotype"/>
          <w:b/>
          <w:bCs/>
          <w:kern w:val="0"/>
          <w14:ligatures w14:val="none"/>
        </w:rPr>
        <w:t>.</w:t>
      </w:r>
    </w:p>
    <w:p w14:paraId="4B858535" w14:textId="77777777" w:rsidR="000D6369" w:rsidRDefault="000D6369" w:rsidP="00EE3535">
      <w:pPr>
        <w:tabs>
          <w:tab w:val="left" w:pos="1843"/>
        </w:tabs>
        <w:spacing w:after="0" w:line="360" w:lineRule="auto"/>
        <w:contextualSpacing/>
        <w:jc w:val="both"/>
        <w:rPr>
          <w:rFonts w:ascii="Palatino Linotype" w:eastAsia="Palatino Linotype" w:hAnsi="Palatino Linotype" w:cs="Palatino Linotype"/>
          <w:b/>
          <w:bCs/>
          <w:kern w:val="0"/>
          <w14:ligatures w14:val="none"/>
        </w:rPr>
      </w:pPr>
    </w:p>
    <w:p w14:paraId="321145BE" w14:textId="6E9E72AD" w:rsidR="00E16188" w:rsidRPr="003D6AF6" w:rsidRDefault="00C74027" w:rsidP="00EE3535">
      <w:pPr>
        <w:tabs>
          <w:tab w:val="left" w:pos="1843"/>
        </w:tabs>
        <w:spacing w:after="0" w:line="360" w:lineRule="auto"/>
        <w:contextualSpacing/>
        <w:jc w:val="both"/>
        <w:rPr>
          <w:rFonts w:ascii="Palatino Linotype" w:hAnsi="Palatino Linotype" w:cs="Tahoma"/>
          <w:kern w:val="0"/>
          <w:lang w:val="es-ES"/>
          <w14:ligatures w14:val="none"/>
        </w:rPr>
      </w:pPr>
      <w:r w:rsidRPr="003D6AF6">
        <w:rPr>
          <w:rFonts w:ascii="Palatino Linotype" w:hAnsi="Palatino Linotype" w:cs="Tahoma"/>
          <w:kern w:val="0"/>
          <w:lang w:val="es-ES"/>
          <w14:ligatures w14:val="none"/>
        </w:rPr>
        <w:t xml:space="preserve">Como se desprende de la Resolución en comento, </w:t>
      </w:r>
      <w:r w:rsidR="000D6369">
        <w:rPr>
          <w:rFonts w:ascii="Palatino Linotype" w:hAnsi="Palatino Linotype" w:cs="Tahoma"/>
          <w:bCs/>
          <w:kern w:val="0"/>
          <w:lang w:val="es-ES"/>
          <w14:ligatures w14:val="none"/>
        </w:rPr>
        <w:t xml:space="preserve">el Particular solicito los oficios </w:t>
      </w:r>
      <w:r w:rsidR="00060D0D">
        <w:rPr>
          <w:rFonts w:ascii="Palatino Linotype" w:hAnsi="Palatino Linotype" w:cs="Tahoma"/>
          <w:bCs/>
          <w:kern w:val="0"/>
          <w:lang w:val="es-ES"/>
          <w14:ligatures w14:val="none"/>
        </w:rPr>
        <w:t>enviados y firmados al Secretario del Ayuntamiento</w:t>
      </w:r>
      <w:r w:rsidR="00312A74">
        <w:rPr>
          <w:rFonts w:ascii="Palatino Linotype" w:hAnsi="Palatino Linotype" w:cs="Tahoma"/>
          <w:kern w:val="0"/>
          <w:lang w:val="es-ES"/>
          <w14:ligatures w14:val="none"/>
        </w:rPr>
        <w:t xml:space="preserve">, </w:t>
      </w:r>
      <w:r w:rsidR="000D6369">
        <w:rPr>
          <w:rFonts w:ascii="Palatino Linotype" w:hAnsi="Palatino Linotype" w:cs="Tahoma"/>
          <w:kern w:val="0"/>
          <w:lang w:val="es-ES"/>
          <w14:ligatures w14:val="none"/>
        </w:rPr>
        <w:t xml:space="preserve">así </w:t>
      </w:r>
      <w:r w:rsidR="00312A74" w:rsidRPr="003D6AF6">
        <w:rPr>
          <w:rFonts w:ascii="Palatino Linotype" w:hAnsi="Palatino Linotype" w:cs="Tahoma"/>
          <w:kern w:val="0"/>
          <w:lang w:val="es-ES"/>
          <w14:ligatures w14:val="none"/>
        </w:rPr>
        <w:t>este</w:t>
      </w:r>
      <w:r w:rsidRPr="003D6AF6">
        <w:rPr>
          <w:rFonts w:ascii="Palatino Linotype" w:hAnsi="Palatino Linotype" w:cs="Tahoma"/>
          <w:kern w:val="0"/>
          <w:lang w:val="es-ES"/>
          <w14:ligatures w14:val="none"/>
        </w:rPr>
        <w:t xml:space="preserve"> Organismo Garante </w:t>
      </w:r>
      <w:r w:rsidR="00EE3535">
        <w:rPr>
          <w:rFonts w:ascii="Palatino Linotype" w:hAnsi="Palatino Linotype" w:cs="Tahoma"/>
          <w:kern w:val="0"/>
          <w:lang w:val="es-ES"/>
          <w14:ligatures w14:val="none"/>
        </w:rPr>
        <w:t>determinó</w:t>
      </w:r>
      <w:r w:rsidR="00696CE5">
        <w:rPr>
          <w:rFonts w:ascii="Palatino Linotype" w:hAnsi="Palatino Linotype" w:cs="Tahoma"/>
          <w:kern w:val="0"/>
          <w:lang w:val="es-ES"/>
          <w14:ligatures w14:val="none"/>
        </w:rPr>
        <w:t xml:space="preserve"> </w:t>
      </w:r>
      <w:r w:rsidR="00312A74">
        <w:rPr>
          <w:rFonts w:ascii="Palatino Linotype" w:hAnsi="Palatino Linotype" w:cs="Tahoma"/>
          <w:kern w:val="0"/>
          <w:lang w:val="es-ES"/>
          <w14:ligatures w14:val="none"/>
        </w:rPr>
        <w:t xml:space="preserve">la entrega de </w:t>
      </w:r>
      <w:r w:rsidR="00EE3535">
        <w:rPr>
          <w:rFonts w:ascii="Palatino Linotype" w:hAnsi="Palatino Linotype" w:cs="Tahoma"/>
          <w:kern w:val="0"/>
          <w:lang w:val="es-ES"/>
          <w14:ligatures w14:val="none"/>
        </w:rPr>
        <w:t>información y</w:t>
      </w:r>
      <w:r w:rsidR="00840110">
        <w:rPr>
          <w:rFonts w:ascii="Palatino Linotype" w:hAnsi="Palatino Linotype" w:cs="Tahoma"/>
          <w:kern w:val="0"/>
          <w:lang w:val="es-ES"/>
          <w14:ligatures w14:val="none"/>
        </w:rPr>
        <w:t xml:space="preserve"> la salvedad para que en caso de que </w:t>
      </w:r>
      <w:r w:rsidR="00696CE5">
        <w:rPr>
          <w:rFonts w:ascii="Palatino Linotype" w:hAnsi="Palatino Linotype" w:cs="Tahoma"/>
          <w:kern w:val="0"/>
          <w:lang w:val="es-ES"/>
          <w14:ligatures w14:val="none"/>
        </w:rPr>
        <w:t>exista información reservada</w:t>
      </w:r>
      <w:r w:rsidR="00840110">
        <w:rPr>
          <w:rFonts w:ascii="Palatino Linotype" w:hAnsi="Palatino Linotype" w:cs="Tahoma"/>
          <w:kern w:val="0"/>
          <w:lang w:val="es-ES"/>
          <w14:ligatures w14:val="none"/>
        </w:rPr>
        <w:t xml:space="preserve">, se deberá remitir </w:t>
      </w:r>
      <w:bookmarkStart w:id="0" w:name="_Hlk166400878"/>
      <w:r w:rsidR="00840110">
        <w:rPr>
          <w:rFonts w:ascii="Palatino Linotype" w:hAnsi="Palatino Linotype" w:cs="Tahoma"/>
          <w:kern w:val="0"/>
          <w:lang w:val="es-ES"/>
          <w14:ligatures w14:val="none"/>
        </w:rPr>
        <w:t>el</w:t>
      </w:r>
      <w:r w:rsidRPr="003D6AF6">
        <w:rPr>
          <w:rFonts w:ascii="Palatino Linotype" w:hAnsi="Palatino Linotype" w:cs="Tahoma"/>
          <w:kern w:val="0"/>
          <w:lang w:val="es-ES"/>
          <w14:ligatures w14:val="none"/>
        </w:rPr>
        <w:t xml:space="preserve"> acuerdo de clasificación emitido por el Comité de Transparencia, por el cual se clasifiquen como información reservada</w:t>
      </w:r>
      <w:r w:rsidR="005C357D">
        <w:rPr>
          <w:rFonts w:ascii="Palatino Linotype" w:hAnsi="Palatino Linotype" w:cs="Tahoma"/>
          <w:kern w:val="0"/>
          <w:lang w:val="es-ES"/>
          <w14:ligatures w14:val="none"/>
        </w:rPr>
        <w:t>; por lo que</w:t>
      </w:r>
      <w:r w:rsidRPr="003D6AF6">
        <w:rPr>
          <w:rFonts w:ascii="Palatino Linotype" w:hAnsi="Palatino Linotype" w:cs="Tahoma"/>
          <w:kern w:val="0"/>
          <w:lang w:val="es-ES"/>
          <w14:ligatures w14:val="none"/>
        </w:rPr>
        <w:t xml:space="preserve"> considero que</w:t>
      </w:r>
      <w:r w:rsidR="00E16188" w:rsidRPr="003D6AF6">
        <w:rPr>
          <w:rFonts w:ascii="Palatino Linotype" w:hAnsi="Palatino Linotype" w:cs="Tahoma"/>
          <w:kern w:val="0"/>
          <w:lang w:val="es-ES"/>
          <w14:ligatures w14:val="none"/>
        </w:rPr>
        <w:t xml:space="preserve">, era necesario </w:t>
      </w:r>
      <w:r w:rsidR="00840110">
        <w:rPr>
          <w:rFonts w:ascii="Palatino Linotype" w:hAnsi="Palatino Linotype" w:cs="Tahoma"/>
          <w:kern w:val="0"/>
          <w:lang w:val="es-ES"/>
          <w14:ligatures w14:val="none"/>
        </w:rPr>
        <w:t xml:space="preserve">determinar la causal </w:t>
      </w:r>
      <w:r w:rsidR="005C357D">
        <w:rPr>
          <w:rFonts w:ascii="Palatino Linotype" w:hAnsi="Palatino Linotype" w:cs="Tahoma"/>
          <w:kern w:val="0"/>
          <w:lang w:val="es-ES"/>
          <w14:ligatures w14:val="none"/>
        </w:rPr>
        <w:t>de clasificación específica</w:t>
      </w:r>
      <w:r w:rsidR="00840110">
        <w:rPr>
          <w:rFonts w:ascii="Palatino Linotype" w:hAnsi="Palatino Linotype" w:cs="Tahoma"/>
          <w:kern w:val="0"/>
          <w:lang w:val="es-ES"/>
          <w14:ligatures w14:val="none"/>
        </w:rPr>
        <w:t xml:space="preserve"> que se actualizaba en el presente caso y realizar la prueba de daño correspondiente. </w:t>
      </w:r>
    </w:p>
    <w:p w14:paraId="246FD762" w14:textId="77777777" w:rsidR="00E16188" w:rsidRPr="003D6AF6" w:rsidRDefault="00E16188" w:rsidP="00840110">
      <w:pPr>
        <w:autoSpaceDE w:val="0"/>
        <w:autoSpaceDN w:val="0"/>
        <w:adjustRightInd w:val="0"/>
        <w:spacing w:after="0" w:line="360" w:lineRule="auto"/>
        <w:ind w:right="49"/>
        <w:contextualSpacing/>
        <w:jc w:val="both"/>
        <w:rPr>
          <w:rFonts w:ascii="Palatino Linotype" w:hAnsi="Palatino Linotype" w:cs="Tahoma"/>
          <w:color w:val="FF0000"/>
          <w:kern w:val="0"/>
          <w:lang w:val="es-ES"/>
          <w14:ligatures w14:val="none"/>
        </w:rPr>
      </w:pPr>
    </w:p>
    <w:p w14:paraId="1AA170A4" w14:textId="0FE716B9" w:rsidR="00521F3B" w:rsidRDefault="00282E17" w:rsidP="00521F3B">
      <w:pPr>
        <w:autoSpaceDE w:val="0"/>
        <w:autoSpaceDN w:val="0"/>
        <w:adjustRightInd w:val="0"/>
        <w:spacing w:after="0" w:line="360" w:lineRule="auto"/>
        <w:ind w:right="49"/>
        <w:contextualSpacing/>
        <w:jc w:val="both"/>
        <w:rPr>
          <w:rFonts w:ascii="Palatino Linotype" w:eastAsia="Calibri" w:hAnsi="Palatino Linotype" w:cs="Tahoma"/>
        </w:rPr>
      </w:pPr>
      <w:r w:rsidRPr="002E5548">
        <w:rPr>
          <w:rFonts w:ascii="Palatino Linotype" w:eastAsia="Times New Roman" w:hAnsi="Palatino Linotype" w:cs="Arial"/>
          <w:kern w:val="0"/>
          <w:lang w:val="es-ES" w:eastAsia="es-ES"/>
          <w14:ligatures w14:val="none"/>
        </w:rPr>
        <w:t>E</w:t>
      </w:r>
      <w:r w:rsidR="00C74027" w:rsidRPr="002E5548">
        <w:rPr>
          <w:rFonts w:ascii="Palatino Linotype" w:eastAsia="Times New Roman" w:hAnsi="Palatino Linotype" w:cs="Arial"/>
          <w:kern w:val="0"/>
          <w:lang w:val="es-ES" w:eastAsia="es-ES"/>
          <w14:ligatures w14:val="none"/>
        </w:rPr>
        <w:t xml:space="preserve">n este contexto, cuando los Sujetos Obligados determinen que existe información confidencial o reservada en los documentos a entregar, se debe realizar un estudio específico para así determinar, si la información debe ser clasificada en su totalidad o puede ser entregada en versión pública; en el presente asunto, nos encontramos ante información </w:t>
      </w:r>
      <w:r w:rsidR="002E5548">
        <w:rPr>
          <w:rFonts w:ascii="Palatino Linotype" w:eastAsia="Times New Roman" w:hAnsi="Palatino Linotype" w:cs="Arial"/>
          <w:kern w:val="0"/>
          <w:lang w:val="es-ES" w:eastAsia="es-ES"/>
          <w14:ligatures w14:val="none"/>
        </w:rPr>
        <w:t xml:space="preserve"> </w:t>
      </w:r>
      <w:r w:rsidR="002E5548">
        <w:rPr>
          <w:rFonts w:ascii="Palatino Linotype" w:eastAsia="Times New Roman" w:hAnsi="Palatino Linotype" w:cs="Arial"/>
          <w:kern w:val="0"/>
          <w:lang w:val="es-ES" w:eastAsia="es-ES"/>
          <w14:ligatures w14:val="none"/>
        </w:rPr>
        <w:lastRenderedPageBreak/>
        <w:t xml:space="preserve">en la </w:t>
      </w:r>
      <w:r w:rsidR="00C74027" w:rsidRPr="002E5548">
        <w:rPr>
          <w:rFonts w:ascii="Palatino Linotype" w:eastAsia="Times New Roman" w:hAnsi="Palatino Linotype" w:cs="Arial"/>
          <w:kern w:val="0"/>
          <w:lang w:val="es-ES" w:eastAsia="es-ES"/>
          <w14:ligatures w14:val="none"/>
        </w:rPr>
        <w:t xml:space="preserve">que la Ponencia Resolutora, </w:t>
      </w:r>
      <w:r w:rsidR="002E5548" w:rsidRPr="002E5548">
        <w:rPr>
          <w:rFonts w:ascii="Palatino Linotype" w:eastAsia="Times New Roman" w:hAnsi="Palatino Linotype" w:cs="Arial"/>
          <w:kern w:val="0"/>
          <w:lang w:val="es-ES" w:eastAsia="es-ES"/>
          <w14:ligatures w14:val="none"/>
        </w:rPr>
        <w:t xml:space="preserve">no estableció el </w:t>
      </w:r>
      <w:r w:rsidR="00C74027" w:rsidRPr="002E5548">
        <w:rPr>
          <w:rFonts w:ascii="Palatino Linotype" w:eastAsia="Times New Roman" w:hAnsi="Palatino Linotype" w:cs="Arial"/>
          <w:kern w:val="0"/>
          <w:lang w:val="es-ES" w:eastAsia="es-ES"/>
          <w14:ligatures w14:val="none"/>
        </w:rPr>
        <w:t>supuesto normativo del artículo 140, de la Ley de Transparencia y Acceso a la Información Pública del Estado de México y Municipios</w:t>
      </w:r>
      <w:r w:rsidR="002E5548" w:rsidRPr="002E5548">
        <w:rPr>
          <w:rFonts w:ascii="Palatino Linotype" w:eastAsia="Times New Roman" w:hAnsi="Palatino Linotype" w:cs="Arial"/>
          <w:kern w:val="0"/>
          <w:lang w:val="es-ES" w:eastAsia="es-ES"/>
          <w14:ligatures w14:val="none"/>
        </w:rPr>
        <w:t xml:space="preserve">, además de no </w:t>
      </w:r>
      <w:r w:rsidR="00C74027" w:rsidRPr="002E5548">
        <w:rPr>
          <w:rFonts w:ascii="Palatino Linotype" w:eastAsia="Times New Roman" w:hAnsi="Palatino Linotype" w:cs="Arial"/>
          <w:kern w:val="0"/>
          <w:lang w:val="es-ES" w:eastAsia="es-ES"/>
          <w14:ligatures w14:val="none"/>
        </w:rPr>
        <w:t>elaborar la prueba de daño</w:t>
      </w:r>
      <w:r w:rsidR="00521F3B">
        <w:rPr>
          <w:rFonts w:ascii="Palatino Linotype" w:eastAsia="Times New Roman" w:hAnsi="Palatino Linotype" w:cs="Arial"/>
          <w:kern w:val="0"/>
          <w:lang w:val="es-ES" w:eastAsia="es-ES"/>
          <w14:ligatures w14:val="none"/>
        </w:rPr>
        <w:t>; por lo que,</w:t>
      </w:r>
      <w:r w:rsidR="00521F3B">
        <w:rPr>
          <w:rFonts w:ascii="Palatino Linotype" w:eastAsia="Calibri" w:hAnsi="Palatino Linotype" w:cs="Tahoma"/>
        </w:rPr>
        <w:t xml:space="preserve"> no se realizó un análisis exhaustivo y profundo sobre la clasificación.</w:t>
      </w:r>
    </w:p>
    <w:p w14:paraId="3E6B0A6C" w14:textId="77777777" w:rsidR="00521F3B" w:rsidRDefault="00521F3B" w:rsidP="00521F3B">
      <w:pPr>
        <w:spacing w:after="0" w:line="360" w:lineRule="auto"/>
        <w:jc w:val="both"/>
        <w:rPr>
          <w:rFonts w:ascii="Palatino Linotype" w:eastAsia="Calibri" w:hAnsi="Palatino Linotype" w:cs="Tahoma"/>
        </w:rPr>
      </w:pPr>
    </w:p>
    <w:p w14:paraId="2B7BB454" w14:textId="77777777" w:rsidR="00521F3B" w:rsidRDefault="00521F3B" w:rsidP="00521F3B">
      <w:pPr>
        <w:spacing w:after="0" w:line="360" w:lineRule="auto"/>
        <w:jc w:val="both"/>
        <w:rPr>
          <w:rFonts w:ascii="Palatino Linotype" w:eastAsia="Calibri" w:hAnsi="Palatino Linotype" w:cs="Tahoma"/>
          <w:iCs/>
          <w:lang w:eastAsia="es-ES_tradnl"/>
        </w:rPr>
      </w:pPr>
      <w:r>
        <w:rPr>
          <w:rFonts w:ascii="Palatino Linotype" w:eastAsia="Calibri" w:hAnsi="Palatino Linotype" w:cs="Tahoma"/>
          <w:iCs/>
          <w:lang w:eastAsia="es-ES_tradnl"/>
        </w:rPr>
        <w:t>Al respecto, el artículo 1.8, fracciones IX y XIII del Código Administrativo del Estado de México, establece que para que tenga validez, todo acto administrativo deberá guardar congruencia con lo solicitado y deberá resolver todos los puntos propuestos por los interesados.</w:t>
      </w:r>
    </w:p>
    <w:p w14:paraId="43C1C9A4" w14:textId="77777777" w:rsidR="00521F3B" w:rsidRDefault="00521F3B" w:rsidP="00521F3B">
      <w:pPr>
        <w:spacing w:after="0" w:line="360" w:lineRule="auto"/>
        <w:jc w:val="both"/>
        <w:rPr>
          <w:rFonts w:ascii="Palatino Linotype" w:eastAsia="Calibri" w:hAnsi="Palatino Linotype" w:cs="Tahoma"/>
          <w:iCs/>
          <w:lang w:eastAsia="es-ES_tradnl"/>
        </w:rPr>
      </w:pPr>
    </w:p>
    <w:p w14:paraId="7C616B38" w14:textId="77777777" w:rsidR="00521F3B" w:rsidRDefault="00521F3B" w:rsidP="00521F3B">
      <w:pPr>
        <w:spacing w:after="0" w:line="360" w:lineRule="auto"/>
        <w:jc w:val="both"/>
        <w:rPr>
          <w:rFonts w:ascii="Palatino Linotype" w:eastAsia="Calibri" w:hAnsi="Palatino Linotype" w:cs="Tahoma"/>
          <w:lang w:val="es-ES_tradnl"/>
        </w:rPr>
      </w:pPr>
      <w:r>
        <w:rPr>
          <w:rFonts w:ascii="Palatino Linotype" w:eastAsia="Calibri" w:hAnsi="Palatino Linotype" w:cs="Tahoma"/>
          <w:iCs/>
          <w:lang w:eastAsia="es-ES_tradnl"/>
        </w:rPr>
        <w:t xml:space="preserve">Así, cada determinación que se toma, </w:t>
      </w:r>
      <w:r>
        <w:rPr>
          <w:rFonts w:ascii="Palatino Linotype" w:eastAsia="Calibri" w:hAnsi="Palatino Linotype" w:cs="Tahoma"/>
          <w:lang w:val="es-ES_tradnl"/>
        </w:rPr>
        <w:t xml:space="preserve">debe apegarse al </w:t>
      </w:r>
      <w:r>
        <w:rPr>
          <w:rFonts w:ascii="Palatino Linotype" w:eastAsia="Calibri" w:hAnsi="Palatino Linotype" w:cs="Tahoma"/>
          <w:b/>
          <w:lang w:val="es-ES_tradnl"/>
        </w:rPr>
        <w:t>principio de exhaustividad</w:t>
      </w:r>
      <w:r>
        <w:rPr>
          <w:rFonts w:ascii="Palatino Linotype" w:eastAsia="Calibri" w:hAnsi="Palatino Linotype" w:cs="Tahoma"/>
          <w:lang w:val="es-ES_tradnl"/>
        </w:rPr>
        <w:t>, entendiendo por este que se pronuncie expresamente sobre cada uno de los puntos requeridos, lo cual en materia de transparencia y acceso a la información pública se traduce en que</w:t>
      </w:r>
      <w:r>
        <w:rPr>
          <w:rFonts w:ascii="Palatino Linotype" w:eastAsia="Calibri" w:hAnsi="Palatino Linotype" w:cs="Tahoma"/>
          <w:b/>
          <w:lang w:val="es-ES_tradnl"/>
        </w:rPr>
        <w:t xml:space="preserve"> las resoluciones de los Organismos Garantes, </w:t>
      </w:r>
      <w:r>
        <w:rPr>
          <w:rFonts w:ascii="Palatino Linotype" w:eastAsia="Calibri" w:hAnsi="Palatino Linotype" w:cs="Tahoma"/>
          <w:lang w:val="es-ES_tradnl"/>
        </w:rPr>
        <w:t>deben guardar una relación lógica con lo solicitado y los agravios mediante un análisis, con el fin de decidir de manera íntegra, sobre cada uno de los requerimientos solicitados, de manera fundada y motivada, a fin de garantizar el derecho de acceso a la información.</w:t>
      </w:r>
    </w:p>
    <w:p w14:paraId="405B50F5" w14:textId="77777777" w:rsidR="00521F3B" w:rsidRDefault="00521F3B" w:rsidP="00521F3B">
      <w:pPr>
        <w:spacing w:after="0" w:line="360" w:lineRule="auto"/>
        <w:jc w:val="both"/>
        <w:rPr>
          <w:rFonts w:ascii="Palatino Linotype" w:eastAsia="Calibri" w:hAnsi="Palatino Linotype" w:cs="Tahoma"/>
          <w:lang w:val="es-ES_tradnl"/>
        </w:rPr>
      </w:pPr>
    </w:p>
    <w:p w14:paraId="0A3DAC89" w14:textId="77777777" w:rsidR="00521F3B" w:rsidRDefault="00521F3B" w:rsidP="00521F3B">
      <w:pPr>
        <w:spacing w:after="0" w:line="360" w:lineRule="auto"/>
        <w:jc w:val="both"/>
        <w:rPr>
          <w:rFonts w:ascii="Palatino Linotype" w:eastAsia="Calibri" w:hAnsi="Palatino Linotype" w:cs="Tahoma"/>
          <w:lang w:val="es-ES_tradnl"/>
        </w:rPr>
      </w:pPr>
      <w:r>
        <w:rPr>
          <w:rFonts w:ascii="Palatino Linotype" w:eastAsia="Calibri" w:hAnsi="Palatino Linotype" w:cs="Tahoma"/>
          <w:lang w:val="es-ES_tradnl"/>
        </w:rPr>
        <w:t>A mayor abundamiento, resulta aplicable la tesis I.4o.C.2 K (10a.), emitida por Tribunales Colegiados de Circuito, publicada en la Gaceta del Semanario Judicial de la Federación, Tomo II, Libro 4, Página 1772, de marzo de dos mil catorce, Décima Época, materia constitucional, que establece lo siguiente:</w:t>
      </w:r>
    </w:p>
    <w:p w14:paraId="7B10BBF6" w14:textId="77777777" w:rsidR="00521F3B" w:rsidRDefault="00521F3B" w:rsidP="00521F3B">
      <w:pPr>
        <w:spacing w:after="0" w:line="360" w:lineRule="auto"/>
        <w:jc w:val="both"/>
        <w:rPr>
          <w:rFonts w:ascii="Palatino Linotype" w:eastAsia="Calibri" w:hAnsi="Palatino Linotype" w:cs="Tahoma"/>
          <w:lang w:val="es-ES_tradnl"/>
        </w:rPr>
      </w:pPr>
    </w:p>
    <w:p w14:paraId="4C07D569" w14:textId="77777777" w:rsidR="00521F3B" w:rsidRDefault="00521F3B" w:rsidP="00521F3B">
      <w:pPr>
        <w:spacing w:after="0" w:line="360" w:lineRule="auto"/>
        <w:ind w:left="567" w:right="567"/>
        <w:jc w:val="both"/>
        <w:rPr>
          <w:rFonts w:ascii="Palatino Linotype" w:eastAsia="Calibri" w:hAnsi="Palatino Linotype" w:cs="Tahoma"/>
          <w:i/>
          <w:sz w:val="20"/>
          <w:szCs w:val="20"/>
          <w:lang w:val="es-ES_tradnl"/>
        </w:rPr>
      </w:pPr>
      <w:r>
        <w:rPr>
          <w:rFonts w:ascii="Palatino Linotype" w:eastAsia="Calibri" w:hAnsi="Palatino Linotype" w:cs="Tahoma"/>
          <w:i/>
          <w:sz w:val="20"/>
          <w:szCs w:val="20"/>
          <w:lang w:val="es-ES_tradnl"/>
        </w:rPr>
        <w:t>“</w:t>
      </w:r>
      <w:r>
        <w:rPr>
          <w:rFonts w:ascii="Palatino Linotype" w:eastAsia="Calibri" w:hAnsi="Palatino Linotype" w:cs="Tahoma"/>
          <w:b/>
          <w:i/>
          <w:sz w:val="20"/>
          <w:szCs w:val="20"/>
          <w:lang w:val="es-ES_tradnl"/>
        </w:rPr>
        <w:t xml:space="preserve">EXHAUSTIVIDAD. SU EXIGENCIA IMPLICA LA MAYOR CALIDAD POSIBLE DE LAS SENTENCIAS, PARA CUMPLIR CON LA PLENITUD EXIGIDA POR EL ARTÍCULO 17 CONSTITUCIONAL. </w:t>
      </w:r>
      <w:r>
        <w:rPr>
          <w:rFonts w:ascii="Palatino Linotype" w:eastAsia="Calibri" w:hAnsi="Palatino Linotype" w:cs="Tahoma"/>
          <w:i/>
          <w:sz w:val="20"/>
          <w:szCs w:val="20"/>
          <w:lang w:val="es-ES_tradnl"/>
        </w:rPr>
        <w:t xml:space="preserve">El artículo 17 constitucional consigna los principios rectores de la impartición de justicia, para hacer efectivo el derecho a la jurisdicción. Uno de estos </w:t>
      </w:r>
      <w:r>
        <w:rPr>
          <w:rFonts w:ascii="Palatino Linotype" w:eastAsia="Calibri" w:hAnsi="Palatino Linotype" w:cs="Tahoma"/>
          <w:i/>
          <w:sz w:val="20"/>
          <w:szCs w:val="20"/>
          <w:lang w:val="es-ES_tradnl"/>
        </w:rPr>
        <w:lastRenderedPageBreak/>
        <w:t xml:space="preserve">principios es el de la completitud, que </w:t>
      </w:r>
      <w:r>
        <w:rPr>
          <w:rFonts w:ascii="Palatino Linotype" w:eastAsia="Calibri" w:hAnsi="Palatino Linotype" w:cs="Tahoma"/>
          <w:b/>
          <w:i/>
          <w:sz w:val="20"/>
          <w:szCs w:val="20"/>
          <w:u w:val="single"/>
          <w:lang w:val="es-ES_tradnl"/>
        </w:rPr>
        <w:t>impone al</w:t>
      </w:r>
      <w:r>
        <w:rPr>
          <w:rFonts w:ascii="Palatino Linotype" w:eastAsia="Calibri" w:hAnsi="Palatino Linotype" w:cs="Tahoma"/>
          <w:i/>
          <w:sz w:val="20"/>
          <w:szCs w:val="20"/>
          <w:lang w:val="es-ES_tradnl"/>
        </w:rPr>
        <w:t xml:space="preserve"> </w:t>
      </w:r>
      <w:r>
        <w:rPr>
          <w:rFonts w:ascii="Palatino Linotype" w:eastAsia="Calibri" w:hAnsi="Palatino Linotype" w:cs="Tahoma"/>
          <w:b/>
          <w:i/>
          <w:sz w:val="20"/>
          <w:szCs w:val="20"/>
          <w:u w:val="single"/>
          <w:lang w:val="es-ES_tradnl"/>
        </w:rPr>
        <w:t>juzgador la obligación de resolver todos los litigios que se presenten para su conocimiento en su integridad, sin dejar nada pendiente</w:t>
      </w:r>
      <w:r>
        <w:rPr>
          <w:rFonts w:ascii="Palatino Linotype" w:eastAsia="Calibri" w:hAnsi="Palatino Linotype" w:cs="Tahoma"/>
          <w:i/>
          <w:sz w:val="20"/>
          <w:szCs w:val="20"/>
          <w:lang w:val="es-ES_tradnl"/>
        </w:rPr>
        <w:t xml:space="preserve">, con el objeto de que el fallo que se dicte declare el derecho y deje abierto el camino franco para su ejecución o cumplimiento, sin necesidad de nuevos procedimientos judiciales o administrativos. Para cumplir cabalmente con la completitud exigida por la Constitución, </w:t>
      </w:r>
      <w:r>
        <w:rPr>
          <w:rFonts w:ascii="Palatino Linotype" w:eastAsia="Calibri" w:hAnsi="Palatino Linotype" w:cs="Tahoma"/>
          <w:b/>
          <w:i/>
          <w:sz w:val="20"/>
          <w:szCs w:val="20"/>
          <w:u w:val="single"/>
          <w:lang w:val="es-ES_tradnl"/>
        </w:rPr>
        <w:t>se impone a los tribunales la obligación de examinar con exhaustividad todas las cuestiones atinentes al proceso puesto en su conocimiento, y esto se refleja en un examen acucioso, detenido, profundo, al que no escape nada de lo que pueda ser significativo para encontrar la verdad sobre los hechos controvertidos, o de las posibilidades que ofrezca cada medio probatorio</w:t>
      </w:r>
      <w:r>
        <w:rPr>
          <w:rFonts w:ascii="Palatino Linotype" w:eastAsia="Calibri" w:hAnsi="Palatino Linotype" w:cs="Tahoma"/>
          <w:i/>
          <w:sz w:val="20"/>
          <w:szCs w:val="20"/>
          <w:lang w:val="es-ES_tradnl"/>
        </w:rPr>
        <w:t xml:space="preserve">. El vocablo exhaustivo es un adjetivo para expresar algo que se agota o apura por completo. El vocablo agotar hace referencia a llevar una acción de la manera más completa y total, sin dejarla inconclusa ni en la más mínima parte o expresión como lo ilustra el Diccionario de la Lengua Española: "Extraer todo el líquido que hay en una capacidad cualquiera; gastar del todo, consumir, agotar el caudal de las provisiones, el ingenio, la paciencia, agotarse una edición; cansar extremadamente". Sobre el verbo apurar, el diccionario expone, entre otros, los siguientes conceptos: "Averiguar o desentrañar la verdad ahincadamente o exponerla sin omisión; extremar, llevar hasta el cabo; acabar, agotar; purificar o reducir algo al estado de pureza separando lo impuro o extraño; examinar atentamente". La correlación de los significados destacados, con miras a su aplicación al documento en que se asienta una decisión judicial, guía hacia una exigencia cualitativa, consistente en que </w:t>
      </w:r>
      <w:r>
        <w:rPr>
          <w:rFonts w:ascii="Palatino Linotype" w:eastAsia="Calibri" w:hAnsi="Palatino Linotype" w:cs="Tahoma"/>
          <w:b/>
          <w:i/>
          <w:sz w:val="20"/>
          <w:szCs w:val="20"/>
          <w:u w:val="single"/>
          <w:lang w:val="es-ES_tradnl"/>
        </w:rPr>
        <w:t>el juzgador no sólo se ocupe de cada cuestión planteada en el litigio, de una manera o forma cualquiera, sino que lo haga a profundidad</w:t>
      </w:r>
      <w:r>
        <w:rPr>
          <w:rFonts w:ascii="Palatino Linotype" w:eastAsia="Calibri" w:hAnsi="Palatino Linotype" w:cs="Tahoma"/>
          <w:i/>
          <w:sz w:val="20"/>
          <w:szCs w:val="20"/>
          <w:lang w:val="es-ES_tradnl"/>
        </w:rPr>
        <w:t xml:space="preserve">, explore y enfrente todas las cuestiones atinentes a cada tópico, despeje cualquier incógnita que pueda generar inconsistencias en su discurso, enfrente las diversas posibilidades advertibles de cada punto de los temas sujetos a decisión, exponga todas las razones que tenga en la asunción de un criterio, sin reservarse ninguna, y en general, que diga todo lo que le sirvió para adoptar una interpretación jurídica, integrar una ley, </w:t>
      </w:r>
      <w:r>
        <w:rPr>
          <w:rFonts w:ascii="Palatino Linotype" w:eastAsia="Calibri" w:hAnsi="Palatino Linotype" w:cs="Tahoma"/>
          <w:b/>
          <w:i/>
          <w:sz w:val="20"/>
          <w:szCs w:val="20"/>
          <w:u w:val="single"/>
          <w:lang w:val="es-ES_tradnl"/>
        </w:rPr>
        <w:t>valorar el material probatorio</w:t>
      </w:r>
      <w:r>
        <w:rPr>
          <w:rFonts w:ascii="Palatino Linotype" w:eastAsia="Calibri" w:hAnsi="Palatino Linotype" w:cs="Tahoma"/>
          <w:i/>
          <w:sz w:val="20"/>
          <w:szCs w:val="20"/>
          <w:lang w:val="es-ES_tradnl"/>
        </w:rPr>
        <w:t xml:space="preserve">, acoger o desestimar un argumento de las partes o una consideración de las autoridades que se ocuparon antes del asunto, esto último cuando la sentencia recaiga a un medio impugnativo de cualquier naturaleza. El principio de exhaustividad se orienta, pues, a que las consideraciones de </w:t>
      </w:r>
      <w:r>
        <w:rPr>
          <w:rFonts w:ascii="Palatino Linotype" w:eastAsia="Calibri" w:hAnsi="Palatino Linotype" w:cs="Tahoma"/>
          <w:i/>
          <w:sz w:val="20"/>
          <w:szCs w:val="20"/>
          <w:lang w:val="es-ES_tradnl"/>
        </w:rPr>
        <w:lastRenderedPageBreak/>
        <w:t>estudio de la sentencia se revistan de la más alta calidad posible, de completitud y de consistencia argumentativa.”</w:t>
      </w:r>
    </w:p>
    <w:p w14:paraId="6392FF86" w14:textId="77777777" w:rsidR="00521F3B" w:rsidRDefault="00521F3B" w:rsidP="00521F3B">
      <w:pPr>
        <w:spacing w:after="0" w:line="360" w:lineRule="auto"/>
        <w:jc w:val="both"/>
        <w:rPr>
          <w:rFonts w:ascii="Palatino Linotype" w:eastAsia="Calibri" w:hAnsi="Palatino Linotype" w:cs="Tahoma"/>
          <w:lang w:val="es-ES_tradnl"/>
        </w:rPr>
      </w:pPr>
    </w:p>
    <w:p w14:paraId="1961A47A" w14:textId="77777777" w:rsidR="00521F3B" w:rsidRDefault="00521F3B" w:rsidP="00521F3B">
      <w:pPr>
        <w:spacing w:after="0" w:line="360" w:lineRule="auto"/>
        <w:jc w:val="both"/>
        <w:rPr>
          <w:rFonts w:ascii="Palatino Linotype" w:eastAsia="Calibri" w:hAnsi="Palatino Linotype" w:cs="Tahoma"/>
          <w:lang w:val="es-ES_tradnl"/>
        </w:rPr>
      </w:pPr>
      <w:r>
        <w:rPr>
          <w:rFonts w:ascii="Palatino Linotype" w:eastAsia="Calibri" w:hAnsi="Palatino Linotype" w:cs="Tahoma"/>
          <w:lang w:val="es-ES_tradnl"/>
        </w:rPr>
        <w:t xml:space="preserve">De lo anterior, se desprende que el artículo 17 de la Carta Magna consigna los principios rectores de la impartición de justicia, para hacer efectivo el derecho a la jurisdicción, entre ellos el de completitud, el cual impone al juzgador la obligación de resolver todos los litigios que se presenten para su conocimiento en su integridad, sin dejar nada pendiente, con el objeto de que el fallo que se dicte declare el derecho y deje abierto el camino franco para su ejecución o cumplimiento, sin necesidad de nuevos procedimientos judiciales o administrativos. </w:t>
      </w:r>
    </w:p>
    <w:p w14:paraId="51EFAC45" w14:textId="77777777" w:rsidR="00521F3B" w:rsidRDefault="00521F3B" w:rsidP="00521F3B">
      <w:pPr>
        <w:spacing w:after="0" w:line="360" w:lineRule="auto"/>
        <w:jc w:val="both"/>
        <w:rPr>
          <w:rFonts w:ascii="Palatino Linotype" w:eastAsia="Calibri" w:hAnsi="Palatino Linotype" w:cs="Tahoma"/>
          <w:lang w:val="es-ES_tradnl"/>
        </w:rPr>
      </w:pPr>
    </w:p>
    <w:p w14:paraId="72B0A5A2" w14:textId="77777777" w:rsidR="00521F3B" w:rsidRDefault="00521F3B" w:rsidP="00521F3B">
      <w:pPr>
        <w:spacing w:after="0" w:line="360" w:lineRule="auto"/>
        <w:jc w:val="both"/>
        <w:rPr>
          <w:rFonts w:ascii="Palatino Linotype" w:eastAsia="Calibri" w:hAnsi="Palatino Linotype" w:cs="Tahoma"/>
          <w:lang w:val="es-ES_tradnl"/>
        </w:rPr>
      </w:pPr>
      <w:r>
        <w:rPr>
          <w:rFonts w:ascii="Palatino Linotype" w:eastAsia="Calibri" w:hAnsi="Palatino Linotype" w:cs="Tahoma"/>
          <w:lang w:val="es-ES_tradnl"/>
        </w:rPr>
        <w:t xml:space="preserve">Así, para cumplir cabalmente con la completitud exigida por la Constitución, se debe examinar con exhaustividad todas las cuestiones atinentes al proceso, a través de </w:t>
      </w:r>
      <w:r>
        <w:rPr>
          <w:rFonts w:ascii="Palatino Linotype" w:eastAsia="Calibri" w:hAnsi="Palatino Linotype" w:cs="Tahoma"/>
          <w:b/>
          <w:lang w:val="es-ES_tradnl"/>
        </w:rPr>
        <w:t>un examen acucioso, detenido, profundo,</w:t>
      </w:r>
      <w:r>
        <w:rPr>
          <w:rFonts w:ascii="Palatino Linotype" w:eastAsia="Calibri" w:hAnsi="Palatino Linotype" w:cs="Tahoma"/>
          <w:lang w:val="es-ES_tradnl"/>
        </w:rPr>
        <w:t xml:space="preserve"> al que no escape nada de lo que pueda ser significativo para encontrar la verdad sobre los hechos controvertidos, o de las posibilidades que ofrezca cada medio probatorio; lo cual, no aconteció pues a mi consideración, era necesario analizar las posibles causales del artículo 140 de la Ley de la materia, que se podían actualizar las observaciones en trámite.</w:t>
      </w:r>
    </w:p>
    <w:p w14:paraId="7DCF3E7F" w14:textId="77777777" w:rsidR="00521F3B" w:rsidRDefault="00521F3B" w:rsidP="00521F3B">
      <w:pPr>
        <w:spacing w:after="0" w:line="360" w:lineRule="auto"/>
        <w:jc w:val="both"/>
        <w:rPr>
          <w:rFonts w:ascii="Palatino Linotype" w:eastAsia="Calibri" w:hAnsi="Palatino Linotype" w:cs="Tahoma"/>
        </w:rPr>
      </w:pPr>
    </w:p>
    <w:p w14:paraId="129D77B7" w14:textId="77777777" w:rsidR="00521F3B" w:rsidRDefault="00521F3B" w:rsidP="00521F3B">
      <w:pPr>
        <w:spacing w:after="0" w:line="360" w:lineRule="auto"/>
        <w:jc w:val="both"/>
        <w:rPr>
          <w:rFonts w:ascii="Palatino Linotype" w:eastAsia="Calibri" w:hAnsi="Palatino Linotype" w:cs="Tahoma"/>
        </w:rPr>
      </w:pPr>
      <w:r>
        <w:rPr>
          <w:rFonts w:ascii="Palatino Linotype" w:eastAsia="Calibri" w:hAnsi="Palatino Linotype" w:cs="Tahoma"/>
        </w:rPr>
        <w:t>Además, se debió analizar en el estudio la prueba de daño que permite a este Organismo Garante que realizar la entrega de la información causa un daño al interés público, que en ese caso particular supera el derecho de acceso a la información de un particular.</w:t>
      </w:r>
    </w:p>
    <w:p w14:paraId="3E065869" w14:textId="77777777" w:rsidR="00521F3B" w:rsidRDefault="00521F3B" w:rsidP="00521F3B">
      <w:pPr>
        <w:autoSpaceDE w:val="0"/>
        <w:autoSpaceDN w:val="0"/>
        <w:adjustRightInd w:val="0"/>
        <w:spacing w:after="0" w:line="360" w:lineRule="auto"/>
        <w:ind w:right="49"/>
        <w:contextualSpacing/>
        <w:jc w:val="both"/>
        <w:rPr>
          <w:rFonts w:ascii="Palatino Linotype" w:eastAsia="Times New Roman" w:hAnsi="Palatino Linotype" w:cs="Arial"/>
          <w:lang w:eastAsia="es-ES"/>
        </w:rPr>
      </w:pPr>
    </w:p>
    <w:p w14:paraId="147A7F13" w14:textId="77777777" w:rsidR="00521F3B" w:rsidRDefault="00521F3B" w:rsidP="00521F3B">
      <w:pPr>
        <w:spacing w:after="0" w:line="360" w:lineRule="auto"/>
        <w:jc w:val="both"/>
        <w:rPr>
          <w:rFonts w:ascii="Palatino Linotype" w:eastAsia="Calibri" w:hAnsi="Palatino Linotype" w:cs="Tahoma"/>
        </w:rPr>
      </w:pPr>
      <w:r>
        <w:rPr>
          <w:rFonts w:ascii="Palatino Linotype" w:eastAsia="Calibri" w:hAnsi="Palatino Linotype" w:cs="Tahoma"/>
        </w:rPr>
        <w:t xml:space="preserve">Lo anterior en virtud de que, para que proceda o no la reserva; no basta con que se actualice el dispositivo normativo 140 de la Ley de la materia, sino que además es menester acreditar dicha prueba de daño, de conformidad con lo establecido en los artículos 128, 129 y 130 de la Ley de Transparencia y Acceso a la Información Pública del Estado de México y </w:t>
      </w:r>
      <w:r>
        <w:rPr>
          <w:rFonts w:ascii="Palatino Linotype" w:eastAsia="Calibri" w:hAnsi="Palatino Linotype" w:cs="Tahoma"/>
        </w:rPr>
        <w:lastRenderedPageBreak/>
        <w:t>Municipios, en relación con los Lineamientos generales en materia de clasificación y desclasificación de la información, así como para la elaboración de versiones públicas.</w:t>
      </w:r>
    </w:p>
    <w:p w14:paraId="2E3CEDAC" w14:textId="77777777" w:rsidR="00C74027" w:rsidRPr="00521F3B" w:rsidRDefault="00C74027" w:rsidP="00840110">
      <w:pPr>
        <w:autoSpaceDE w:val="0"/>
        <w:autoSpaceDN w:val="0"/>
        <w:adjustRightInd w:val="0"/>
        <w:spacing w:after="0" w:line="360" w:lineRule="auto"/>
        <w:ind w:right="49"/>
        <w:contextualSpacing/>
        <w:jc w:val="both"/>
        <w:rPr>
          <w:rFonts w:ascii="Palatino Linotype" w:eastAsia="Times New Roman" w:hAnsi="Palatino Linotype" w:cs="Arial"/>
          <w:kern w:val="0"/>
          <w:lang w:eastAsia="es-ES"/>
          <w14:ligatures w14:val="none"/>
        </w:rPr>
      </w:pPr>
    </w:p>
    <w:p w14:paraId="72769EA5" w14:textId="77777777" w:rsidR="00C74027" w:rsidRPr="002E5548" w:rsidRDefault="00C74027" w:rsidP="00840110">
      <w:pPr>
        <w:autoSpaceDE w:val="0"/>
        <w:autoSpaceDN w:val="0"/>
        <w:adjustRightInd w:val="0"/>
        <w:spacing w:after="0" w:line="360" w:lineRule="auto"/>
        <w:ind w:right="49"/>
        <w:contextualSpacing/>
        <w:jc w:val="both"/>
        <w:rPr>
          <w:rFonts w:ascii="Palatino Linotype" w:eastAsia="Times New Roman" w:hAnsi="Palatino Linotype" w:cs="Arial"/>
          <w:kern w:val="0"/>
          <w:lang w:val="es-ES" w:eastAsia="es-ES"/>
          <w14:ligatures w14:val="none"/>
        </w:rPr>
      </w:pPr>
      <w:r w:rsidRPr="002E5548">
        <w:rPr>
          <w:rFonts w:ascii="Palatino Linotype" w:eastAsia="Times New Roman" w:hAnsi="Palatino Linotype" w:cs="Arial"/>
          <w:kern w:val="0"/>
          <w:lang w:val="es-ES" w:eastAsia="es-ES"/>
          <w14:ligatures w14:val="none"/>
        </w:rPr>
        <w:t>Es importante hacer notar que para estar en condiciones de confirmar o revocar la clasificación de información como reservada a través del procedimiento señalado en los artículos antes citados, es necesario confirmar que la entrega de la información causaría un riesgo, real identificable y demostrable, ya que no basta con que la información actualice el supuesto de reserva del artículo 140, de la Ley de Transparencia de nuestra Entidad.</w:t>
      </w:r>
    </w:p>
    <w:p w14:paraId="4BB124DD" w14:textId="77777777" w:rsidR="00C74027" w:rsidRPr="002E5548" w:rsidRDefault="00C74027" w:rsidP="00840110">
      <w:pPr>
        <w:autoSpaceDE w:val="0"/>
        <w:autoSpaceDN w:val="0"/>
        <w:adjustRightInd w:val="0"/>
        <w:spacing w:after="0" w:line="360" w:lineRule="auto"/>
        <w:ind w:right="49"/>
        <w:contextualSpacing/>
        <w:jc w:val="both"/>
        <w:rPr>
          <w:rFonts w:ascii="Palatino Linotype" w:eastAsia="Times New Roman" w:hAnsi="Palatino Linotype" w:cs="Arial"/>
          <w:kern w:val="0"/>
          <w:lang w:val="es-ES" w:eastAsia="es-ES"/>
          <w14:ligatures w14:val="none"/>
        </w:rPr>
      </w:pPr>
    </w:p>
    <w:p w14:paraId="65E0151D" w14:textId="77777777" w:rsidR="00C74027" w:rsidRPr="002E5548" w:rsidRDefault="00C74027" w:rsidP="00840110">
      <w:pPr>
        <w:autoSpaceDE w:val="0"/>
        <w:autoSpaceDN w:val="0"/>
        <w:adjustRightInd w:val="0"/>
        <w:spacing w:after="0" w:line="360" w:lineRule="auto"/>
        <w:ind w:right="49"/>
        <w:contextualSpacing/>
        <w:jc w:val="both"/>
        <w:rPr>
          <w:rFonts w:ascii="Palatino Linotype" w:eastAsia="Times New Roman" w:hAnsi="Palatino Linotype" w:cs="Arial"/>
          <w:kern w:val="0"/>
          <w:lang w:val="es-ES" w:eastAsia="es-ES"/>
          <w14:ligatures w14:val="none"/>
        </w:rPr>
      </w:pPr>
      <w:r w:rsidRPr="002E5548">
        <w:rPr>
          <w:rFonts w:ascii="Palatino Linotype" w:eastAsia="Times New Roman" w:hAnsi="Palatino Linotype" w:cs="Arial"/>
          <w:kern w:val="0"/>
          <w:lang w:val="es-ES" w:eastAsia="es-ES"/>
          <w14:ligatures w14:val="none"/>
        </w:rPr>
        <w:t>Así, desde mi punto de vista, el derecho de acceso a la información encuentra límites en el propio texto constitucional y que, debido a ello, debe existir una armonización congruente con ese derecho fundamental con los principios rectores de la función del Sujeto Obligado, lo que encuentra sustento en las tesis jurisprudenciales emitidas por la Suprema Corte de Justicia de la Nación, que son del literal siguiente:</w:t>
      </w:r>
    </w:p>
    <w:p w14:paraId="6096E9C7" w14:textId="77777777" w:rsidR="00C74027" w:rsidRPr="002E5548" w:rsidRDefault="00C74027" w:rsidP="00840110">
      <w:pPr>
        <w:autoSpaceDE w:val="0"/>
        <w:autoSpaceDN w:val="0"/>
        <w:adjustRightInd w:val="0"/>
        <w:spacing w:after="0" w:line="360" w:lineRule="auto"/>
        <w:ind w:right="49"/>
        <w:contextualSpacing/>
        <w:jc w:val="both"/>
        <w:rPr>
          <w:rFonts w:ascii="Palatino Linotype" w:eastAsia="Times New Roman" w:hAnsi="Palatino Linotype" w:cs="Arial"/>
          <w:kern w:val="0"/>
          <w:lang w:val="es-ES" w:eastAsia="es-ES"/>
          <w14:ligatures w14:val="none"/>
        </w:rPr>
      </w:pPr>
    </w:p>
    <w:p w14:paraId="189354E2" w14:textId="77777777" w:rsidR="00C74027" w:rsidRPr="00026C13" w:rsidRDefault="00C74027" w:rsidP="00840110">
      <w:pPr>
        <w:autoSpaceDE w:val="0"/>
        <w:autoSpaceDN w:val="0"/>
        <w:adjustRightInd w:val="0"/>
        <w:spacing w:after="0" w:line="360" w:lineRule="auto"/>
        <w:ind w:left="851" w:right="616"/>
        <w:contextualSpacing/>
        <w:jc w:val="both"/>
        <w:rPr>
          <w:rFonts w:ascii="Palatino Linotype" w:hAnsi="Palatino Linotype"/>
          <w:i/>
          <w:kern w:val="0"/>
          <w:sz w:val="20"/>
          <w:szCs w:val="20"/>
          <w:lang w:val="es-ES"/>
          <w14:ligatures w14:val="none"/>
        </w:rPr>
      </w:pPr>
      <w:r w:rsidRPr="00026C13">
        <w:rPr>
          <w:rFonts w:ascii="Palatino Linotype" w:hAnsi="Palatino Linotype"/>
          <w:b/>
          <w:i/>
          <w:kern w:val="0"/>
          <w:sz w:val="20"/>
          <w:szCs w:val="20"/>
          <w:lang w:val="es-ES"/>
          <w14:ligatures w14:val="none"/>
        </w:rPr>
        <w:t>“DERECHO A LA INFORMACIÓN. SU EJERCICIO SE ENCUENTRA LIMITADO TANTO POR LOS INTERESES NACIONALES Y DE LA SOCIEDAD, COMO POR LOS DERECHOS DE TERCEROS.</w:t>
      </w:r>
      <w:r w:rsidRPr="00026C13">
        <w:rPr>
          <w:rFonts w:ascii="Palatino Linotype" w:hAnsi="Palatino Linotype"/>
          <w:i/>
          <w:kern w:val="0"/>
          <w:sz w:val="20"/>
          <w:szCs w:val="20"/>
          <w:lang w:val="es-ES"/>
          <w14:ligatures w14:val="none"/>
        </w:rPr>
        <w:t xml:space="preserve"> El derecho a la información consagrado en la última parte del artículo 6o. de la Constitución Federal no es absoluto, sino que, como toda garantía, se halla sujeto a limitaciones o excepciones que se sustentan, fundamentalmente, en la protección de la seguridad nacional y en el respeto tanto a los intereses de la sociedad como a los derechos de los gobernados, limitaciones que, incluso, han dado origen a la figura jurídica del secreto de información que se conoce en la doctrina como "reserva de información" o "secreto burocrático". En estas condiciones, al encontrarse obligado el Estado, como sujeto pasivo de la citada garantía, a velar por dichos intereses, con apego a las normas constitucionales y legales, el mencionado derecho no puede ser garantizado indiscriminadamente, sino que el respeto a su ejercicio encuentra excepciones que lo regulan y a su vez lo garantizan, en atención a la materia a que se refiera; así, en cuanto a la seguridad </w:t>
      </w:r>
      <w:r w:rsidRPr="00026C13">
        <w:rPr>
          <w:rFonts w:ascii="Palatino Linotype" w:hAnsi="Palatino Linotype"/>
          <w:i/>
          <w:kern w:val="0"/>
          <w:sz w:val="20"/>
          <w:szCs w:val="20"/>
          <w:lang w:val="es-ES"/>
          <w14:ligatures w14:val="none"/>
        </w:rPr>
        <w:lastRenderedPageBreak/>
        <w:t>nacional, se tienen normas que, por un lado, restringen el acceso a la información en esta materia, en razón de que su conocimiento público puede generar daños a los intereses nacionales y, por el otro, sancionan la inobservancia de esa reserva; por lo que hace al interés social, se cuenta con normas que tienden a proteger la averiguación de los delitos, la salud y la moral públicas, mientras que por lo que respecta a la protección de la persona existen normas que protegen el derecho a la vida o a la privacidad de los gobernados.”</w:t>
      </w:r>
    </w:p>
    <w:p w14:paraId="672C108E" w14:textId="77777777" w:rsidR="00C74027" w:rsidRPr="00026C13" w:rsidRDefault="00C74027" w:rsidP="00840110">
      <w:pPr>
        <w:autoSpaceDE w:val="0"/>
        <w:autoSpaceDN w:val="0"/>
        <w:adjustRightInd w:val="0"/>
        <w:spacing w:after="0" w:line="360" w:lineRule="auto"/>
        <w:ind w:left="851" w:right="616"/>
        <w:contextualSpacing/>
        <w:jc w:val="both"/>
        <w:rPr>
          <w:rFonts w:ascii="Palatino Linotype" w:hAnsi="Palatino Linotype"/>
          <w:b/>
          <w:i/>
          <w:kern w:val="0"/>
          <w:sz w:val="20"/>
          <w:szCs w:val="20"/>
          <w:lang w:val="es-ES"/>
          <w14:ligatures w14:val="none"/>
        </w:rPr>
      </w:pPr>
    </w:p>
    <w:p w14:paraId="2084091B" w14:textId="77777777" w:rsidR="00C74027" w:rsidRPr="00026C13" w:rsidRDefault="00C74027" w:rsidP="00840110">
      <w:pPr>
        <w:autoSpaceDE w:val="0"/>
        <w:autoSpaceDN w:val="0"/>
        <w:adjustRightInd w:val="0"/>
        <w:spacing w:after="0" w:line="360" w:lineRule="auto"/>
        <w:ind w:left="851" w:right="616"/>
        <w:contextualSpacing/>
        <w:jc w:val="both"/>
        <w:rPr>
          <w:rFonts w:ascii="Palatino Linotype" w:hAnsi="Palatino Linotype"/>
          <w:i/>
          <w:kern w:val="0"/>
          <w:sz w:val="20"/>
          <w:szCs w:val="20"/>
          <w:lang w:val="es-ES"/>
          <w14:ligatures w14:val="none"/>
        </w:rPr>
      </w:pPr>
      <w:r w:rsidRPr="00026C13">
        <w:rPr>
          <w:rFonts w:ascii="Palatino Linotype" w:hAnsi="Palatino Linotype"/>
          <w:b/>
          <w:i/>
          <w:kern w:val="0"/>
          <w:sz w:val="20"/>
          <w:szCs w:val="20"/>
          <w:lang w:val="es-ES"/>
          <w14:ligatures w14:val="none"/>
        </w:rPr>
        <w:t>“TRANSPARENCIA Y ACCESO A LA INFORMACIÓN PÚBLICA GUBERNAMENTAL. EL ARTÍCULO 14, FRACCIÓN I, DE LA LEY FEDERAL RELATIVA, NO VIOLA LA GARANTÍA DE ACCESO A LA INFORMACIÓN.</w:t>
      </w:r>
      <w:r w:rsidRPr="00026C13">
        <w:rPr>
          <w:rFonts w:ascii="Palatino Linotype" w:hAnsi="Palatino Linotype"/>
          <w:i/>
          <w:kern w:val="0"/>
          <w:sz w:val="20"/>
          <w:szCs w:val="20"/>
          <w:lang w:val="es-ES"/>
          <w14:ligatures w14:val="none"/>
        </w:rPr>
        <w:t xml:space="preserve"> El Tribunal en Pleno de la Suprema Corte de Justicia de la Nación en la tesis P. LX/2000 de rubro: "DERECHO A LA INFORMACIÓN. SU EJERCICIO SE ENCUENTRA LIMITADO TANTO POR LOS INTERESES NACIONALES Y DE LA SOCIEDAD, COMO POR LOS DERECHOS DE TERCEROS.", publicada en el Semanario Judicial de la Federación y su Gaceta, Novena Época, Tomo XI, abril de 2000, página 74, estableció que el ejercicio del derecho a la información no es irrestricto, sino que tiene límites que se sustentan en la protección de la seguridad nacional y en el respeto a los intereses de la sociedad y a los derechos de los gobernados, en atención a la materia de que se trate. En ese sentido, el citado precepto, al remitir a diversas normas ordinarias que establezcan restricciones a la información, no viola la garantía de acceso a la información contenida en el artículo 6o. de la Constitución Política de los Estados Unidos Mexicanos, porque es jurídicamente adecuado que en las leyes reguladoras de cada materia, </w:t>
      </w:r>
      <w:r w:rsidRPr="00026C13">
        <w:rPr>
          <w:rFonts w:ascii="Palatino Linotype" w:hAnsi="Palatino Linotype"/>
          <w:b/>
          <w:i/>
          <w:kern w:val="0"/>
          <w:sz w:val="20"/>
          <w:szCs w:val="20"/>
          <w:lang w:val="es-ES"/>
          <w14:ligatures w14:val="none"/>
        </w:rPr>
        <w:t>el legislador federal o local establezca las restricciones correspondientes y clasifique a determinados datos como confidenciales o reservados, con la condición de que tales límites atiendan a intereses públicos o de los particulares y encuentren justificación racional en función del bien jurídico a proteger, es decir, que exista proporcionalidad y congruencia entre el derecho fundamental de que se trata y la razón que motive la restricción legislativa correspondiente,</w:t>
      </w:r>
      <w:r w:rsidRPr="00026C13">
        <w:rPr>
          <w:rFonts w:ascii="Palatino Linotype" w:hAnsi="Palatino Linotype"/>
          <w:i/>
          <w:kern w:val="0"/>
          <w:sz w:val="20"/>
          <w:szCs w:val="20"/>
          <w:lang w:val="es-ES"/>
          <w14:ligatures w14:val="none"/>
        </w:rPr>
        <w:t xml:space="preserve"> la cual debe ser adecuada y necesaria para alcanzar el fin perseguido, de manera que las ventajas obtenidas con la reserva compensen el </w:t>
      </w:r>
      <w:r w:rsidRPr="00026C13">
        <w:rPr>
          <w:rFonts w:ascii="Palatino Linotype" w:hAnsi="Palatino Linotype"/>
          <w:i/>
          <w:kern w:val="0"/>
          <w:sz w:val="20"/>
          <w:szCs w:val="20"/>
          <w:lang w:val="es-ES"/>
          <w14:ligatures w14:val="none"/>
        </w:rPr>
        <w:lastRenderedPageBreak/>
        <w:t>sacrificio que ésta implique para los titulares de la garantía individual mencionada o para la sociedad en general.”</w:t>
      </w:r>
    </w:p>
    <w:p w14:paraId="045E0B68" w14:textId="77777777" w:rsidR="00C74027" w:rsidRPr="002E5548" w:rsidRDefault="00C74027" w:rsidP="00840110">
      <w:pPr>
        <w:autoSpaceDE w:val="0"/>
        <w:autoSpaceDN w:val="0"/>
        <w:adjustRightInd w:val="0"/>
        <w:spacing w:after="0" w:line="360" w:lineRule="auto"/>
        <w:ind w:left="851" w:right="616"/>
        <w:contextualSpacing/>
        <w:jc w:val="both"/>
        <w:rPr>
          <w:rFonts w:ascii="Palatino Linotype" w:hAnsi="Palatino Linotype"/>
          <w:i/>
          <w:kern w:val="0"/>
          <w:lang w:val="es-ES"/>
          <w14:ligatures w14:val="none"/>
        </w:rPr>
      </w:pPr>
    </w:p>
    <w:bookmarkEnd w:id="0"/>
    <w:p w14:paraId="26E849E8" w14:textId="2840E827" w:rsidR="00C74027" w:rsidRPr="002E5548" w:rsidRDefault="00C74027" w:rsidP="00840110">
      <w:pPr>
        <w:spacing w:after="0" w:line="360" w:lineRule="auto"/>
        <w:contextualSpacing/>
        <w:jc w:val="both"/>
        <w:rPr>
          <w:rFonts w:ascii="Palatino Linotype" w:hAnsi="Palatino Linotype" w:cs="Tahoma"/>
          <w:kern w:val="0"/>
          <w:lang w:val="es-ES"/>
          <w14:ligatures w14:val="none"/>
        </w:rPr>
      </w:pPr>
      <w:r w:rsidRPr="002E5548">
        <w:rPr>
          <w:rFonts w:ascii="Palatino Linotype" w:hAnsi="Palatino Linotype" w:cs="Tahoma"/>
          <w:kern w:val="0"/>
          <w:lang w:val="es-ES"/>
          <w14:ligatures w14:val="none"/>
        </w:rPr>
        <w:t xml:space="preserve">Con base en lo anterior, es posible advertir que existen elementos suficientes para que, en cada recurso de revisión que se analice, se acredite la respectiva prueba de daño, por lo que hace a la reserva de la información, pues ello abona a lo resuelto por el </w:t>
      </w:r>
      <w:r w:rsidR="00026C13">
        <w:rPr>
          <w:rFonts w:ascii="Palatino Linotype" w:hAnsi="Palatino Linotype" w:cs="Tahoma"/>
          <w:kern w:val="0"/>
          <w:lang w:val="es-ES"/>
          <w14:ligatures w14:val="none"/>
        </w:rPr>
        <w:t xml:space="preserve">entonces </w:t>
      </w:r>
      <w:r w:rsidRPr="002E5548">
        <w:rPr>
          <w:rFonts w:ascii="Palatino Linotype" w:hAnsi="Palatino Linotype" w:cs="Tahoma"/>
          <w:kern w:val="0"/>
          <w:lang w:val="es-ES"/>
          <w14:ligatures w14:val="none"/>
        </w:rPr>
        <w:t xml:space="preserve">Instituto Nacional de Transparencia, Acceso a la Información Pública y Protección de Datos Personales, en los Recursos de Inconformidad con número </w:t>
      </w:r>
      <w:r w:rsidRPr="002E5548">
        <w:rPr>
          <w:rFonts w:ascii="Palatino Linotype" w:hAnsi="Palatino Linotype" w:cs="Tahoma"/>
          <w:b/>
          <w:kern w:val="0"/>
          <w:lang w:val="es-ES"/>
          <w14:ligatures w14:val="none"/>
        </w:rPr>
        <w:t>RIA 0118/18, RIA 0124/19 y RIA 0118/19</w:t>
      </w:r>
      <w:r w:rsidRPr="002E5548">
        <w:rPr>
          <w:rFonts w:ascii="Palatino Linotype" w:hAnsi="Palatino Linotype" w:cs="Tahoma"/>
          <w:kern w:val="0"/>
          <w:lang w:val="es-ES"/>
          <w14:ligatures w14:val="none"/>
        </w:rPr>
        <w:t>, en donde se precisó que este Organismo Garante no debe ceñirse únicamente a verificar cuestiones de forma, sino también argumentar por qué la información solicitada se adecua o no a la o las hipótesis señaladas.</w:t>
      </w:r>
    </w:p>
    <w:p w14:paraId="38681ACE" w14:textId="77777777" w:rsidR="00C74027" w:rsidRPr="003D6AF6" w:rsidRDefault="00C74027" w:rsidP="00840110">
      <w:pPr>
        <w:spacing w:after="0" w:line="360" w:lineRule="auto"/>
        <w:contextualSpacing/>
        <w:jc w:val="both"/>
        <w:rPr>
          <w:rFonts w:ascii="Palatino Linotype" w:hAnsi="Palatino Linotype" w:cs="Tahoma"/>
          <w:color w:val="FF0000"/>
          <w:kern w:val="0"/>
          <w:lang w:val="es-ES"/>
          <w14:ligatures w14:val="none"/>
        </w:rPr>
      </w:pPr>
    </w:p>
    <w:p w14:paraId="0CD91C4B" w14:textId="77CB28C8" w:rsidR="00C74027" w:rsidRPr="002E5548" w:rsidRDefault="00C74027" w:rsidP="00840110">
      <w:pPr>
        <w:spacing w:after="0" w:line="360" w:lineRule="auto"/>
        <w:contextualSpacing/>
        <w:jc w:val="both"/>
        <w:rPr>
          <w:rFonts w:ascii="Palatino Linotype" w:hAnsi="Palatino Linotype" w:cs="Tahoma"/>
          <w:kern w:val="0"/>
          <w:lang w:val="es-ES"/>
          <w14:ligatures w14:val="none"/>
        </w:rPr>
      </w:pPr>
      <w:r w:rsidRPr="002E5548">
        <w:rPr>
          <w:rFonts w:ascii="Palatino Linotype" w:hAnsi="Palatino Linotype" w:cs="Tahoma"/>
          <w:kern w:val="0"/>
          <w:lang w:val="es-ES"/>
          <w14:ligatures w14:val="none"/>
        </w:rPr>
        <w:t xml:space="preserve">También, el Juicio de Amparo Indirecto 1232/2017 resuelto por el Juzgado Cuarto de Distrito en Materia Administrativa en la Ciudad de México, cuya síntesis se expone en el libro Casos Paradigmáticos (Esquivel, Yasmin, et al. P. (2021), Casos Paradigmáticos del </w:t>
      </w:r>
      <w:r w:rsidR="00696CE5">
        <w:rPr>
          <w:rFonts w:ascii="Palatino Linotype" w:hAnsi="Palatino Linotype" w:cs="Tahoma"/>
          <w:kern w:val="0"/>
          <w:lang w:val="es-ES"/>
          <w14:ligatures w14:val="none"/>
        </w:rPr>
        <w:t>Ayuntamiento de Teoloyucan</w:t>
      </w:r>
      <w:r w:rsidRPr="002E5548">
        <w:rPr>
          <w:rFonts w:ascii="Palatino Linotype" w:hAnsi="Palatino Linotype" w:cs="Tahoma"/>
          <w:kern w:val="0"/>
          <w:lang w:val="es-ES"/>
          <w14:ligatures w14:val="none"/>
        </w:rPr>
        <w:t xml:space="preserve"> de la Federación en materia de acceso a la información y protección de datos personales, INAI, pp. 45 a 61 ), en donde grosso modo se expone que se concedió el amparo y protección de la justicia al quejoso por un recurso de revisión resuelto por el INAI en donde destaca la necesidad de que el Organismo Garante Nacional acredite la prueba de daño para la reserva de información bajo los argumentos siguientes:</w:t>
      </w:r>
    </w:p>
    <w:p w14:paraId="001F195B" w14:textId="77777777" w:rsidR="00C74027" w:rsidRPr="002E5548" w:rsidRDefault="00C74027" w:rsidP="00840110">
      <w:pPr>
        <w:spacing w:after="0" w:line="360" w:lineRule="auto"/>
        <w:contextualSpacing/>
        <w:jc w:val="both"/>
        <w:rPr>
          <w:rFonts w:ascii="Palatino Linotype" w:eastAsia="Calibri" w:hAnsi="Palatino Linotype" w:cs="Tahoma"/>
          <w:kern w:val="0"/>
          <w:lang w:val="es-ES"/>
          <w14:ligatures w14:val="none"/>
        </w:rPr>
      </w:pPr>
    </w:p>
    <w:p w14:paraId="441C5CB3" w14:textId="77777777" w:rsidR="00C74027" w:rsidRPr="002E5548" w:rsidRDefault="00C74027" w:rsidP="00840110">
      <w:pPr>
        <w:numPr>
          <w:ilvl w:val="0"/>
          <w:numId w:val="1"/>
        </w:numPr>
        <w:spacing w:after="0" w:line="360" w:lineRule="auto"/>
        <w:contextualSpacing/>
        <w:jc w:val="both"/>
        <w:rPr>
          <w:rFonts w:ascii="Palatino Linotype" w:eastAsia="Calibri" w:hAnsi="Palatino Linotype" w:cs="Tahoma"/>
          <w:kern w:val="0"/>
          <w:lang w:val="es-ES"/>
          <w14:ligatures w14:val="none"/>
        </w:rPr>
      </w:pPr>
      <w:r w:rsidRPr="002E5548">
        <w:rPr>
          <w:rFonts w:ascii="Palatino Linotype" w:eastAsia="Calibri" w:hAnsi="Palatino Linotype" w:cs="Tahoma"/>
          <w:kern w:val="0"/>
          <w:lang w:val="es-ES"/>
          <w14:ligatures w14:val="none"/>
        </w:rPr>
        <w:t xml:space="preserve">(…) </w:t>
      </w:r>
      <w:r w:rsidRPr="002E5548">
        <w:rPr>
          <w:rFonts w:ascii="Palatino Linotype" w:eastAsia="Calibri" w:hAnsi="Palatino Linotype" w:cs="Tahoma"/>
          <w:bCs/>
          <w:kern w:val="0"/>
          <w:lang w:val="es-ES"/>
          <w14:ligatures w14:val="none"/>
        </w:rPr>
        <w:t>el hecho de que se solicitara información relacionada o inmersa en una investigación</w:t>
      </w:r>
      <w:r w:rsidRPr="002E5548">
        <w:rPr>
          <w:rFonts w:ascii="Palatino Linotype" w:eastAsia="Calibri" w:hAnsi="Palatino Linotype" w:cs="Tahoma"/>
          <w:kern w:val="0"/>
          <w:lang w:val="es-ES"/>
          <w14:ligatures w14:val="none"/>
        </w:rPr>
        <w:t xml:space="preserve"> ministerial no genera, por sí misma, que tenga el carácter de reservada por obstaculizar una investigación ministerial, sino que es necesario que la reserva se funde y motive mediante una prueba de daño.</w:t>
      </w:r>
    </w:p>
    <w:p w14:paraId="0F1D120D" w14:textId="77777777" w:rsidR="00C74027" w:rsidRPr="002E5548" w:rsidRDefault="00C74027" w:rsidP="00840110">
      <w:pPr>
        <w:spacing w:after="0" w:line="360" w:lineRule="auto"/>
        <w:contextualSpacing/>
        <w:jc w:val="both"/>
        <w:rPr>
          <w:rFonts w:ascii="Palatino Linotype" w:eastAsia="Calibri" w:hAnsi="Palatino Linotype" w:cs="Tahoma"/>
          <w:kern w:val="0"/>
          <w:lang w:val="es-ES"/>
          <w14:ligatures w14:val="none"/>
        </w:rPr>
      </w:pPr>
    </w:p>
    <w:p w14:paraId="694A4879" w14:textId="77777777" w:rsidR="00C74027" w:rsidRPr="002E5548" w:rsidRDefault="00C74027" w:rsidP="00840110">
      <w:pPr>
        <w:numPr>
          <w:ilvl w:val="0"/>
          <w:numId w:val="1"/>
        </w:numPr>
        <w:spacing w:after="0" w:line="360" w:lineRule="auto"/>
        <w:contextualSpacing/>
        <w:jc w:val="both"/>
        <w:rPr>
          <w:rFonts w:ascii="Palatino Linotype" w:eastAsia="Calibri" w:hAnsi="Palatino Linotype" w:cs="Tahoma"/>
          <w:kern w:val="0"/>
          <w:lang w:val="es-ES"/>
          <w14:ligatures w14:val="none"/>
        </w:rPr>
      </w:pPr>
      <w:r w:rsidRPr="002E5548">
        <w:rPr>
          <w:rFonts w:ascii="Palatino Linotype" w:eastAsia="Calibri" w:hAnsi="Palatino Linotype" w:cs="Tahoma"/>
          <w:kern w:val="0"/>
          <w:lang w:val="es-ES"/>
          <w14:ligatures w14:val="none"/>
        </w:rPr>
        <w:lastRenderedPageBreak/>
        <w:t xml:space="preserve">(…) en la sentencia se sostuvo que el </w:t>
      </w:r>
      <w:r w:rsidRPr="002E5548">
        <w:rPr>
          <w:rFonts w:ascii="Palatino Linotype" w:eastAsia="Calibri" w:hAnsi="Palatino Linotype" w:cs="Tahoma"/>
          <w:b/>
          <w:bCs/>
          <w:kern w:val="0"/>
          <w:u w:val="single"/>
          <w:lang w:val="es-ES"/>
          <w14:ligatures w14:val="none"/>
        </w:rPr>
        <w:t>INAI no había justificado debidamente la ponderación entre los intereses en conflicto al correr la prueba de daño</w:t>
      </w:r>
      <w:r w:rsidRPr="002E5548">
        <w:rPr>
          <w:rFonts w:ascii="Palatino Linotype" w:eastAsia="Calibri" w:hAnsi="Palatino Linotype" w:cs="Tahoma"/>
          <w:kern w:val="0"/>
          <w:lang w:val="es-ES"/>
          <w14:ligatures w14:val="none"/>
        </w:rPr>
        <w:t>, pues si bien era cierto que existía un interés público en la protección de la actividad persecutoria de delitos, había soslayado la relevancia y trascendencia social del fenómeno relativo al descubrimiento de fosas clandestinas, al no observar el contexto y origen de la información solicitada.</w:t>
      </w:r>
    </w:p>
    <w:p w14:paraId="61CB3C4C" w14:textId="77777777" w:rsidR="00C74027" w:rsidRPr="002E5548" w:rsidRDefault="00C74027" w:rsidP="00840110">
      <w:pPr>
        <w:spacing w:after="0" w:line="360" w:lineRule="auto"/>
        <w:contextualSpacing/>
        <w:jc w:val="both"/>
        <w:rPr>
          <w:rFonts w:ascii="Palatino Linotype" w:eastAsia="Calibri" w:hAnsi="Palatino Linotype" w:cs="Tahoma"/>
          <w:kern w:val="0"/>
          <w:lang w:val="es-ES"/>
          <w14:ligatures w14:val="none"/>
        </w:rPr>
      </w:pPr>
    </w:p>
    <w:p w14:paraId="4CD5107E" w14:textId="77777777" w:rsidR="00C74027" w:rsidRPr="002E5548" w:rsidRDefault="00C74027" w:rsidP="00840110">
      <w:pPr>
        <w:numPr>
          <w:ilvl w:val="0"/>
          <w:numId w:val="1"/>
        </w:numPr>
        <w:spacing w:after="0" w:line="360" w:lineRule="auto"/>
        <w:contextualSpacing/>
        <w:jc w:val="both"/>
        <w:rPr>
          <w:rFonts w:ascii="Palatino Linotype" w:eastAsia="Calibri" w:hAnsi="Palatino Linotype" w:cs="Tahoma"/>
          <w:kern w:val="0"/>
          <w:lang w:val="es-ES"/>
          <w14:ligatures w14:val="none"/>
        </w:rPr>
      </w:pPr>
      <w:r w:rsidRPr="002E5548">
        <w:rPr>
          <w:rFonts w:ascii="Palatino Linotype" w:eastAsia="Calibri" w:hAnsi="Palatino Linotype" w:cs="Tahoma"/>
          <w:kern w:val="0"/>
          <w:lang w:val="es-ES"/>
          <w14:ligatures w14:val="none"/>
        </w:rPr>
        <w:t>(…) le fue concedido el amparo a la parte quejosa para el efecto de que el instituto garante responsable dejara insubsistente la resolución impugnada y dictara una nueva en el sentido de que: a) se considerara que no se satisfacen todos los elementos establecidos en el lineamiento Vigésimo Sexto de Lineamientos Generales en materia de clasificación y desclasificación de la información, así como para la elaboración de versiones públicas.</w:t>
      </w:r>
    </w:p>
    <w:p w14:paraId="24E6864B" w14:textId="77777777" w:rsidR="00C74027" w:rsidRPr="002E5548" w:rsidRDefault="00C74027" w:rsidP="00840110">
      <w:pPr>
        <w:spacing w:after="0" w:line="360" w:lineRule="auto"/>
        <w:contextualSpacing/>
        <w:jc w:val="both"/>
        <w:rPr>
          <w:rFonts w:ascii="Palatino Linotype" w:eastAsia="Calibri" w:hAnsi="Palatino Linotype" w:cs="Tahoma"/>
          <w:kern w:val="0"/>
          <w:lang w:val="es-ES"/>
          <w14:ligatures w14:val="none"/>
        </w:rPr>
      </w:pPr>
    </w:p>
    <w:p w14:paraId="3ABAC0E4" w14:textId="77777777" w:rsidR="00C74027" w:rsidRPr="002E5548" w:rsidRDefault="00C74027" w:rsidP="00840110">
      <w:pPr>
        <w:spacing w:after="0" w:line="360" w:lineRule="auto"/>
        <w:contextualSpacing/>
        <w:jc w:val="both"/>
        <w:rPr>
          <w:rFonts w:ascii="Palatino Linotype" w:eastAsia="Calibri" w:hAnsi="Palatino Linotype" w:cs="Tahoma"/>
          <w:kern w:val="0"/>
          <w:lang w:val="es-ES"/>
          <w14:ligatures w14:val="none"/>
        </w:rPr>
      </w:pPr>
      <w:r w:rsidRPr="002E5548">
        <w:rPr>
          <w:rFonts w:ascii="Palatino Linotype" w:eastAsia="Calibri" w:hAnsi="Palatino Linotype" w:cs="Tahoma"/>
          <w:kern w:val="0"/>
          <w:lang w:val="es-ES"/>
          <w14:ligatures w14:val="none"/>
        </w:rPr>
        <w:t>Aún más, al resolverse la impugnación que interpuso el Instituto Nacional de Transparencia, Acceso a la Información y Protección de Datos Personales,  en términos del artículo 81, inciso e) de la Ley de Amparo, que primero fue turnada al Vigésimo Primer Tribunal Colegiado en Materia del Primer Circuito, bajo el número de expediente 192/2018, mismo que fue atraído por la Suprema Corte de Justicia, determinó que:</w:t>
      </w:r>
    </w:p>
    <w:p w14:paraId="2986B5E8" w14:textId="77777777" w:rsidR="00C74027" w:rsidRPr="003D6AF6" w:rsidRDefault="00C74027" w:rsidP="00840110">
      <w:pPr>
        <w:spacing w:after="0" w:line="360" w:lineRule="auto"/>
        <w:contextualSpacing/>
        <w:jc w:val="both"/>
        <w:rPr>
          <w:rFonts w:ascii="Palatino Linotype" w:eastAsia="Calibri" w:hAnsi="Palatino Linotype" w:cs="Tahoma"/>
          <w:color w:val="FF0000"/>
          <w:kern w:val="0"/>
          <w:lang w:val="es-ES"/>
          <w14:ligatures w14:val="none"/>
        </w:rPr>
      </w:pPr>
    </w:p>
    <w:p w14:paraId="2FFD5F45" w14:textId="77777777" w:rsidR="00C74027" w:rsidRPr="002E5548" w:rsidRDefault="00C74027" w:rsidP="00840110">
      <w:pPr>
        <w:numPr>
          <w:ilvl w:val="0"/>
          <w:numId w:val="2"/>
        </w:numPr>
        <w:spacing w:after="0" w:line="360" w:lineRule="auto"/>
        <w:contextualSpacing/>
        <w:jc w:val="both"/>
        <w:rPr>
          <w:rFonts w:ascii="Palatino Linotype" w:eastAsia="Calibri" w:hAnsi="Palatino Linotype" w:cs="Tahoma"/>
          <w:kern w:val="0"/>
          <w:lang w:val="es-ES"/>
          <w14:ligatures w14:val="none"/>
        </w:rPr>
      </w:pPr>
      <w:r w:rsidRPr="002E5548">
        <w:rPr>
          <w:rFonts w:ascii="Palatino Linotype" w:eastAsia="Calibri" w:hAnsi="Palatino Linotype" w:cs="Tahoma"/>
          <w:kern w:val="0"/>
          <w:lang w:val="es-ES"/>
          <w14:ligatures w14:val="none"/>
        </w:rPr>
        <w:t>Este ejercicio hermenéutico parte de la premisa de que la causa de reserva de información prevista en la fracción VII del artículo 110 de la Ley Federal no debe interpretarse de manera aislada, sino que ha de hacerse en función de diversos artículos, como lo son aquellos que regulan la prueba de daño, las versiones públicas y las obligaciones de transparencia.</w:t>
      </w:r>
    </w:p>
    <w:p w14:paraId="263CB9AD" w14:textId="77777777" w:rsidR="00C74027" w:rsidRPr="002E5548" w:rsidRDefault="00C74027" w:rsidP="00840110">
      <w:pPr>
        <w:spacing w:after="0" w:line="360" w:lineRule="auto"/>
        <w:contextualSpacing/>
        <w:jc w:val="both"/>
        <w:rPr>
          <w:rFonts w:ascii="Palatino Linotype" w:eastAsia="Calibri" w:hAnsi="Palatino Linotype" w:cs="Tahoma"/>
          <w:kern w:val="0"/>
          <w:lang w:val="es-ES"/>
          <w14:ligatures w14:val="none"/>
        </w:rPr>
      </w:pPr>
    </w:p>
    <w:p w14:paraId="02ABF300" w14:textId="77777777" w:rsidR="00C74027" w:rsidRPr="002E5548" w:rsidRDefault="00C74027" w:rsidP="00840110">
      <w:pPr>
        <w:numPr>
          <w:ilvl w:val="0"/>
          <w:numId w:val="2"/>
        </w:numPr>
        <w:spacing w:after="0" w:line="360" w:lineRule="auto"/>
        <w:contextualSpacing/>
        <w:jc w:val="both"/>
        <w:rPr>
          <w:rFonts w:ascii="Palatino Linotype" w:eastAsia="Calibri" w:hAnsi="Palatino Linotype" w:cs="Tahoma"/>
          <w:b/>
          <w:bCs/>
          <w:kern w:val="0"/>
          <w:u w:val="single"/>
          <w:lang w:val="es-ES"/>
          <w14:ligatures w14:val="none"/>
        </w:rPr>
      </w:pPr>
      <w:r w:rsidRPr="002E5548">
        <w:rPr>
          <w:rFonts w:ascii="Palatino Linotype" w:eastAsia="Calibri" w:hAnsi="Palatino Linotype" w:cs="Tahoma"/>
          <w:b/>
          <w:bCs/>
          <w:kern w:val="0"/>
          <w:u w:val="single"/>
          <w:lang w:val="es-ES"/>
          <w14:ligatures w14:val="none"/>
        </w:rPr>
        <w:lastRenderedPageBreak/>
        <w:t>Así, todas aquellas autoridades a las que se les solicita deberían considerarse a sí mismas como si fueran la última oportunidad que tiene un ciudadano para acceder a la información pública; es decir, como si la respuesta que dieran a la solicitud de acceso a la información no pudiera ser revisable y solamente dependiera de ellos que la información pública sea transparente. Esto le traería como beneficio al gobernado que su solicitud de acceso a la información quedara satisfecha en sede administrativa, sin verse en la necesidad de acudir a otras instancias, de tal suerte que se dilate el tiempo en el que verá satisfecho el ejercicio de su derecho.</w:t>
      </w:r>
    </w:p>
    <w:p w14:paraId="1995EF9D" w14:textId="77777777" w:rsidR="00C74027" w:rsidRPr="002E5548" w:rsidRDefault="00C74027" w:rsidP="00840110">
      <w:pPr>
        <w:spacing w:after="0" w:line="360" w:lineRule="auto"/>
        <w:contextualSpacing/>
        <w:jc w:val="both"/>
        <w:rPr>
          <w:rFonts w:ascii="Palatino Linotype" w:eastAsia="Calibri" w:hAnsi="Palatino Linotype" w:cs="Tahoma"/>
          <w:kern w:val="0"/>
          <w:lang w:val="es-ES"/>
          <w14:ligatures w14:val="none"/>
        </w:rPr>
      </w:pPr>
    </w:p>
    <w:p w14:paraId="28161EC0" w14:textId="77777777" w:rsidR="00C74027" w:rsidRPr="002E5548" w:rsidRDefault="00C74027" w:rsidP="00840110">
      <w:pPr>
        <w:spacing w:after="0" w:line="360" w:lineRule="auto"/>
        <w:contextualSpacing/>
        <w:jc w:val="both"/>
        <w:rPr>
          <w:rFonts w:ascii="Palatino Linotype" w:eastAsia="Calibri" w:hAnsi="Palatino Linotype" w:cs="Tahoma"/>
          <w:kern w:val="0"/>
          <w:lang w:val="es-ES"/>
          <w14:ligatures w14:val="none"/>
        </w:rPr>
      </w:pPr>
      <w:r w:rsidRPr="002E5548">
        <w:rPr>
          <w:rFonts w:ascii="Palatino Linotype" w:eastAsia="Calibri" w:hAnsi="Palatino Linotype" w:cs="Tahoma"/>
          <w:kern w:val="0"/>
          <w:lang w:val="es-ES"/>
          <w14:ligatures w14:val="none"/>
        </w:rPr>
        <w:t>De acuerdo con lo ya señalado por la Corte, si bien, no existe disposición que de manera textual determine que los Organismos Garantes tienen atribuciones para hacer la prueba de daño, no es posible que ninguna instancia involucrada en garantizar el derecho humano de acceso a la información, reserve información sin analizar la prueba de daño.</w:t>
      </w:r>
    </w:p>
    <w:p w14:paraId="73A66584" w14:textId="77777777" w:rsidR="00C74027" w:rsidRPr="002E5548" w:rsidRDefault="00C74027" w:rsidP="00840110">
      <w:pPr>
        <w:spacing w:after="0" w:line="360" w:lineRule="auto"/>
        <w:contextualSpacing/>
        <w:jc w:val="both"/>
        <w:rPr>
          <w:rFonts w:ascii="Palatino Linotype" w:hAnsi="Palatino Linotype" w:cs="Tahoma"/>
          <w:kern w:val="0"/>
          <w:lang w:val="es-ES"/>
          <w14:ligatures w14:val="none"/>
        </w:rPr>
      </w:pPr>
    </w:p>
    <w:p w14:paraId="51917AE1" w14:textId="77777777" w:rsidR="00C74027" w:rsidRPr="002E5548" w:rsidRDefault="00C74027" w:rsidP="00840110">
      <w:pPr>
        <w:spacing w:after="0" w:line="360" w:lineRule="auto"/>
        <w:contextualSpacing/>
        <w:jc w:val="both"/>
        <w:rPr>
          <w:rFonts w:ascii="Palatino Linotype" w:hAnsi="Palatino Linotype" w:cs="Tahoma"/>
          <w:kern w:val="0"/>
          <w:lang w:val="es-ES"/>
          <w14:ligatures w14:val="none"/>
        </w:rPr>
      </w:pPr>
      <w:r w:rsidRPr="002E5548">
        <w:rPr>
          <w:rFonts w:ascii="Palatino Linotype" w:hAnsi="Palatino Linotype" w:cs="Tahoma"/>
          <w:kern w:val="0"/>
          <w:lang w:val="es-ES"/>
          <w14:ligatures w14:val="none"/>
        </w:rPr>
        <w:t>En ese sentido, se debe valorar el daño que causaría la divulgación de la información, con la finalidad de sustentar la reserva de la información y arribar a una determinación debidamente fundada y motivada que tenga como consecuencia la clasificación o no de la información. En otras palabras, la resolución que determina la existencia de información clasificada o bien que revoca dicho argumento, debe contener un análisis exhaustivo de los elementos de forma y fondo que establecen la Ley de Transparencia y Acceso a la Información Pública del Estado de México y Municipios y los Lineamientos Generales en Materia de Clasificación y Desclasificación de la Información, así como para la Elaboración de Versiones Públicas.</w:t>
      </w:r>
    </w:p>
    <w:p w14:paraId="790BE1D3" w14:textId="77777777" w:rsidR="00C74027" w:rsidRPr="002E5548" w:rsidRDefault="00C74027" w:rsidP="00840110">
      <w:pPr>
        <w:spacing w:after="0" w:line="360" w:lineRule="auto"/>
        <w:contextualSpacing/>
        <w:jc w:val="both"/>
        <w:rPr>
          <w:rFonts w:ascii="Palatino Linotype" w:hAnsi="Palatino Linotype" w:cs="Tahoma"/>
          <w:bCs/>
          <w:kern w:val="0"/>
          <w:lang w:val="es-ES"/>
          <w14:ligatures w14:val="none"/>
        </w:rPr>
      </w:pPr>
    </w:p>
    <w:p w14:paraId="57E34A3F" w14:textId="77777777" w:rsidR="00C74027" w:rsidRPr="002E5548" w:rsidRDefault="00C74027" w:rsidP="00840110">
      <w:pPr>
        <w:spacing w:after="0" w:line="360" w:lineRule="auto"/>
        <w:contextualSpacing/>
        <w:jc w:val="both"/>
        <w:rPr>
          <w:rFonts w:ascii="Palatino Linotype" w:hAnsi="Palatino Linotype" w:cs="Tahoma"/>
          <w:bCs/>
          <w:kern w:val="0"/>
          <w:lang w:val="es-ES"/>
          <w14:ligatures w14:val="none"/>
        </w:rPr>
      </w:pPr>
      <w:r w:rsidRPr="002E5548">
        <w:rPr>
          <w:rFonts w:ascii="Palatino Linotype" w:hAnsi="Palatino Linotype" w:cs="Tahoma"/>
          <w:bCs/>
          <w:kern w:val="0"/>
          <w:lang w:val="es-ES"/>
          <w14:ligatures w14:val="none"/>
        </w:rPr>
        <w:t xml:space="preserve">En ese sentido, se debe valorar el daño que causaría la divulgación de la información, con la finalidad de sustentar la reserva de la información y arribar a una determinación </w:t>
      </w:r>
      <w:r w:rsidRPr="002E5548">
        <w:rPr>
          <w:rFonts w:ascii="Palatino Linotype" w:hAnsi="Palatino Linotype" w:cs="Tahoma"/>
          <w:bCs/>
          <w:kern w:val="0"/>
          <w:lang w:val="es-ES"/>
          <w14:ligatures w14:val="none"/>
        </w:rPr>
        <w:lastRenderedPageBreak/>
        <w:t>debidamente fundada y motivada que tenga como consecuencia la clasificación o no de la información.</w:t>
      </w:r>
    </w:p>
    <w:p w14:paraId="45A4309F" w14:textId="77777777" w:rsidR="00C74027" w:rsidRPr="003D6AF6" w:rsidRDefault="00C74027" w:rsidP="00840110">
      <w:pPr>
        <w:spacing w:after="0" w:line="360" w:lineRule="auto"/>
        <w:contextualSpacing/>
        <w:jc w:val="both"/>
        <w:rPr>
          <w:rFonts w:ascii="Palatino Linotype" w:hAnsi="Palatino Linotype" w:cs="Tahoma"/>
          <w:bCs/>
          <w:color w:val="FF0000"/>
          <w:kern w:val="0"/>
          <w:lang w:val="es-ES"/>
          <w14:ligatures w14:val="none"/>
        </w:rPr>
      </w:pPr>
    </w:p>
    <w:p w14:paraId="46EA2684" w14:textId="77777777" w:rsidR="00C74027" w:rsidRPr="002E5548" w:rsidRDefault="00C74027" w:rsidP="00840110">
      <w:pPr>
        <w:spacing w:after="0" w:line="360" w:lineRule="auto"/>
        <w:contextualSpacing/>
        <w:jc w:val="both"/>
        <w:rPr>
          <w:rFonts w:ascii="Palatino Linotype" w:hAnsi="Palatino Linotype" w:cs="Tahoma"/>
          <w:bCs/>
          <w:kern w:val="0"/>
          <w:lang w:val="es-ES"/>
          <w14:ligatures w14:val="none"/>
        </w:rPr>
      </w:pPr>
      <w:r w:rsidRPr="002E5548">
        <w:rPr>
          <w:rFonts w:ascii="Palatino Linotype" w:hAnsi="Palatino Linotype" w:cs="Tahoma"/>
          <w:bCs/>
          <w:kern w:val="0"/>
          <w:lang w:val="es-ES"/>
          <w14:ligatures w14:val="none"/>
        </w:rPr>
        <w:t>En otras palabras, la determinación que propone la existencia de información clasificada o bien que revoca dicho argumento, debe contener un análisis exhaustivo de los elementos de forma y fondo que establecen la Ley de Transparencia y Acceso a la Información Pública del Estado de México y Municipios y los Lineamientos generales en materia de clasificación y desclasificación de la información, así como para la elaboración de versiones públicas.</w:t>
      </w:r>
    </w:p>
    <w:p w14:paraId="1FD47F3B" w14:textId="77777777" w:rsidR="00C74027" w:rsidRPr="002E5548" w:rsidRDefault="00C74027" w:rsidP="00840110">
      <w:pPr>
        <w:spacing w:after="0" w:line="360" w:lineRule="auto"/>
        <w:contextualSpacing/>
        <w:jc w:val="both"/>
        <w:rPr>
          <w:rFonts w:ascii="Palatino Linotype" w:hAnsi="Palatino Linotype" w:cs="Tahoma"/>
          <w:bCs/>
          <w:kern w:val="0"/>
          <w:lang w:val="es-ES"/>
          <w14:ligatures w14:val="none"/>
        </w:rPr>
      </w:pPr>
    </w:p>
    <w:p w14:paraId="3621B5C7" w14:textId="77777777" w:rsidR="00C74027" w:rsidRPr="002E5548" w:rsidRDefault="00C74027" w:rsidP="00840110">
      <w:pPr>
        <w:spacing w:after="0" w:line="360" w:lineRule="auto"/>
        <w:contextualSpacing/>
        <w:jc w:val="both"/>
        <w:rPr>
          <w:rFonts w:ascii="Palatino Linotype" w:hAnsi="Palatino Linotype" w:cs="Tahoma"/>
          <w:bCs/>
          <w:kern w:val="0"/>
          <w:lang w:val="es-ES"/>
          <w14:ligatures w14:val="none"/>
        </w:rPr>
      </w:pPr>
      <w:r w:rsidRPr="002E5548">
        <w:rPr>
          <w:rFonts w:ascii="Palatino Linotype" w:hAnsi="Palatino Linotype" w:cs="Tahoma"/>
          <w:bCs/>
          <w:kern w:val="0"/>
          <w:lang w:val="es-ES"/>
          <w14:ligatures w14:val="none"/>
        </w:rPr>
        <w:t>En efecto, sólo de esta forma, el Instituto como máxima autoridad en materia de derecho de acceso a la información y protección de datos personales, garantiza que los particulares puedan ejercer sus derechos y ser partícipes de la vida democrática de nuestro Estado y nuestro país, de lo contrario se corre el riesgo de que el Sujeto Obligado realice una clasificación incorrecta de la información.</w:t>
      </w:r>
    </w:p>
    <w:p w14:paraId="464767BD" w14:textId="77777777" w:rsidR="00C74027" w:rsidRPr="002E5548" w:rsidRDefault="00C74027" w:rsidP="00840110">
      <w:pPr>
        <w:spacing w:after="0" w:line="360" w:lineRule="auto"/>
        <w:contextualSpacing/>
        <w:jc w:val="both"/>
        <w:rPr>
          <w:rFonts w:ascii="Palatino Linotype" w:hAnsi="Palatino Linotype" w:cs="Tahoma"/>
          <w:bCs/>
          <w:kern w:val="0"/>
          <w:lang w:val="es-ES"/>
          <w14:ligatures w14:val="none"/>
        </w:rPr>
      </w:pPr>
    </w:p>
    <w:p w14:paraId="3C638C56" w14:textId="77777777" w:rsidR="00C74027" w:rsidRPr="002E5548" w:rsidRDefault="00C74027" w:rsidP="00840110">
      <w:pPr>
        <w:spacing w:after="0" w:line="360" w:lineRule="auto"/>
        <w:contextualSpacing/>
        <w:jc w:val="both"/>
        <w:rPr>
          <w:rFonts w:ascii="Palatino Linotype" w:hAnsi="Palatino Linotype" w:cs="Tahoma"/>
          <w:bCs/>
          <w:kern w:val="0"/>
          <w:lang w:val="es-ES"/>
          <w14:ligatures w14:val="none"/>
        </w:rPr>
      </w:pPr>
      <w:r w:rsidRPr="002E5548">
        <w:rPr>
          <w:rFonts w:ascii="Palatino Linotype" w:hAnsi="Palatino Linotype" w:cs="Tahoma"/>
          <w:bCs/>
          <w:kern w:val="0"/>
          <w:lang w:val="es-ES"/>
          <w14:ligatures w14:val="none"/>
        </w:rPr>
        <w:t>Por lo tanto, mi postura es a favor de efectuar un análisis exhaustivo en todos aquellos casos que restrinjan el derecho de acceso a la información de los particulares, como es la figura de la clasificación de la información como reservada para verificar que se acredita o no la fracción correspondiente del artículo 140 de la Ley de Transparencia y Acceso a la Información Pública del Estado de México y Municipios, así como la prueba de daño.</w:t>
      </w:r>
    </w:p>
    <w:p w14:paraId="520B8E71" w14:textId="77777777" w:rsidR="00C74027" w:rsidRPr="002E5548" w:rsidRDefault="00C74027" w:rsidP="00840110">
      <w:pPr>
        <w:spacing w:after="0" w:line="360" w:lineRule="auto"/>
        <w:contextualSpacing/>
        <w:jc w:val="both"/>
        <w:rPr>
          <w:rFonts w:ascii="Palatino Linotype" w:hAnsi="Palatino Linotype" w:cs="Tahoma"/>
          <w:bCs/>
          <w:kern w:val="0"/>
          <w:lang w:val="es-ES"/>
          <w14:ligatures w14:val="none"/>
        </w:rPr>
      </w:pPr>
    </w:p>
    <w:p w14:paraId="6881E3DB" w14:textId="77777777" w:rsidR="00234BAE" w:rsidRDefault="00C74027" w:rsidP="00840110">
      <w:pPr>
        <w:spacing w:after="0" w:line="360" w:lineRule="auto"/>
        <w:contextualSpacing/>
        <w:jc w:val="both"/>
        <w:rPr>
          <w:rFonts w:ascii="Palatino Linotype" w:hAnsi="Palatino Linotype" w:cs="Tahoma"/>
          <w:bCs/>
          <w:kern w:val="0"/>
          <w:lang w:val="es-ES"/>
          <w14:ligatures w14:val="none"/>
        </w:rPr>
      </w:pPr>
      <w:r w:rsidRPr="002E5548">
        <w:rPr>
          <w:rFonts w:ascii="Palatino Linotype" w:hAnsi="Palatino Linotype" w:cs="Tahoma"/>
          <w:bCs/>
          <w:kern w:val="0"/>
          <w:lang w:val="es-ES"/>
          <w14:ligatures w14:val="none"/>
        </w:rPr>
        <w:t>En consecuencia, es necesario que en el análisis de las resoluciones que dicta este Pleno, se proporcione un estudio exhaustivo y ofrecer al Particular las herramientas para conocer las razones por las que procede o no la reserva de la información.</w:t>
      </w:r>
      <w:r w:rsidR="002F5915">
        <w:rPr>
          <w:rFonts w:ascii="Palatino Linotype" w:hAnsi="Palatino Linotype" w:cs="Tahoma"/>
          <w:bCs/>
          <w:kern w:val="0"/>
          <w:lang w:val="es-ES"/>
          <w14:ligatures w14:val="none"/>
        </w:rPr>
        <w:t xml:space="preserve"> </w:t>
      </w:r>
    </w:p>
    <w:p w14:paraId="16D4991C" w14:textId="77777777" w:rsidR="00234BAE" w:rsidRDefault="00234BAE" w:rsidP="00840110">
      <w:pPr>
        <w:spacing w:after="0" w:line="360" w:lineRule="auto"/>
        <w:contextualSpacing/>
        <w:jc w:val="both"/>
        <w:rPr>
          <w:rFonts w:ascii="Palatino Linotype" w:hAnsi="Palatino Linotype" w:cs="Tahoma"/>
          <w:bCs/>
          <w:kern w:val="0"/>
          <w:lang w:val="es-ES"/>
          <w14:ligatures w14:val="none"/>
        </w:rPr>
      </w:pPr>
    </w:p>
    <w:p w14:paraId="53FA2437" w14:textId="75028C8D" w:rsidR="00C74027" w:rsidRPr="002E5548" w:rsidRDefault="00C74027" w:rsidP="00840110">
      <w:pPr>
        <w:spacing w:after="0" w:line="360" w:lineRule="auto"/>
        <w:contextualSpacing/>
        <w:jc w:val="both"/>
        <w:rPr>
          <w:rFonts w:ascii="Palatino Linotype" w:hAnsi="Palatino Linotype" w:cs="Tahoma"/>
          <w:bCs/>
          <w:kern w:val="0"/>
          <w:lang w:val="es-ES"/>
          <w14:ligatures w14:val="none"/>
        </w:rPr>
      </w:pPr>
      <w:r w:rsidRPr="002E5548">
        <w:rPr>
          <w:rFonts w:ascii="Palatino Linotype" w:hAnsi="Palatino Linotype" w:cs="Tahoma"/>
          <w:bCs/>
          <w:kern w:val="0"/>
          <w:lang w:val="es-ES"/>
          <w14:ligatures w14:val="none"/>
        </w:rPr>
        <w:t>Así, con base en los razonamientos expuestos, se emite el Presente Voto Particular. ----------------------------------------------------------------------------------------------</w:t>
      </w:r>
      <w:r w:rsidR="002F5915" w:rsidRPr="002E5548">
        <w:rPr>
          <w:rFonts w:ascii="Palatino Linotype" w:hAnsi="Palatino Linotype" w:cs="Tahoma"/>
          <w:bCs/>
          <w:kern w:val="0"/>
          <w:lang w:val="es-ES"/>
          <w14:ligatures w14:val="none"/>
        </w:rPr>
        <w:t>------------------------------------</w:t>
      </w:r>
    </w:p>
    <w:p w14:paraId="3E4C4572" w14:textId="77777777" w:rsidR="00C74027" w:rsidRPr="002E5548" w:rsidRDefault="00C74027" w:rsidP="00840110">
      <w:pPr>
        <w:spacing w:after="0" w:line="360" w:lineRule="auto"/>
        <w:contextualSpacing/>
        <w:jc w:val="both"/>
        <w:rPr>
          <w:rFonts w:ascii="Palatino Linotype" w:hAnsi="Palatino Linotype" w:cs="Tahoma"/>
          <w:kern w:val="0"/>
          <w:lang w:val="es-ES"/>
          <w14:ligatures w14:val="none"/>
        </w:rPr>
      </w:pPr>
    </w:p>
    <w:p w14:paraId="19BC755E" w14:textId="77777777" w:rsidR="00C74027" w:rsidRPr="002E5548" w:rsidRDefault="00C74027" w:rsidP="00840110">
      <w:pPr>
        <w:spacing w:after="0" w:line="360" w:lineRule="auto"/>
        <w:contextualSpacing/>
        <w:jc w:val="both"/>
        <w:rPr>
          <w:rFonts w:ascii="Palatino Linotype" w:hAnsi="Palatino Linotype" w:cs="Tahoma"/>
          <w:kern w:val="0"/>
          <w:lang w:val="es-ES"/>
          <w14:ligatures w14:val="none"/>
        </w:rPr>
      </w:pPr>
    </w:p>
    <w:p w14:paraId="6DEF4C0C" w14:textId="77777777" w:rsidR="00C74027" w:rsidRPr="002E5548" w:rsidRDefault="00C74027" w:rsidP="00840110">
      <w:pPr>
        <w:spacing w:after="0" w:line="360" w:lineRule="auto"/>
        <w:contextualSpacing/>
        <w:jc w:val="both"/>
        <w:rPr>
          <w:rFonts w:ascii="Palatino Linotype" w:hAnsi="Palatino Linotype" w:cs="Tahoma"/>
          <w:kern w:val="0"/>
          <w:lang w:val="es-ES"/>
          <w14:ligatures w14:val="none"/>
        </w:rPr>
      </w:pPr>
    </w:p>
    <w:p w14:paraId="10454B58" w14:textId="77777777" w:rsidR="00C74027" w:rsidRPr="002E5548" w:rsidRDefault="00C74027" w:rsidP="00840110">
      <w:pPr>
        <w:spacing w:after="0" w:line="360" w:lineRule="auto"/>
        <w:contextualSpacing/>
        <w:jc w:val="both"/>
        <w:rPr>
          <w:rFonts w:ascii="Palatino Linotype" w:hAnsi="Palatino Linotype" w:cs="Tahoma"/>
          <w:kern w:val="0"/>
          <w:lang w:val="es-ES"/>
          <w14:ligatures w14:val="none"/>
        </w:rPr>
      </w:pPr>
    </w:p>
    <w:p w14:paraId="4D68207F" w14:textId="77777777" w:rsidR="00C74027" w:rsidRPr="002E5548" w:rsidRDefault="00C74027" w:rsidP="00840110">
      <w:pPr>
        <w:spacing w:after="0" w:line="360" w:lineRule="auto"/>
        <w:contextualSpacing/>
        <w:jc w:val="both"/>
        <w:rPr>
          <w:rFonts w:ascii="Palatino Linotype" w:hAnsi="Palatino Linotype" w:cs="Tahoma"/>
          <w:kern w:val="0"/>
          <w:lang w:val="es-ES"/>
          <w14:ligatures w14:val="none"/>
        </w:rPr>
      </w:pPr>
    </w:p>
    <w:p w14:paraId="2EB38473" w14:textId="77777777" w:rsidR="00C74027" w:rsidRPr="003D6AF6" w:rsidRDefault="00C74027" w:rsidP="00840110">
      <w:pPr>
        <w:spacing w:after="0" w:line="360" w:lineRule="auto"/>
        <w:contextualSpacing/>
        <w:jc w:val="both"/>
        <w:rPr>
          <w:rFonts w:ascii="Palatino Linotype" w:hAnsi="Palatino Linotype" w:cs="Tahoma"/>
          <w:color w:val="FF0000"/>
          <w:kern w:val="0"/>
          <w:lang w:val="es-ES"/>
          <w14:ligatures w14:val="none"/>
        </w:rPr>
      </w:pPr>
    </w:p>
    <w:p w14:paraId="37ED013A" w14:textId="77777777" w:rsidR="00C74027" w:rsidRPr="003D6AF6" w:rsidRDefault="00C74027" w:rsidP="00840110">
      <w:pPr>
        <w:spacing w:after="0" w:line="360" w:lineRule="auto"/>
        <w:contextualSpacing/>
        <w:jc w:val="both"/>
        <w:rPr>
          <w:color w:val="FF0000"/>
          <w:kern w:val="0"/>
          <w:lang w:val="es-ES"/>
          <w14:ligatures w14:val="none"/>
        </w:rPr>
      </w:pPr>
    </w:p>
    <w:p w14:paraId="52ACADE3" w14:textId="77777777" w:rsidR="008302C9" w:rsidRDefault="008302C9" w:rsidP="00840110">
      <w:pPr>
        <w:spacing w:after="0" w:line="360" w:lineRule="auto"/>
        <w:contextualSpacing/>
        <w:rPr>
          <w:color w:val="FF0000"/>
        </w:rPr>
      </w:pPr>
    </w:p>
    <w:p w14:paraId="5855B5C0" w14:textId="77777777" w:rsidR="002E5548" w:rsidRDefault="002E5548" w:rsidP="00840110">
      <w:pPr>
        <w:spacing w:after="0" w:line="360" w:lineRule="auto"/>
        <w:contextualSpacing/>
        <w:rPr>
          <w:color w:val="FF0000"/>
        </w:rPr>
      </w:pPr>
    </w:p>
    <w:p w14:paraId="6B2A7844" w14:textId="77777777" w:rsidR="002E5548" w:rsidRDefault="002E5548" w:rsidP="00840110">
      <w:pPr>
        <w:spacing w:after="0" w:line="360" w:lineRule="auto"/>
        <w:contextualSpacing/>
        <w:rPr>
          <w:color w:val="FF0000"/>
        </w:rPr>
      </w:pPr>
    </w:p>
    <w:p w14:paraId="5754A9A9" w14:textId="77777777" w:rsidR="002E5548" w:rsidRDefault="002E5548" w:rsidP="00840110">
      <w:pPr>
        <w:spacing w:after="0" w:line="360" w:lineRule="auto"/>
        <w:contextualSpacing/>
        <w:rPr>
          <w:color w:val="FF0000"/>
        </w:rPr>
      </w:pPr>
    </w:p>
    <w:p w14:paraId="65FD9408" w14:textId="77777777" w:rsidR="002E5548" w:rsidRDefault="002E5548" w:rsidP="00840110">
      <w:pPr>
        <w:spacing w:after="0" w:line="360" w:lineRule="auto"/>
        <w:contextualSpacing/>
        <w:rPr>
          <w:color w:val="FF0000"/>
        </w:rPr>
      </w:pPr>
    </w:p>
    <w:p w14:paraId="4C24D65D" w14:textId="77777777" w:rsidR="002E5548" w:rsidRDefault="002E5548" w:rsidP="00840110">
      <w:pPr>
        <w:spacing w:after="0" w:line="360" w:lineRule="auto"/>
        <w:contextualSpacing/>
        <w:rPr>
          <w:color w:val="FF0000"/>
        </w:rPr>
      </w:pPr>
    </w:p>
    <w:p w14:paraId="3C40975C" w14:textId="77777777" w:rsidR="002E5548" w:rsidRDefault="002E5548" w:rsidP="00840110">
      <w:pPr>
        <w:spacing w:after="0" w:line="360" w:lineRule="auto"/>
        <w:contextualSpacing/>
        <w:rPr>
          <w:color w:val="FF0000"/>
        </w:rPr>
      </w:pPr>
    </w:p>
    <w:p w14:paraId="14FB7BA4" w14:textId="77777777" w:rsidR="002E5548" w:rsidRDefault="002E5548" w:rsidP="00840110">
      <w:pPr>
        <w:spacing w:after="0" w:line="360" w:lineRule="auto"/>
        <w:contextualSpacing/>
        <w:rPr>
          <w:color w:val="FF0000"/>
        </w:rPr>
      </w:pPr>
    </w:p>
    <w:p w14:paraId="0EC3068B" w14:textId="77777777" w:rsidR="002E5548" w:rsidRDefault="002E5548" w:rsidP="00840110">
      <w:pPr>
        <w:spacing w:after="0" w:line="360" w:lineRule="auto"/>
        <w:contextualSpacing/>
        <w:rPr>
          <w:color w:val="FF0000"/>
        </w:rPr>
      </w:pPr>
    </w:p>
    <w:p w14:paraId="6ADEAC4E" w14:textId="77777777" w:rsidR="002E5548" w:rsidRDefault="002E5548" w:rsidP="00840110">
      <w:pPr>
        <w:spacing w:after="0" w:line="360" w:lineRule="auto"/>
        <w:contextualSpacing/>
        <w:rPr>
          <w:color w:val="FF0000"/>
        </w:rPr>
      </w:pPr>
    </w:p>
    <w:p w14:paraId="7B8513CF" w14:textId="77777777" w:rsidR="002E5548" w:rsidRDefault="002E5548" w:rsidP="00840110">
      <w:pPr>
        <w:spacing w:after="0" w:line="360" w:lineRule="auto"/>
        <w:contextualSpacing/>
        <w:rPr>
          <w:color w:val="FF0000"/>
        </w:rPr>
      </w:pPr>
    </w:p>
    <w:p w14:paraId="3B55E68F" w14:textId="77777777" w:rsidR="002E5548" w:rsidRDefault="002E5548" w:rsidP="00840110">
      <w:pPr>
        <w:spacing w:after="0" w:line="360" w:lineRule="auto"/>
        <w:contextualSpacing/>
        <w:rPr>
          <w:color w:val="FF0000"/>
        </w:rPr>
      </w:pPr>
    </w:p>
    <w:p w14:paraId="697AC740" w14:textId="77777777" w:rsidR="002E5548" w:rsidRDefault="002E5548" w:rsidP="00840110">
      <w:pPr>
        <w:spacing w:after="0" w:line="360" w:lineRule="auto"/>
        <w:contextualSpacing/>
        <w:rPr>
          <w:color w:val="FF0000"/>
        </w:rPr>
      </w:pPr>
    </w:p>
    <w:p w14:paraId="263AD125" w14:textId="77777777" w:rsidR="002E5548" w:rsidRPr="003D6AF6" w:rsidRDefault="002E5548" w:rsidP="00840110">
      <w:pPr>
        <w:spacing w:after="0" w:line="360" w:lineRule="auto"/>
        <w:contextualSpacing/>
        <w:rPr>
          <w:color w:val="FF0000"/>
        </w:rPr>
      </w:pPr>
    </w:p>
    <w:sectPr w:rsidR="002E5548" w:rsidRPr="003D6AF6" w:rsidSect="00521F3B">
      <w:headerReference w:type="even" r:id="rId7"/>
      <w:headerReference w:type="default" r:id="rId8"/>
      <w:footerReference w:type="default" r:id="rId9"/>
      <w:headerReference w:type="first" r:id="rId10"/>
      <w:pgSz w:w="12240" w:h="15840" w:code="1"/>
      <w:pgMar w:top="1417" w:right="1701" w:bottom="1417" w:left="1701"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D6B4BD" w14:textId="77777777" w:rsidR="000C63C9" w:rsidRDefault="000C63C9" w:rsidP="00C74027">
      <w:pPr>
        <w:spacing w:after="0" w:line="240" w:lineRule="auto"/>
      </w:pPr>
      <w:r>
        <w:separator/>
      </w:r>
    </w:p>
  </w:endnote>
  <w:endnote w:type="continuationSeparator" w:id="0">
    <w:p w14:paraId="04349CCB" w14:textId="77777777" w:rsidR="000C63C9" w:rsidRDefault="000C63C9" w:rsidP="00C7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792261"/>
      <w:docPartObj>
        <w:docPartGallery w:val="Page Numbers (Bottom of Page)"/>
        <w:docPartUnique/>
      </w:docPartObj>
    </w:sdtPr>
    <w:sdtContent>
      <w:sdt>
        <w:sdtPr>
          <w:id w:val="1728636285"/>
          <w:docPartObj>
            <w:docPartGallery w:val="Page Numbers (Top of Page)"/>
            <w:docPartUnique/>
          </w:docPartObj>
        </w:sdtPr>
        <w:sdtContent>
          <w:p w14:paraId="2F1B5973" w14:textId="77777777" w:rsidR="006904CB" w:rsidRDefault="003538B7">
            <w:pPr>
              <w:pStyle w:val="Piedepgina"/>
              <w:jc w:val="center"/>
            </w:pPr>
            <w:r>
              <w:t xml:space="preserve">Página </w:t>
            </w:r>
            <w:r>
              <w:rPr>
                <w:b/>
                <w:bCs/>
                <w:sz w:val="24"/>
                <w:szCs w:val="24"/>
              </w:rPr>
              <w:fldChar w:fldCharType="begin"/>
            </w:r>
            <w:r>
              <w:rPr>
                <w:b/>
                <w:bCs/>
              </w:rPr>
              <w:instrText>PAGE</w:instrText>
            </w:r>
            <w:r>
              <w:rPr>
                <w:b/>
                <w:bCs/>
                <w:sz w:val="24"/>
                <w:szCs w:val="24"/>
              </w:rPr>
              <w:fldChar w:fldCharType="separate"/>
            </w:r>
            <w:r w:rsidR="00467AB9">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467AB9">
              <w:rPr>
                <w:b/>
                <w:bCs/>
                <w:noProof/>
              </w:rPr>
              <w:t>1</w:t>
            </w:r>
            <w:r>
              <w:rPr>
                <w:b/>
                <w:bCs/>
                <w:sz w:val="24"/>
                <w:szCs w:val="24"/>
              </w:rPr>
              <w:fldChar w:fldCharType="end"/>
            </w:r>
          </w:p>
        </w:sdtContent>
      </w:sdt>
    </w:sdtContent>
  </w:sdt>
  <w:p w14:paraId="47435B7B" w14:textId="77777777" w:rsidR="006904CB" w:rsidRDefault="006904C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1D87A8" w14:textId="77777777" w:rsidR="000C63C9" w:rsidRDefault="000C63C9" w:rsidP="00C74027">
      <w:pPr>
        <w:spacing w:after="0" w:line="240" w:lineRule="auto"/>
      </w:pPr>
      <w:r>
        <w:separator/>
      </w:r>
    </w:p>
  </w:footnote>
  <w:footnote w:type="continuationSeparator" w:id="0">
    <w:p w14:paraId="7629A4C4" w14:textId="77777777" w:rsidR="000C63C9" w:rsidRDefault="000C63C9" w:rsidP="00C7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19815E" w14:textId="77777777" w:rsidR="006904CB" w:rsidRDefault="00000000">
    <w:pPr>
      <w:pStyle w:val="Encabezado"/>
    </w:pPr>
    <w:r>
      <w:rPr>
        <w:noProof/>
      </w:rPr>
      <w:pict w14:anchorId="1A54D2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6442985" o:spid="_x0000_s1026" type="#_x0000_t136" alt="" style="position:absolute;margin-left:0;margin-top:0;width:541.8pt;height:81.25pt;rotation:315;z-index:-2516561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Palatino Linotype&quot;;font-size:1pt" string="VOTO PARTICULA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7229"/>
    </w:tblGrid>
    <w:tr w:rsidR="002F5915" w:rsidRPr="001106EA" w14:paraId="6C475C85" w14:textId="77777777" w:rsidTr="005F72F3">
      <w:trPr>
        <w:trHeight w:val="2268"/>
      </w:trPr>
      <w:tc>
        <w:tcPr>
          <w:tcW w:w="2268" w:type="dxa"/>
          <w:vAlign w:val="bottom"/>
        </w:tcPr>
        <w:p w14:paraId="47CB52E1" w14:textId="77777777" w:rsidR="006904CB" w:rsidRDefault="003538B7" w:rsidP="00285C7B">
          <w:pPr>
            <w:pStyle w:val="Encabezado"/>
            <w:tabs>
              <w:tab w:val="center" w:pos="2614"/>
            </w:tabs>
            <w:ind w:left="-255"/>
          </w:pPr>
          <w:r>
            <w:rPr>
              <w:noProof/>
              <w:sz w:val="10"/>
              <w:szCs w:val="10"/>
              <w:lang w:eastAsia="es-MX"/>
            </w:rPr>
            <w:drawing>
              <wp:anchor distT="0" distB="0" distL="114300" distR="114300" simplePos="0" relativeHeight="251662336" behindDoc="0" locked="0" layoutInCell="1" allowOverlap="1" wp14:anchorId="261CDB07" wp14:editId="5262389A">
                <wp:simplePos x="0" y="0"/>
                <wp:positionH relativeFrom="column">
                  <wp:posOffset>-291465</wp:posOffset>
                </wp:positionH>
                <wp:positionV relativeFrom="paragraph">
                  <wp:posOffset>-979170</wp:posOffset>
                </wp:positionV>
                <wp:extent cx="1873250" cy="1126490"/>
                <wp:effectExtent l="0" t="0" r="0" b="0"/>
                <wp:wrapNone/>
                <wp:docPr id="724036098" name="Imagen 724036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ipo Infoe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3250" cy="1126490"/>
                        </a:xfrm>
                        <a:prstGeom prst="rect">
                          <a:avLst/>
                        </a:prstGeom>
                      </pic:spPr>
                    </pic:pic>
                  </a:graphicData>
                </a:graphic>
                <wp14:sizeRelH relativeFrom="margin">
                  <wp14:pctWidth>0</wp14:pctWidth>
                </wp14:sizeRelH>
                <wp14:sizeRelV relativeFrom="margin">
                  <wp14:pctHeight>0</wp14:pctHeight>
                </wp14:sizeRelV>
              </wp:anchor>
            </w:drawing>
          </w:r>
        </w:p>
        <w:p w14:paraId="5E374E20" w14:textId="77777777" w:rsidR="006904CB" w:rsidRDefault="006904CB" w:rsidP="00285C7B">
          <w:pPr>
            <w:pStyle w:val="Encabezado"/>
            <w:tabs>
              <w:tab w:val="center" w:pos="2614"/>
            </w:tabs>
            <w:ind w:left="-255"/>
          </w:pPr>
        </w:p>
      </w:tc>
      <w:tc>
        <w:tcPr>
          <w:tcW w:w="7229" w:type="dxa"/>
          <w:vAlign w:val="center"/>
        </w:tcPr>
        <w:p w14:paraId="0ABD159E" w14:textId="77777777" w:rsidR="006904CB" w:rsidRPr="00B9745A" w:rsidRDefault="003538B7" w:rsidP="0033616E">
          <w:pPr>
            <w:pStyle w:val="Encabezado"/>
            <w:ind w:left="742" w:right="-250"/>
            <w:jc w:val="both"/>
            <w:rPr>
              <w:rFonts w:ascii="Palatino Linotype" w:hAnsi="Palatino Linotype" w:cs="Tahoma"/>
              <w:b/>
            </w:rPr>
          </w:pPr>
          <w:r w:rsidRPr="00B9745A">
            <w:rPr>
              <w:rFonts w:ascii="Palatino Linotype" w:hAnsi="Palatino Linotype" w:cs="Tahoma"/>
              <w:b/>
            </w:rPr>
            <w:t>Voto Particular</w:t>
          </w:r>
        </w:p>
        <w:p w14:paraId="2DEFFFE4" w14:textId="6A6636CF" w:rsidR="00840110" w:rsidRDefault="003538B7" w:rsidP="000D6369">
          <w:pPr>
            <w:pStyle w:val="Encabezado"/>
            <w:ind w:left="742" w:right="600"/>
            <w:jc w:val="both"/>
            <w:rPr>
              <w:rFonts w:ascii="Palatino Linotype" w:hAnsi="Palatino Linotype"/>
              <w:bCs/>
              <w:lang w:val="es-MX"/>
            </w:rPr>
          </w:pPr>
          <w:r w:rsidRPr="00B9745A">
            <w:rPr>
              <w:rFonts w:ascii="Palatino Linotype" w:hAnsi="Palatino Linotype" w:cs="Tahoma"/>
              <w:b/>
            </w:rPr>
            <w:t>Recurso de Revisión:</w:t>
          </w:r>
          <w:r>
            <w:rPr>
              <w:rFonts w:ascii="Palatino Linotype" w:hAnsi="Palatino Linotype" w:cs="Tahoma"/>
              <w:b/>
            </w:rPr>
            <w:t xml:space="preserve"> </w:t>
          </w:r>
          <w:r w:rsidR="00060D0D" w:rsidRPr="00060D0D">
            <w:rPr>
              <w:rFonts w:ascii="Palatino Linotype" w:hAnsi="Palatino Linotype"/>
              <w:bCs/>
              <w:lang w:val="es-MX"/>
            </w:rPr>
            <w:t>06364/INFOEM/IP/RR/2026 y acumulados</w:t>
          </w:r>
        </w:p>
        <w:p w14:paraId="405835B3" w14:textId="795CFF86" w:rsidR="00C74027" w:rsidRDefault="003538B7" w:rsidP="0033616E">
          <w:pPr>
            <w:pStyle w:val="Encabezado"/>
            <w:ind w:left="742" w:right="37"/>
            <w:jc w:val="both"/>
            <w:rPr>
              <w:rFonts w:ascii="Palatino Linotype" w:hAnsi="Palatino Linotype"/>
              <w:bCs/>
              <w:lang w:val="es-MX"/>
            </w:rPr>
          </w:pPr>
          <w:r>
            <w:rPr>
              <w:rFonts w:ascii="Palatino Linotype" w:hAnsi="Palatino Linotype" w:cs="Tahoma"/>
              <w:b/>
            </w:rPr>
            <w:t>Sujeto Obligado:</w:t>
          </w:r>
          <w:r>
            <w:rPr>
              <w:rFonts w:ascii="Palatino Linotype" w:hAnsi="Palatino Linotype"/>
              <w:bCs/>
              <w:lang w:val="es-MX"/>
            </w:rPr>
            <w:t xml:space="preserve"> </w:t>
          </w:r>
          <w:r w:rsidR="00060D0D" w:rsidRPr="00060D0D">
            <w:rPr>
              <w:rFonts w:ascii="Palatino Linotype" w:hAnsi="Palatino Linotype"/>
              <w:bCs/>
              <w:lang w:val="es-MX"/>
            </w:rPr>
            <w:t>Ayuntamiento de Teoloyucan</w:t>
          </w:r>
        </w:p>
        <w:p w14:paraId="34485340" w14:textId="77777777" w:rsidR="00060D0D" w:rsidRPr="00060D0D" w:rsidRDefault="003538B7" w:rsidP="00060D0D">
          <w:pPr>
            <w:ind w:left="743"/>
            <w:rPr>
              <w:rFonts w:ascii="Palatino Linotype" w:hAnsi="Palatino Linotype" w:cs="Arial"/>
              <w:szCs w:val="20"/>
            </w:rPr>
          </w:pPr>
          <w:r w:rsidRPr="00B9745A">
            <w:rPr>
              <w:rFonts w:ascii="Palatino Linotype" w:hAnsi="Palatino Linotype" w:cs="Tahoma"/>
              <w:b/>
            </w:rPr>
            <w:t>Comisionad</w:t>
          </w:r>
          <w:r w:rsidR="005F72F3">
            <w:rPr>
              <w:rFonts w:ascii="Palatino Linotype" w:hAnsi="Palatino Linotype" w:cs="Tahoma"/>
              <w:b/>
            </w:rPr>
            <w:t>a</w:t>
          </w:r>
          <w:r w:rsidRPr="00B9745A">
            <w:rPr>
              <w:rFonts w:ascii="Palatino Linotype" w:hAnsi="Palatino Linotype" w:cs="Tahoma"/>
              <w:b/>
            </w:rPr>
            <w:t xml:space="preserve"> Ponente: </w:t>
          </w:r>
          <w:r w:rsidR="00060D0D" w:rsidRPr="00060D0D">
            <w:rPr>
              <w:rFonts w:ascii="Palatino Linotype" w:hAnsi="Palatino Linotype" w:cs="Arial"/>
              <w:szCs w:val="20"/>
            </w:rPr>
            <w:t>Guadalupe Ramírez Peña</w:t>
          </w:r>
        </w:p>
        <w:p w14:paraId="497017A1" w14:textId="0B64C78E" w:rsidR="006904CB" w:rsidRPr="00521F3B" w:rsidRDefault="006904CB" w:rsidP="00521F3B">
          <w:pPr>
            <w:ind w:left="742" w:right="-250"/>
            <w:rPr>
              <w:rFonts w:ascii="Palatino Linotype" w:hAnsi="Palatino Linotype" w:cs="Arial"/>
              <w:szCs w:val="20"/>
            </w:rPr>
          </w:pPr>
        </w:p>
      </w:tc>
    </w:tr>
  </w:tbl>
  <w:p w14:paraId="08B53CC7" w14:textId="51332737" w:rsidR="006904CB" w:rsidRPr="001106EA" w:rsidRDefault="006904CB">
    <w:pPr>
      <w:pStyle w:val="Encabezad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C5B04" w14:textId="77777777" w:rsidR="006904CB" w:rsidRDefault="00000000">
    <w:pPr>
      <w:pStyle w:val="Encabezado"/>
    </w:pPr>
    <w:r>
      <w:rPr>
        <w:noProof/>
      </w:rPr>
      <w:pict w14:anchorId="0128C4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6442984" o:spid="_x0000_s1025" type="#_x0000_t136" alt="" style="position:absolute;margin-left:0;margin-top:0;width:541.8pt;height:81.2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Palatino Linotype&quot;;font-size:1pt" string="VOTO PARTICULA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FB3419"/>
    <w:multiLevelType w:val="hybridMultilevel"/>
    <w:tmpl w:val="9BC2E23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4B507C14"/>
    <w:multiLevelType w:val="hybridMultilevel"/>
    <w:tmpl w:val="AEA447B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16cid:durableId="1850950937">
    <w:abstractNumId w:val="0"/>
  </w:num>
  <w:num w:numId="2" w16cid:durableId="1428621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027"/>
    <w:rsid w:val="00026C13"/>
    <w:rsid w:val="00060D0D"/>
    <w:rsid w:val="000C63C9"/>
    <w:rsid w:val="000D6369"/>
    <w:rsid w:val="00234BAE"/>
    <w:rsid w:val="002810D6"/>
    <w:rsid w:val="00282E17"/>
    <w:rsid w:val="002B7DAD"/>
    <w:rsid w:val="002E5548"/>
    <w:rsid w:val="002F5915"/>
    <w:rsid w:val="00312A74"/>
    <w:rsid w:val="00324BEE"/>
    <w:rsid w:val="0033616E"/>
    <w:rsid w:val="003538B7"/>
    <w:rsid w:val="003D07E8"/>
    <w:rsid w:val="003D6AF6"/>
    <w:rsid w:val="00433452"/>
    <w:rsid w:val="004662E1"/>
    <w:rsid w:val="00467AB9"/>
    <w:rsid w:val="00521F3B"/>
    <w:rsid w:val="005B1B5C"/>
    <w:rsid w:val="005C357D"/>
    <w:rsid w:val="005F72F3"/>
    <w:rsid w:val="00610A24"/>
    <w:rsid w:val="006904CB"/>
    <w:rsid w:val="00696CE5"/>
    <w:rsid w:val="006E28F6"/>
    <w:rsid w:val="00740D14"/>
    <w:rsid w:val="00751930"/>
    <w:rsid w:val="007555D4"/>
    <w:rsid w:val="0078053D"/>
    <w:rsid w:val="008302C9"/>
    <w:rsid w:val="00840110"/>
    <w:rsid w:val="00987EB4"/>
    <w:rsid w:val="00AD0760"/>
    <w:rsid w:val="00AE5E6D"/>
    <w:rsid w:val="00B65E4E"/>
    <w:rsid w:val="00C437AF"/>
    <w:rsid w:val="00C74027"/>
    <w:rsid w:val="00C8157B"/>
    <w:rsid w:val="00CD5956"/>
    <w:rsid w:val="00CD7484"/>
    <w:rsid w:val="00D16F42"/>
    <w:rsid w:val="00D324C9"/>
    <w:rsid w:val="00D34862"/>
    <w:rsid w:val="00E16188"/>
    <w:rsid w:val="00E828CF"/>
    <w:rsid w:val="00EE3535"/>
    <w:rsid w:val="00F26D85"/>
    <w:rsid w:val="00F469E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A894A"/>
  <w15:chartTrackingRefBased/>
  <w15:docId w15:val="{F95AA65E-C566-4CD7-8F45-9670A2817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7402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027"/>
  </w:style>
  <w:style w:type="paragraph" w:styleId="Piedepgina">
    <w:name w:val="footer"/>
    <w:basedOn w:val="Normal"/>
    <w:link w:val="PiedepginaCar"/>
    <w:uiPriority w:val="99"/>
    <w:unhideWhenUsed/>
    <w:rsid w:val="00C7402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027"/>
  </w:style>
  <w:style w:type="table" w:styleId="Tablaconcuadrcula">
    <w:name w:val="Table Grid"/>
    <w:basedOn w:val="Tablanormal"/>
    <w:uiPriority w:val="59"/>
    <w:rsid w:val="00C74027"/>
    <w:pPr>
      <w:spacing w:after="0" w:line="240" w:lineRule="auto"/>
    </w:pPr>
    <w:rPr>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161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088142">
      <w:bodyDiv w:val="1"/>
      <w:marLeft w:val="0"/>
      <w:marRight w:val="0"/>
      <w:marTop w:val="0"/>
      <w:marBottom w:val="0"/>
      <w:divBdr>
        <w:top w:val="none" w:sz="0" w:space="0" w:color="auto"/>
        <w:left w:val="none" w:sz="0" w:space="0" w:color="auto"/>
        <w:bottom w:val="none" w:sz="0" w:space="0" w:color="auto"/>
        <w:right w:val="none" w:sz="0" w:space="0" w:color="auto"/>
      </w:divBdr>
    </w:div>
    <w:div w:id="650673118">
      <w:bodyDiv w:val="1"/>
      <w:marLeft w:val="0"/>
      <w:marRight w:val="0"/>
      <w:marTop w:val="0"/>
      <w:marBottom w:val="0"/>
      <w:divBdr>
        <w:top w:val="none" w:sz="0" w:space="0" w:color="auto"/>
        <w:left w:val="none" w:sz="0" w:space="0" w:color="auto"/>
        <w:bottom w:val="none" w:sz="0" w:space="0" w:color="auto"/>
        <w:right w:val="none" w:sz="0" w:space="0" w:color="auto"/>
      </w:divBdr>
    </w:div>
    <w:div w:id="170775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3063</Words>
  <Characters>16847</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 Gs</dc:creator>
  <cp:keywords/>
  <dc:description/>
  <cp:lastModifiedBy>Infoem613</cp:lastModifiedBy>
  <cp:revision>6</cp:revision>
  <cp:lastPrinted>2026-08-19T01:02:00Z</cp:lastPrinted>
  <dcterms:created xsi:type="dcterms:W3CDTF">2026-08-19T00:06:00Z</dcterms:created>
  <dcterms:modified xsi:type="dcterms:W3CDTF">2026-08-19T01:16:00Z</dcterms:modified>
</cp:coreProperties>
</file>