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diecinueve de agosto de dos mil veintiséis. </w:t>
      </w:r>
    </w:p>
    <w:p w:rsidR="00000000" w:rsidDel="00000000" w:rsidP="00000000" w:rsidRDefault="00000000" w:rsidRPr="00000000" w14:paraId="00000002">
      <w:pPr>
        <w:spacing w:after="240" w:before="240" w:line="360" w:lineRule="auto"/>
        <w:jc w:val="both"/>
        <w:rPr>
          <w:rFonts w:ascii="Palatino Linotype" w:cs="Palatino Linotype" w:eastAsia="Palatino Linotype" w:hAnsi="Palatino Linotype"/>
          <w:sz w:val="22"/>
          <w:szCs w:val="22"/>
        </w:rPr>
      </w:pPr>
      <w:bookmarkStart w:colFirst="0" w:colLast="0" w:name="_heading=h.qha2j9dc647w" w:id="0"/>
      <w:bookmarkEnd w:id="0"/>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07004/INFOEM/AD/RR/2026</w:t>
      </w:r>
      <w:r w:rsidDel="00000000" w:rsidR="00000000" w:rsidRPr="00000000">
        <w:rPr>
          <w:rFonts w:ascii="Palatino Linotype" w:cs="Palatino Linotype" w:eastAsia="Palatino Linotype" w:hAnsi="Palatino Linotype"/>
          <w:sz w:val="22"/>
          <w:szCs w:val="22"/>
          <w:rtl w:val="0"/>
        </w:rPr>
        <w:t xml:space="preserve">, interpuesto por </w:t>
      </w:r>
      <w:r w:rsidDel="00000000" w:rsidR="00000000" w:rsidRPr="00000000">
        <w:rPr>
          <w:rFonts w:ascii="Palatino Linotype" w:cs="Palatino Linotype" w:eastAsia="Palatino Linotype" w:hAnsi="Palatino Linotype"/>
          <w:b w:val="1"/>
          <w:bCs w:val="1"/>
          <w:sz w:val="22"/>
          <w:szCs w:val="22"/>
          <w:rtl w:val="0"/>
        </w:rPr>
        <w:t xml:space="preserve">XXXXX XX X XXXX XXXXXX,</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su solicitud de acceso a datos personales con número de folio </w:t>
      </w:r>
      <w:r w:rsidDel="00000000" w:rsidR="00000000" w:rsidRPr="00000000">
        <w:rPr>
          <w:rFonts w:ascii="Palatino Linotype" w:cs="Palatino Linotype" w:eastAsia="Palatino Linotype" w:hAnsi="Palatino Linotype"/>
          <w:b w:val="1"/>
          <w:bCs w:val="1"/>
          <w:sz w:val="22"/>
          <w:szCs w:val="22"/>
          <w:rtl w:val="0"/>
        </w:rPr>
        <w:t xml:space="preserve">00043/INFOEM/AD/2026,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Instituto de Transparencia, Acceso a la Información Pública y Protección de Datos Personales del Estado de México y Municipios,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3">
      <w:pPr>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1. Solicitud de acceso a datos personales.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trece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la solicitud de acceso a datos personales, a través del Sistema de Acceso, Rectificación, Cancelación y Oposición de Datos Personales del Estado de México, en lo subsecuente el </w:t>
      </w:r>
      <w:r w:rsidDel="00000000" w:rsidR="00000000" w:rsidRPr="00000000">
        <w:rPr>
          <w:rFonts w:ascii="Palatino Linotype" w:cs="Palatino Linotype" w:eastAsia="Palatino Linotype" w:hAnsi="Palatino Linotype"/>
          <w:b w:val="1"/>
          <w:bCs w:val="1"/>
          <w:sz w:val="22"/>
          <w:szCs w:val="22"/>
          <w:rtl w:val="0"/>
        </w:rPr>
        <w:t xml:space="preserve">SARCOEM</w:t>
      </w:r>
      <w:r w:rsidDel="00000000" w:rsidR="00000000" w:rsidRPr="00000000">
        <w:rPr>
          <w:rFonts w:ascii="Palatino Linotype" w:cs="Palatino Linotype" w:eastAsia="Palatino Linotype" w:hAnsi="Palatino Linotype"/>
          <w:sz w:val="22"/>
          <w:szCs w:val="22"/>
          <w:rtl w:val="0"/>
        </w:rPr>
        <w:t xml:space="preserve"> ante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sin embargo, al corresponder con un día inhábil, se tuvo por presentada el </w:t>
      </w:r>
      <w:r w:rsidDel="00000000" w:rsidR="00000000" w:rsidRPr="00000000">
        <w:rPr>
          <w:rFonts w:ascii="Palatino Linotype" w:cs="Palatino Linotype" w:eastAsia="Palatino Linotype" w:hAnsi="Palatino Linotype"/>
          <w:b w:val="1"/>
          <w:bCs w:val="1"/>
          <w:sz w:val="22"/>
          <w:szCs w:val="22"/>
          <w:rtl w:val="0"/>
        </w:rPr>
        <w:t xml:space="preserve">quince de junio de dos mil veintiséis,</w:t>
      </w:r>
      <w:r w:rsidDel="00000000" w:rsidR="00000000" w:rsidRPr="00000000">
        <w:rPr>
          <w:rFonts w:ascii="Palatino Linotype" w:cs="Palatino Linotype" w:eastAsia="Palatino Linotype" w:hAnsi="Palatino Linotype"/>
          <w:sz w:val="22"/>
          <w:szCs w:val="22"/>
          <w:rtl w:val="0"/>
        </w:rPr>
        <w:t xml:space="preserve"> mediante la cual requirió le fuese entregado lo siguiente: </w:t>
      </w:r>
    </w:p>
    <w:p w:rsidR="00000000" w:rsidDel="00000000" w:rsidP="00000000" w:rsidRDefault="00000000" w:rsidRPr="00000000" w14:paraId="00000005">
      <w:pPr>
        <w:spacing w:after="240" w:before="240" w:lineRule="auto"/>
        <w:ind w:left="851" w:right="902" w:firstLine="0"/>
        <w:jc w:val="both"/>
        <w:rPr>
          <w:rFonts w:ascii="Palatino Linotype" w:cs="Palatino Linotype" w:eastAsia="Palatino Linotype" w:hAnsi="Palatino Linotype"/>
          <w:b w:val="1"/>
          <w:bCs w:val="1"/>
          <w:i w:val="1"/>
          <w:iCs w:val="1"/>
          <w:sz w:val="22"/>
          <w:szCs w:val="22"/>
        </w:rPr>
      </w:pPr>
      <w:bookmarkStart w:colFirst="0" w:colLast="0" w:name="_heading=h.gjdgxs" w:id="1"/>
      <w:bookmarkEnd w:id="1"/>
      <w:r w:rsidDel="00000000" w:rsidR="00000000" w:rsidRPr="00000000">
        <w:rPr>
          <w:rFonts w:ascii="Palatino Linotype" w:cs="Palatino Linotype" w:eastAsia="Palatino Linotype" w:hAnsi="Palatino Linotype"/>
          <w:i w:val="1"/>
          <w:iCs w:val="1"/>
          <w:sz w:val="22"/>
          <w:szCs w:val="22"/>
          <w:rtl w:val="0"/>
        </w:rPr>
        <w:t xml:space="preserve">“Requiero copia certificada de mi expediente medico que obra en el centro médico Issemym Toluca debidamente foleado y completo</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(sic) </w:t>
      </w:r>
      <w:r w:rsidDel="00000000" w:rsidR="00000000" w:rsidRPr="00000000">
        <w:rPr>
          <w:rtl w:val="0"/>
        </w:rPr>
      </w:r>
    </w:p>
    <w:p w:rsidR="00000000" w:rsidDel="00000000" w:rsidP="00000000" w:rsidRDefault="00000000" w:rsidRPr="00000000" w14:paraId="00000006">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de acceso a la información:</w:t>
      </w:r>
      <w:r w:rsidDel="00000000" w:rsidR="00000000" w:rsidRPr="00000000">
        <w:rPr>
          <w:rFonts w:ascii="Palatino Linotype" w:cs="Palatino Linotype" w:eastAsia="Palatino Linotype" w:hAnsi="Palatino Linotype"/>
          <w:sz w:val="22"/>
          <w:szCs w:val="22"/>
          <w:rtl w:val="0"/>
        </w:rPr>
        <w:t xml:space="preserve"> a través de</w:t>
      </w:r>
      <w:r w:rsidDel="00000000" w:rsidR="00000000" w:rsidRPr="00000000">
        <w:rPr>
          <w:rFonts w:ascii="Palatino Linotype" w:cs="Palatino Linotype" w:eastAsia="Palatino Linotype" w:hAnsi="Palatino Linotype"/>
          <w:b w:val="1"/>
          <w:bCs w:val="1"/>
          <w:sz w:val="22"/>
          <w:szCs w:val="22"/>
          <w:rtl w:val="0"/>
        </w:rPr>
        <w:t xml:space="preserve"> Correo electrónico.</w:t>
      </w:r>
    </w:p>
    <w:p w:rsidR="00000000" w:rsidDel="00000000" w:rsidP="00000000" w:rsidRDefault="00000000" w:rsidRPr="00000000" w14:paraId="00000007">
      <w:pPr>
        <w:spacing w:after="240" w:before="240" w:line="360" w:lineRule="auto"/>
        <w:jc w:val="both"/>
        <w:rPr>
          <w:rFonts w:ascii="Palatino Linotype" w:cs="Palatino Linotype" w:eastAsia="Palatino Linotype" w:hAnsi="Palatino Linotype"/>
          <w:b w:val="1"/>
          <w:bCs w:val="1"/>
          <w:sz w:val="22"/>
          <w:szCs w:val="22"/>
        </w:rPr>
      </w:pPr>
      <w:bookmarkStart w:colFirst="0" w:colLast="0" w:name="_heading=h.3dy6vkm" w:id="2"/>
      <w:bookmarkEnd w:id="2"/>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w:t>
      </w:r>
      <w:r w:rsidDel="00000000" w:rsidR="00000000" w:rsidRPr="00000000">
        <w:rPr>
          <w:rFonts w:ascii="Palatino Linotype" w:cs="Palatino Linotype" w:eastAsia="Palatino Linotype" w:hAnsi="Palatino Linotype"/>
          <w:b w:val="1"/>
          <w:bCs w:val="1"/>
          <w:sz w:val="22"/>
          <w:szCs w:val="22"/>
          <w:rtl w:val="0"/>
        </w:rPr>
        <w:t xml:space="preserve"> quince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datos personales a través del </w:t>
      </w:r>
      <w:r w:rsidDel="00000000" w:rsidR="00000000" w:rsidRPr="00000000">
        <w:rPr>
          <w:rFonts w:ascii="Palatino Linotype" w:cs="Palatino Linotype" w:eastAsia="Palatino Linotype" w:hAnsi="Palatino Linotype"/>
          <w:b w:val="1"/>
          <w:bCs w:val="1"/>
          <w:sz w:val="22"/>
          <w:szCs w:val="22"/>
          <w:rtl w:val="0"/>
        </w:rPr>
        <w:t xml:space="preserve">SARCOEM,</w:t>
      </w:r>
      <w:r w:rsidDel="00000000" w:rsidR="00000000" w:rsidRPr="00000000">
        <w:rPr>
          <w:rFonts w:ascii="Palatino Linotype" w:cs="Palatino Linotype" w:eastAsia="Palatino Linotype" w:hAnsi="Palatino Linotype"/>
          <w:sz w:val="22"/>
          <w:szCs w:val="22"/>
          <w:rtl w:val="0"/>
        </w:rPr>
        <w:t xml:space="preserve"> sustancialmente en los términos siguientes:   </w:t>
      </w:r>
      <w:r w:rsidDel="00000000" w:rsidR="00000000" w:rsidRPr="00000000">
        <w:rPr>
          <w:rtl w:val="0"/>
        </w:rPr>
      </w:r>
    </w:p>
    <w:p w:rsidR="00000000" w:rsidDel="00000000" w:rsidP="00000000" w:rsidRDefault="00000000" w:rsidRPr="00000000" w14:paraId="00000008">
      <w:pPr>
        <w:spacing w:after="240" w:before="24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“…Con fundamento en lo establecido por los artículos 112 y 115 de la Ley de Protección de Datos Personales en Posesión de Sujetos Obligados del Estado de México y Municipios, se orienta al particular sobre el Sujeto Obligado que pueda dar trámite y atención a su solicitud de protección de personales....” (sic)</w:t>
      </w:r>
      <w:r w:rsidDel="00000000" w:rsidR="00000000" w:rsidRPr="00000000">
        <w:rPr>
          <w:rtl w:val="0"/>
        </w:rPr>
      </w:r>
    </w:p>
    <w:p w:rsidR="00000000" w:rsidDel="00000000" w:rsidP="00000000" w:rsidRDefault="00000000" w:rsidRPr="00000000" w14:paraId="0000000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adjuntó el escrito mediante el cual el Encargado del despacho de la Unidad de Transparencia hizo del conocimiento de la persona solicitante que este Instituto NO es la autoridad competente para hacer entrega de la información solicitada, toda vez que de las facultades, competencias o funciones de este Organismo Garante NO se advierte que genere, obtenga, adquiera, transforme, administre o posea la documentación que requiere, ya que la competencia de este Instituto es la de garantizar el ejercicio de los derechos de acceso a la información pública y la protección de datos personales en posesión de los Sujetos Obligados del Estado de México, asimismo, le orientó para efectos de que presentara su solicitud ante el Instituto de Seguridad Social del Estado de México y Municipios, (ISSEMYM).</w:t>
      </w:r>
    </w:p>
    <w:p w:rsidR="00000000" w:rsidDel="00000000" w:rsidP="00000000" w:rsidRDefault="00000000" w:rsidRPr="00000000" w14:paraId="0000000A">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seis de julio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del </w:t>
      </w:r>
      <w:r w:rsidDel="00000000" w:rsidR="00000000" w:rsidRPr="00000000">
        <w:rPr>
          <w:rFonts w:ascii="Palatino Linotype" w:cs="Palatino Linotype" w:eastAsia="Palatino Linotype" w:hAnsi="Palatino Linotype"/>
          <w:b w:val="1"/>
          <w:bCs w:val="1"/>
          <w:sz w:val="22"/>
          <w:szCs w:val="22"/>
          <w:rtl w:val="0"/>
        </w:rPr>
        <w:t xml:space="preserve">SARCOEM,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0B">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C">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D">
      <w:pPr>
        <w:tabs>
          <w:tab w:val="left" w:leader="none" w:pos="2745"/>
        </w:tabs>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0E">
      <w:pPr>
        <w:tabs>
          <w:tab w:val="left" w:leader="none" w:pos="2745"/>
        </w:tabs>
        <w:spacing w:after="240" w:before="24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“Falta de atención médico en tiempo y forma,y que mi juicio personal es una negligencia médica,y por tratarse de que los responsables son servidores públicos iniciaré las carpetas de investigación correspondientes de forma penal. Es el motivo por el cual estoy solicitando copia de mi expediente certificada, foleado,y completa esto para señalar de manera puntual los actos que eh mencionado con anterioridad. (sic)</w:t>
      </w:r>
    </w:p>
    <w:p w:rsidR="00000000" w:rsidDel="00000000" w:rsidP="00000000" w:rsidRDefault="00000000" w:rsidRPr="00000000" w14:paraId="0000000F">
      <w:pPr>
        <w:spacing w:line="360" w:lineRule="auto"/>
        <w:jc w:val="both"/>
        <w:rPr>
          <w:rFonts w:ascii="Palatino Linotype" w:cs="Palatino Linotype" w:eastAsia="Palatino Linotype" w:hAnsi="Palatino Linotype"/>
          <w:sz w:val="22"/>
          <w:szCs w:val="22"/>
        </w:rPr>
      </w:pPr>
      <w:bookmarkStart w:colFirst="0" w:colLast="0" w:name="_heading=h.30j0zll" w:id="3"/>
      <w:bookmarkEnd w:id="3"/>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10">
      <w:pPr>
        <w:tabs>
          <w:tab w:val="left" w:leader="none" w:pos="2745"/>
        </w:tabs>
        <w:spacing w:after="240" w:before="240" w:lineRule="auto"/>
        <w:ind w:left="851" w:right="900" w:firstLine="0"/>
        <w:jc w:val="both"/>
        <w:rPr>
          <w:rFonts w:ascii="Palatino Linotype" w:cs="Palatino Linotype" w:eastAsia="Palatino Linotype" w:hAnsi="Palatino Linotype"/>
          <w:i w:val="1"/>
          <w:iCs w:val="1"/>
          <w:sz w:val="22"/>
          <w:szCs w:val="22"/>
        </w:rPr>
      </w:pPr>
      <w:bookmarkStart w:colFirst="0" w:colLast="0" w:name="_heading=h.2et92p0" w:id="4"/>
      <w:bookmarkEnd w:id="4"/>
      <w:r w:rsidDel="00000000" w:rsidR="00000000" w:rsidRPr="00000000">
        <w:rPr>
          <w:rFonts w:ascii="Palatino Linotype" w:cs="Palatino Linotype" w:eastAsia="Palatino Linotype" w:hAnsi="Palatino Linotype"/>
          <w:i w:val="1"/>
          <w:iCs w:val="1"/>
          <w:sz w:val="22"/>
          <w:szCs w:val="22"/>
          <w:rtl w:val="0"/>
        </w:rPr>
        <w:t xml:space="preserve">“Falta de atención” (sic)</w:t>
      </w:r>
    </w:p>
    <w:p w:rsidR="00000000" w:rsidDel="00000000" w:rsidP="00000000" w:rsidRDefault="00000000" w:rsidRPr="00000000" w14:paraId="00000011">
      <w:pPr>
        <w:spacing w:after="240" w:before="240" w:line="360" w:lineRule="auto"/>
        <w:ind w:right="51"/>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los artículos 11 y 127, de la Ley de Protección de Datos Personales en Posesión de Sujetos Obligados del Estado de México y Municipios, en relación con el diverso 185, fracción I, de la Ley de Transparencia y Acceso a la Información Pública del Estado de México y Municipios, de aplicación supletoria a la citada Ley de Protección de Datos Personales, el presente recurso de revisión se turnó mediante el sistema electrónico </w:t>
      </w:r>
      <w:r w:rsidDel="00000000" w:rsidR="00000000" w:rsidRPr="00000000">
        <w:rPr>
          <w:rFonts w:ascii="Palatino Linotype" w:cs="Palatino Linotype" w:eastAsia="Palatino Linotype" w:hAnsi="Palatino Linotype"/>
          <w:b w:val="1"/>
          <w:bCs w:val="1"/>
          <w:sz w:val="22"/>
          <w:szCs w:val="22"/>
          <w:rtl w:val="0"/>
        </w:rPr>
        <w:t xml:space="preserve">SARCOEM</w:t>
      </w:r>
      <w:r w:rsidDel="00000000" w:rsidR="00000000" w:rsidRPr="00000000">
        <w:rPr>
          <w:rFonts w:ascii="Palatino Linotype" w:cs="Palatino Linotype" w:eastAsia="Palatino Linotype" w:hAnsi="Palatino Linotype"/>
          <w:sz w:val="22"/>
          <w:szCs w:val="22"/>
          <w:rtl w:val="0"/>
        </w:rPr>
        <w:t xml:space="preserve">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r w:rsidDel="00000000" w:rsidR="00000000" w:rsidRPr="00000000">
        <w:rPr>
          <w:rtl w:val="0"/>
        </w:rPr>
      </w:r>
    </w:p>
    <w:p w:rsidR="00000000" w:rsidDel="00000000" w:rsidP="00000000" w:rsidRDefault="00000000" w:rsidRPr="00000000" w14:paraId="0000001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catorce de julio de dos mil veintiséis, </w:t>
      </w:r>
      <w:r w:rsidDel="00000000" w:rsidR="00000000" w:rsidRPr="00000000">
        <w:rPr>
          <w:rFonts w:ascii="Palatino Linotype" w:cs="Palatino Linotype" w:eastAsia="Palatino Linotype" w:hAnsi="Palatino Linotype"/>
          <w:sz w:val="22"/>
          <w:szCs w:val="22"/>
          <w:rtl w:val="0"/>
        </w:rPr>
        <w:t xml:space="preserve">de conformidad con lo dispuesto en los artículos 11 y 127 de la Ley de Protección de Datos Personales en Posesión de Sujetos Obligados del Estado de México y Municipios y 185, fracción II de la Ley de Transparencia y Acceso a la Información Pública del Estado de México y Municipios de aplicación supletoria, se admitió a trámite del referido recurso de revisión.</w:t>
      </w:r>
    </w:p>
    <w:p w:rsidR="00000000" w:rsidDel="00000000" w:rsidP="00000000" w:rsidRDefault="00000000" w:rsidRPr="00000000" w14:paraId="00000013">
      <w:pPr>
        <w:spacing w:after="240" w:before="240"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cinco de agosto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a través de SARCOEM, su informe justificado, mediante el cual ratificó la respuesta proporcionada en primera instancia.</w:t>
      </w:r>
    </w:p>
    <w:p w:rsidR="00000000" w:rsidDel="00000000" w:rsidP="00000000" w:rsidRDefault="00000000" w:rsidRPr="00000000" w14:paraId="0000001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Documentos que una vez analizados se hicieron del conocimiento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con la finalidad de que manifestara lo que a su derecho estimara conveniente, sin embargo, fue omisa en ejercer dicha prerrogativa.</w:t>
      </w:r>
    </w:p>
    <w:p w:rsidR="00000000" w:rsidDel="00000000" w:rsidP="00000000" w:rsidRDefault="00000000" w:rsidRPr="00000000" w14:paraId="00000015">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7.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el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veintiséis, </w:t>
      </w:r>
      <w:r w:rsidDel="00000000" w:rsidR="00000000" w:rsidRPr="00000000">
        <w:rPr>
          <w:rFonts w:ascii="Palatino Linotype" w:cs="Palatino Linotype" w:eastAsia="Palatino Linotype" w:hAnsi="Palatino Linotype"/>
          <w:sz w:val="22"/>
          <w:szCs w:val="22"/>
          <w:rtl w:val="0"/>
        </w:rPr>
        <w:t xml:space="preserve">la Comisionada Ponente determinó el cierre de instrucción en términos de los artículos 127 de la Ley de Protección de Datos Personales en Posesión de Sujetos Obligados del Estado de México y Municipios, y 185, fracción VI del artículo de la Ley de Transparencia y Acceso a la Información Pública del Estado de México y Municipios, de aplicación supletoria.</w:t>
      </w:r>
      <w:r w:rsidDel="00000000" w:rsidR="00000000" w:rsidRPr="00000000">
        <w:rPr>
          <w:rtl w:val="0"/>
        </w:rPr>
      </w:r>
    </w:p>
    <w:p w:rsidR="00000000" w:rsidDel="00000000" w:rsidP="00000000" w:rsidRDefault="00000000" w:rsidRPr="00000000" w14:paraId="0000001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17">
      <w:pPr>
        <w:widowControl w:val="0"/>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1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conforme a lo dispuesto en los artículos 6, apartado A de la Constitución Política de los Estados Unidos Mexicanos;   1, 8, 9, 10, 34 y 35 fracciones I, II y III, de la Ley General de Transparencia y Acceso a la Información Pública, vigente a la fecha de la solicitud; 5, párrafos cuadragésimo cuarto, cuadragésimo quinto cuadragésimo sexto, fracciones IV y V de la Constitución Política del Estado Libre y Soberano de México; Transitorio Cuarto, párrafo segundo del Decreto número 198 de la “LXII” Legislatura del Estado de México; 1, 2, fracciones II y IV; 13, 29, 36, fracciones I y II; 176, 178, 179, 181 párrafo tercero, 185, 188 y 189 de la Ley de Transparencia y Acceso a la Información Pública del Estado de México y Municipios; 7, 9, fracciones I y XXIV; 1, 3, fracción XXIV, fracción I, 103 y 111, de la Ley General de Protección de Datos Personales en Posesión de Sujetos Obligados, publicada en el Diario Oficial de la Federación el veintiséis de enero de dos mil diecisiete; vigente a la fecha de la solicitud; así como los artículos 1, 4, fracción XXII, 81, 82, fracción III, 119 y 137 de la Ley de Protección de Datos Personales en Posesión de Sujetos Obligados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bookmarkStart w:colFirst="0" w:colLast="0" w:name="_heading=h.tyjcwt" w:id="6"/>
      <w:bookmarkEnd w:id="6"/>
      <w:r w:rsidDel="00000000" w:rsidR="00000000" w:rsidRPr="00000000">
        <w:rPr>
          <w:rFonts w:ascii="Palatino Linotype" w:cs="Palatino Linotype" w:eastAsia="Palatino Linotype" w:hAnsi="Palatino Linotype"/>
          <w:b w:val="1"/>
          <w:bCs w:val="1"/>
          <w:sz w:val="22"/>
          <w:szCs w:val="22"/>
          <w:rtl w:val="0"/>
        </w:rPr>
        <w:t xml:space="preserve">Segundo. Oportunidad y Procedibilidad.</w:t>
      </w:r>
      <w:r w:rsidDel="00000000" w:rsidR="00000000" w:rsidRPr="00000000">
        <w:rPr>
          <w:rFonts w:ascii="Palatino Linotype" w:cs="Palatino Linotype" w:eastAsia="Palatino Linotype" w:hAnsi="Palatino Linotype"/>
          <w:sz w:val="22"/>
          <w:szCs w:val="22"/>
          <w:rtl w:val="0"/>
        </w:rPr>
        <w:t xml:space="preserve"> El recurso de revisión fue interpuesto dentro del plazo de quince días hábiles, hábiles contados a partir del día siguiente a la fecha de notificación de la respuesta impugnada, tal y como lo prevé el artículo 128 de la Ley de Protección de Datos Personales en Posesión de Sujetos Obligados del Estado de México y Municipios, que establece:</w:t>
      </w:r>
    </w:p>
    <w:p w:rsidR="00000000" w:rsidDel="00000000" w:rsidP="00000000" w:rsidRDefault="00000000" w:rsidRPr="00000000" w14:paraId="0000001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128. </w:t>
      </w:r>
      <w:r w:rsidDel="00000000" w:rsidR="00000000" w:rsidRPr="00000000">
        <w:rPr>
          <w:rFonts w:ascii="Palatino Linotype" w:cs="Palatino Linotype" w:eastAsia="Palatino Linotype" w:hAnsi="Palatino Linotype"/>
          <w:i w:val="1"/>
          <w:iCs w:val="1"/>
          <w:sz w:val="22"/>
          <w:szCs w:val="22"/>
          <w:rtl w:val="0"/>
        </w:rPr>
        <w:t xml:space="preserve">El titular, por sí mismo o a través de su representante, podrán interponer un recurso de revisión ante el Instituto o la Unidad de Transparencia del responsable que haya conocido de la solicitud para el ejercicio de los derechos ARCO, dentro de un plazo que no podrá exceder de quince días contados a partir del siguiente a la fecha de la notificación de la respuesta. </w:t>
      </w:r>
    </w:p>
    <w:p w:rsidR="00000000" w:rsidDel="00000000" w:rsidP="00000000" w:rsidRDefault="00000000" w:rsidRPr="00000000" w14:paraId="0000001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Transcurrido el plazo previsto para dar respuesta a una solicitud para el ejercicio de los derechos ARCO sin que se haya emitido ésta, el titular o en su caso, su representante podrán interponer el recurso de revisión dentro de los quince días siguientes al que haya vencido el plazo para dar respuesta.” </w:t>
      </w:r>
    </w:p>
    <w:p w:rsidR="00000000" w:rsidDel="00000000" w:rsidP="00000000" w:rsidRDefault="00000000" w:rsidRPr="00000000" w14:paraId="0000001C">
      <w:pPr>
        <w:widowControl w:val="0"/>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En esa tesitura, atendiendo a que el</w:t>
      </w:r>
      <w:r w:rsidDel="00000000" w:rsidR="00000000" w:rsidRPr="00000000">
        <w:rPr>
          <w:rFonts w:ascii="Palatino Linotype" w:cs="Palatino Linotype" w:eastAsia="Palatino Linotype" w:hAnsi="Palatino Linotype"/>
          <w:b w:val="1"/>
          <w:bCs w:val="1"/>
          <w:sz w:val="22"/>
          <w:szCs w:val="22"/>
          <w:rtl w:val="0"/>
        </w:rPr>
        <w:t xml:space="preserve"> Sujeto Obligado</w:t>
      </w:r>
      <w:r w:rsidDel="00000000" w:rsidR="00000000" w:rsidRPr="00000000">
        <w:rPr>
          <w:rFonts w:ascii="Palatino Linotype" w:cs="Palatino Linotype" w:eastAsia="Palatino Linotype" w:hAnsi="Palatino Linotype"/>
          <w:sz w:val="22"/>
          <w:szCs w:val="22"/>
          <w:rtl w:val="0"/>
        </w:rPr>
        <w:t xml:space="preserve"> notificó la respuesta a la solicitud de acceso a datos personales el</w:t>
      </w:r>
      <w:r w:rsidDel="00000000" w:rsidR="00000000" w:rsidRPr="00000000">
        <w:rPr>
          <w:rFonts w:ascii="Palatino Linotype" w:cs="Palatino Linotype" w:eastAsia="Palatino Linotype" w:hAnsi="Palatino Linotype"/>
          <w:b w:val="1"/>
          <w:bCs w:val="1"/>
          <w:sz w:val="22"/>
          <w:szCs w:val="22"/>
          <w:rtl w:val="0"/>
        </w:rPr>
        <w:t xml:space="preserve"> quince de junio de dos mil veintiséis</w:t>
      </w:r>
      <w:r w:rsidDel="00000000" w:rsidR="00000000" w:rsidRPr="00000000">
        <w:rPr>
          <w:rFonts w:ascii="Palatino Linotype" w:cs="Palatino Linotype" w:eastAsia="Palatino Linotype" w:hAnsi="Palatino Linotype"/>
          <w:sz w:val="22"/>
          <w:szCs w:val="22"/>
          <w:rtl w:val="0"/>
        </w:rPr>
        <w:t xml:space="preserve">, el plazo de quince días hábiles que contempla el artículo 128 de la Ley de Protección de Datos Personales en Posesión de Sujetos Obligados del Estado de México y Municipios, transcurrió del </w:t>
      </w:r>
      <w:r w:rsidDel="00000000" w:rsidR="00000000" w:rsidRPr="00000000">
        <w:rPr>
          <w:rFonts w:ascii="Palatino Linotype" w:cs="Palatino Linotype" w:eastAsia="Palatino Linotype" w:hAnsi="Palatino Linotype"/>
          <w:b w:val="1"/>
          <w:bCs w:val="1"/>
          <w:sz w:val="22"/>
          <w:szCs w:val="22"/>
          <w:rtl w:val="0"/>
        </w:rPr>
        <w:t xml:space="preserve">dieciséis de junio al seis de julio de dos mil veintiséis</w:t>
      </w:r>
      <w:r w:rsidDel="00000000" w:rsidR="00000000" w:rsidRPr="00000000">
        <w:rPr>
          <w:rFonts w:ascii="Palatino Linotype" w:cs="Palatino Linotype" w:eastAsia="Palatino Linotype" w:hAnsi="Palatino Linotype"/>
          <w:sz w:val="22"/>
          <w:szCs w:val="22"/>
          <w:rtl w:val="0"/>
        </w:rPr>
        <w:t xml:space="preserve">; en términos de los artículos 4 fracción XV de la Ley de Protección de Datos Personales en Posesión de Sujetos Obligados del Estado de México y Municipios y 3 fracción X de la Ley de Transparencia y Acceso a la Información Pública del Estado de México y Municipios, de aplicación supletoria.</w:t>
      </w:r>
      <w:r w:rsidDel="00000000" w:rsidR="00000000" w:rsidRPr="00000000">
        <w:rPr>
          <w:rtl w:val="0"/>
        </w:rPr>
      </w:r>
    </w:p>
    <w:p w:rsidR="00000000" w:rsidDel="00000000" w:rsidP="00000000" w:rsidRDefault="00000000" w:rsidRPr="00000000" w14:paraId="0000001D">
      <w:pPr>
        <w:widowControl w:val="0"/>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 base a esta cronología, si el recurso de revisión que nos ocupa se interpuso el </w:t>
      </w:r>
      <w:r w:rsidDel="00000000" w:rsidR="00000000" w:rsidRPr="00000000">
        <w:rPr>
          <w:rFonts w:ascii="Palatino Linotype" w:cs="Palatino Linotype" w:eastAsia="Palatino Linotype" w:hAnsi="Palatino Linotype"/>
          <w:b w:val="1"/>
          <w:bCs w:val="1"/>
          <w:sz w:val="22"/>
          <w:szCs w:val="22"/>
          <w:rtl w:val="0"/>
        </w:rPr>
        <w:t xml:space="preserve">seis de julio de dos mil veintiséis</w:t>
      </w:r>
      <w:r w:rsidDel="00000000" w:rsidR="00000000" w:rsidRPr="00000000">
        <w:rPr>
          <w:rFonts w:ascii="Palatino Linotype" w:cs="Palatino Linotype" w:eastAsia="Palatino Linotype" w:hAnsi="Palatino Linotype"/>
          <w:sz w:val="22"/>
          <w:szCs w:val="22"/>
          <w:rtl w:val="0"/>
        </w:rPr>
        <w:t xml:space="preserve">; es decir, al décimo quinto día hábil posterior a aquel en el que tuvo conocimiento de la respuesta; se encuentra dentro de los márgenes temporales previstos en el artículo 128 de la Ley de Protección de Datos Personales en Posesión de Sujetos Obligados del Estado de México y Municipios y, por tanto, </w:t>
      </w:r>
      <w:r w:rsidDel="00000000" w:rsidR="00000000" w:rsidRPr="00000000">
        <w:rPr>
          <w:rFonts w:ascii="Palatino Linotype" w:cs="Palatino Linotype" w:eastAsia="Palatino Linotype" w:hAnsi="Palatino Linotype"/>
          <w:b w:val="1"/>
          <w:bCs w:val="1"/>
          <w:sz w:val="22"/>
          <w:szCs w:val="22"/>
          <w:rtl w:val="0"/>
        </w:rPr>
        <w:t xml:space="preserve">su interposición se considera oportuna</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1E">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efectuado se advierte que resulta procedente la interposición del recurso y se concluye la acreditación plena de todos y cada uno de los elementos formales exigidos por el artículo 130 de la Ley de Protección de Datos Personales en Posesión de Sujetos Obligados del Estado de México y Municipios, en atención a que fue presentado mediante el formato visible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del</w:t>
      </w:r>
      <w:r w:rsidDel="00000000" w:rsidR="00000000" w:rsidRPr="00000000">
        <w:rPr>
          <w:rFonts w:ascii="Palatino Linotype" w:cs="Palatino Linotype" w:eastAsia="Palatino Linotype" w:hAnsi="Palatino Linotype"/>
          <w:b w:val="1"/>
          <w:bCs w:val="1"/>
          <w:sz w:val="22"/>
          <w:szCs w:val="22"/>
          <w:rtl w:val="0"/>
        </w:rPr>
        <w:t xml:space="preserve"> SARCOEM.  </w:t>
      </w:r>
    </w:p>
    <w:p w:rsidR="00000000" w:rsidDel="00000000" w:rsidP="00000000" w:rsidRDefault="00000000" w:rsidRPr="00000000" w14:paraId="0000001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129, fracciones III y VI del ordenamiento legal citado, que a la letra dice: </w:t>
      </w:r>
    </w:p>
    <w:p w:rsidR="00000000" w:rsidDel="00000000" w:rsidP="00000000" w:rsidRDefault="00000000" w:rsidRPr="00000000" w14:paraId="00000020">
      <w:pP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Procedencia del Recurso de Revisión </w:t>
      </w:r>
    </w:p>
    <w:p w:rsidR="00000000" w:rsidDel="00000000" w:rsidP="00000000" w:rsidRDefault="00000000" w:rsidRPr="00000000" w14:paraId="00000021">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129. </w:t>
      </w:r>
      <w:r w:rsidDel="00000000" w:rsidR="00000000" w:rsidRPr="00000000">
        <w:rPr>
          <w:rFonts w:ascii="Palatino Linotype" w:cs="Palatino Linotype" w:eastAsia="Palatino Linotype" w:hAnsi="Palatino Linotype"/>
          <w:i w:val="1"/>
          <w:iCs w:val="1"/>
          <w:sz w:val="22"/>
          <w:szCs w:val="22"/>
          <w:rtl w:val="0"/>
        </w:rPr>
        <w:t xml:space="preserve">El recurso de revisión procederá en los supuestos siguientes:</w:t>
      </w:r>
    </w:p>
    <w:p w:rsidR="00000000" w:rsidDel="00000000" w:rsidP="00000000" w:rsidRDefault="00000000" w:rsidRPr="00000000" w14:paraId="00000022">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3">
      <w:pPr>
        <w:spacing w:after="120" w:before="120" w:lineRule="auto"/>
        <w:ind w:left="851" w:right="900"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 </w:t>
      </w:r>
      <w:r w:rsidDel="00000000" w:rsidR="00000000" w:rsidRPr="00000000">
        <w:rPr>
          <w:rFonts w:ascii="Palatino Linotype" w:cs="Palatino Linotype" w:eastAsia="Palatino Linotype" w:hAnsi="Palatino Linotype"/>
          <w:i w:val="1"/>
          <w:iCs w:val="1"/>
          <w:sz w:val="22"/>
          <w:szCs w:val="22"/>
          <w:rtl w:val="0"/>
        </w:rPr>
        <w:t xml:space="preserve">Se declare la incompetencia por el responsable.</w:t>
      </w:r>
      <w:r w:rsidDel="00000000" w:rsidR="00000000" w:rsidRPr="00000000">
        <w:rPr>
          <w:rtl w:val="0"/>
        </w:rPr>
      </w:r>
    </w:p>
    <w:p w:rsidR="00000000" w:rsidDel="00000000" w:rsidP="00000000" w:rsidRDefault="00000000" w:rsidRPr="00000000" w14:paraId="00000024">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5">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w:t>
      </w:r>
      <w:r w:rsidDel="00000000" w:rsidR="00000000" w:rsidRPr="00000000">
        <w:rPr>
          <w:rFonts w:ascii="Palatino Linotype" w:cs="Palatino Linotype" w:eastAsia="Palatino Linotype" w:hAnsi="Palatino Linotype"/>
          <w:i w:val="1"/>
          <w:iCs w:val="1"/>
          <w:sz w:val="22"/>
          <w:szCs w:val="22"/>
          <w:rtl w:val="0"/>
        </w:rPr>
        <w:t xml:space="preserve"> Se niegue total o parcialmente el acceso, rectificación, cancelación u oposición de datos personales o los derechos relacionados con la materia. VII. No se dé”</w:t>
      </w:r>
    </w:p>
    <w:p w:rsidR="00000000" w:rsidDel="00000000" w:rsidP="00000000" w:rsidRDefault="00000000" w:rsidRPr="00000000" w14:paraId="00000026">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Estudio y resolución del asunto.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En primer término, es de señalar que el ejercicio de los derechos de acceso, rectificación, cancelación y oposición, ARCO, se encuentra regulado por el artículo 6 apartado A, y 16 segundo párrafo de la Constitución de los Estados Unidos Mexicanos, los cuales establecen lo siguiente: </w:t>
      </w:r>
    </w:p>
    <w:p w:rsidR="00000000" w:rsidDel="00000000" w:rsidP="00000000" w:rsidRDefault="00000000" w:rsidRPr="00000000" w14:paraId="00000027">
      <w:pPr>
        <w:tabs>
          <w:tab w:val="left" w:leader="none" w:pos="99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6o.</w:t>
      </w:r>
      <w:r w:rsidDel="00000000" w:rsidR="00000000" w:rsidRPr="00000000">
        <w:rPr>
          <w:rtl w:val="0"/>
        </w:rPr>
      </w:r>
    </w:p>
    <w:p w:rsidR="00000000" w:rsidDel="00000000" w:rsidP="00000000" w:rsidRDefault="00000000" w:rsidRPr="00000000" w14:paraId="00000028">
      <w:pPr>
        <w:tabs>
          <w:tab w:val="left" w:leader="none" w:pos="99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993"/>
          <w:tab w:val="left" w:leader="none" w:pos="751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 Para el ejercicio del derecho de acceso a la información, la Federación y las entidades federativas, en el ámbito de sus respectivas competencias, se regirán por los siguientes principios y bases:</w:t>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99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B">
      <w:pPr>
        <w:tabs>
          <w:tab w:val="left" w:leader="none" w:pos="99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w:t>
      </w:r>
      <w:r w:rsidDel="00000000" w:rsidR="00000000" w:rsidRPr="00000000">
        <w:rPr>
          <w:rFonts w:ascii="Palatino Linotype" w:cs="Palatino Linotype" w:eastAsia="Palatino Linotype" w:hAnsi="Palatino Linotype"/>
          <w:b w:val="1"/>
          <w:bCs w:val="1"/>
          <w:i w:val="1"/>
          <w:iCs w:val="1"/>
          <w:sz w:val="22"/>
          <w:szCs w:val="22"/>
          <w:rtl w:val="0"/>
        </w:rPr>
        <w:t xml:space="preserve">La información que se refiere a la vida privada y los datos personales será protegida </w:t>
      </w:r>
      <w:r w:rsidDel="00000000" w:rsidR="00000000" w:rsidRPr="00000000">
        <w:rPr>
          <w:rFonts w:ascii="Palatino Linotype" w:cs="Palatino Linotype" w:eastAsia="Palatino Linotype" w:hAnsi="Palatino Linotype"/>
          <w:i w:val="1"/>
          <w:iCs w:val="1"/>
          <w:sz w:val="22"/>
          <w:szCs w:val="22"/>
          <w:rtl w:val="0"/>
        </w:rPr>
        <w:t xml:space="preserve">en los términos y con las excepciones que fijen las leyes.</w:t>
      </w:r>
    </w:p>
    <w:p w:rsidR="00000000" w:rsidDel="00000000" w:rsidP="00000000" w:rsidRDefault="00000000" w:rsidRPr="00000000" w14:paraId="0000002C">
      <w:pPr>
        <w:tabs>
          <w:tab w:val="left" w:leader="none" w:pos="99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D">
      <w:pPr>
        <w:tabs>
          <w:tab w:val="left" w:leader="none" w:pos="993"/>
          <w:tab w:val="left" w:leader="none" w:pos="7797"/>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16.</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Toda persona </w:t>
      </w:r>
      <w:r w:rsidDel="00000000" w:rsidR="00000000" w:rsidRPr="00000000">
        <w:rPr>
          <w:rFonts w:ascii="Palatino Linotype" w:cs="Palatino Linotype" w:eastAsia="Palatino Linotype" w:hAnsi="Palatino Linotype"/>
          <w:b w:val="1"/>
          <w:bCs w:val="1"/>
          <w:i w:val="1"/>
          <w:iCs w:val="1"/>
          <w:sz w:val="22"/>
          <w:szCs w:val="22"/>
          <w:rtl w:val="0"/>
        </w:rPr>
        <w:t xml:space="preserve">tiene derecho a la protección de sus datos personales, al acceso, </w:t>
      </w:r>
      <w:r w:rsidDel="00000000" w:rsidR="00000000" w:rsidRPr="00000000">
        <w:rPr>
          <w:rFonts w:ascii="Palatino Linotype" w:cs="Palatino Linotype" w:eastAsia="Palatino Linotype" w:hAnsi="Palatino Linotype"/>
          <w:i w:val="1"/>
          <w:iCs w:val="1"/>
          <w:sz w:val="22"/>
          <w:szCs w:val="22"/>
          <w:rtl w:val="0"/>
        </w:rPr>
        <w:t xml:space="preserve">rectificación y cancelación de los mismos, así</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como a manifestar su oposición, en los términos que fije la ley,</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la cual establecerá los supuestos de excepción a los principios que rijan el tratamiento de datos, por razones de seguridad nacional, disposiciones de orden público, seguridad y salud públicas o para proteger los derechos de terceros.”</w:t>
      </w:r>
    </w:p>
    <w:p w:rsidR="00000000" w:rsidDel="00000000" w:rsidP="00000000" w:rsidRDefault="00000000" w:rsidRPr="00000000" w14:paraId="0000002E">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 anterior, se desprende que </w:t>
      </w:r>
      <w:r w:rsidDel="00000000" w:rsidR="00000000" w:rsidRPr="00000000">
        <w:rPr>
          <w:rFonts w:ascii="Palatino Linotype" w:cs="Palatino Linotype" w:eastAsia="Palatino Linotype" w:hAnsi="Palatino Linotype"/>
          <w:b w:val="1"/>
          <w:bCs w:val="1"/>
          <w:sz w:val="22"/>
          <w:szCs w:val="22"/>
          <w:rtl w:val="0"/>
        </w:rPr>
        <w:t xml:space="preserve">la protección de datos personales</w:t>
      </w:r>
      <w:r w:rsidDel="00000000" w:rsidR="00000000" w:rsidRPr="00000000">
        <w:rPr>
          <w:rFonts w:ascii="Palatino Linotype" w:cs="Palatino Linotype" w:eastAsia="Palatino Linotype" w:hAnsi="Palatino Linotype"/>
          <w:sz w:val="22"/>
          <w:szCs w:val="22"/>
          <w:rtl w:val="0"/>
        </w:rPr>
        <w:t xml:space="preserve"> es un derecho fundamental, así como la información referente al ámbito privado de las personas, los cuales deben estar protegidos en los términos y con las excepciones a los principios de tratamiento de datos que por razones de orden público fije la ley, por lo que toda persona tiene derecho a la protección de sus datos personales.</w:t>
      </w:r>
    </w:p>
    <w:p w:rsidR="00000000" w:rsidDel="00000000" w:rsidP="00000000" w:rsidRDefault="00000000" w:rsidRPr="00000000" w14:paraId="0000002F">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Ante tal premisa se puede apreciar que la inclusión</w:t>
      </w:r>
      <w:r w:rsidDel="00000000" w:rsidR="00000000" w:rsidRPr="00000000">
        <w:rPr>
          <w:rFonts w:ascii="Palatino Linotype" w:cs="Palatino Linotype" w:eastAsia="Palatino Linotype" w:hAnsi="Palatino Linotype"/>
          <w:b w:val="1"/>
          <w:bCs w:val="1"/>
          <w:sz w:val="22"/>
          <w:szCs w:val="22"/>
          <w:rtl w:val="0"/>
        </w:rPr>
        <w:t xml:space="preserve"> del derecho al acceso de datos personales en nuestra Constitución permite que cualquier persona -titular de datos personales obtenga la protección en esta materia.</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la Ley de Protección de Datos Personales en Posesión de Sujetos Obligados del Estado de México y Municipios, señala expresamente que:</w:t>
      </w:r>
    </w:p>
    <w:p w:rsidR="00000000" w:rsidDel="00000000" w:rsidP="00000000" w:rsidRDefault="00000000" w:rsidRPr="00000000" w14:paraId="00000031">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Para los efectos de esta Ley se entenderá por:</w:t>
      </w:r>
    </w:p>
    <w:p w:rsidR="00000000" w:rsidDel="00000000" w:rsidP="00000000" w:rsidRDefault="00000000" w:rsidRPr="00000000" w14:paraId="00000032">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3">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Datos personales</w:t>
      </w:r>
      <w:r w:rsidDel="00000000" w:rsidR="00000000" w:rsidRPr="00000000">
        <w:rPr>
          <w:rFonts w:ascii="Palatino Linotype" w:cs="Palatino Linotype" w:eastAsia="Palatino Linotype" w:hAnsi="Palatino Linotype"/>
          <w:i w:val="1"/>
          <w:iCs w:val="1"/>
          <w:sz w:val="22"/>
          <w:szCs w:val="22"/>
          <w:rtl w:val="0"/>
        </w:rPr>
        <w:t xml:space="preserve">: a la información concerniente a una persona física o jurídica colectiva identificada o identificable, establecida en cualquier formato o modalidad, y que esté almacenada en los sistemas y bases de datos, se considerará que una persona es identificable cuando su identidad pueda determinarse directa o indirectamente a través de cualquier documento informativo físico o electrónico.</w:t>
      </w:r>
    </w:p>
    <w:p w:rsidR="00000000" w:rsidDel="00000000" w:rsidP="00000000" w:rsidRDefault="00000000" w:rsidRPr="00000000" w14:paraId="00000034">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5">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XIII.</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Derechos ARCO:</w:t>
      </w:r>
      <w:r w:rsidDel="00000000" w:rsidR="00000000" w:rsidRPr="00000000">
        <w:rPr>
          <w:rFonts w:ascii="Palatino Linotype" w:cs="Palatino Linotype" w:eastAsia="Palatino Linotype" w:hAnsi="Palatino Linotype"/>
          <w:i w:val="1"/>
          <w:iCs w:val="1"/>
          <w:sz w:val="22"/>
          <w:szCs w:val="22"/>
          <w:rtl w:val="0"/>
        </w:rPr>
        <w:t xml:space="preserve"> a los derechos de Acceso, Rectificación, Cancelación y Oposición al tratamiento de datos personales.</w:t>
      </w:r>
    </w:p>
    <w:p w:rsidR="00000000" w:rsidDel="00000000" w:rsidP="00000000" w:rsidRDefault="00000000" w:rsidRPr="00000000" w14:paraId="00000036">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7">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XLI. Responsable: a los sujetos obligados a que se refiere la presente Ley que deciden sobre el tratamiento de los datos personales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8">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9">
      <w:pPr>
        <w:spacing w:after="120" w:before="120" w:lineRule="auto"/>
        <w:ind w:left="851" w:right="1185"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 Tratamiento: a las operaciones efectuadas por los procedimientos manuales o automatizados aplicados a los datos personales, relacionadas con la obtención, uso, registro, organización, conservación, elaboración, utilización, comunicación, difusión, almacenamiento, posesión, acceso, manejo, aprovechamiento, divulgación, transferencia o disposición de datos personales.</w:t>
      </w:r>
    </w:p>
    <w:p w:rsidR="00000000" w:rsidDel="00000000" w:rsidP="00000000" w:rsidRDefault="00000000" w:rsidRPr="00000000" w14:paraId="0000003A">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B">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97.</w:t>
      </w:r>
      <w:r w:rsidDel="00000000" w:rsidR="00000000" w:rsidRPr="00000000">
        <w:rPr>
          <w:rFonts w:ascii="Palatino Linotype" w:cs="Palatino Linotype" w:eastAsia="Palatino Linotype" w:hAnsi="Palatino Linotype"/>
          <w:i w:val="1"/>
          <w:iCs w:val="1"/>
          <w:sz w:val="22"/>
          <w:szCs w:val="22"/>
          <w:rtl w:val="0"/>
        </w:rPr>
        <w:t xml:space="preserve"> Los derechos de acceso, rectificación, cancelación y oposición de datos personales son derechos independientes. </w:t>
      </w:r>
      <w:r w:rsidDel="00000000" w:rsidR="00000000" w:rsidRPr="00000000">
        <w:rPr>
          <w:rFonts w:ascii="Palatino Linotype" w:cs="Palatino Linotype" w:eastAsia="Palatino Linotype" w:hAnsi="Palatino Linotype"/>
          <w:b w:val="1"/>
          <w:bCs w:val="1"/>
          <w:i w:val="1"/>
          <w:iCs w:val="1"/>
          <w:sz w:val="22"/>
          <w:szCs w:val="22"/>
          <w:rtl w:val="0"/>
        </w:rPr>
        <w:t xml:space="preserve">El ejercicio de cualquiera de ellos no es requisito previo no impide el ejercicio de otro</w:t>
      </w:r>
      <w:r w:rsidDel="00000000" w:rsidR="00000000" w:rsidRPr="00000000">
        <w:rPr>
          <w:rFonts w:ascii="Palatino Linotype" w:cs="Palatino Linotype" w:eastAsia="Palatino Linotype" w:hAnsi="Palatino Linotype"/>
          <w:i w:val="1"/>
          <w:iCs w:val="1"/>
          <w:sz w:val="22"/>
          <w:szCs w:val="22"/>
          <w:rtl w:val="0"/>
        </w:rPr>
        <w:t xml:space="preserve">. La procedencia de estos derechos, en su caso, se hará efectiva una vez que el titular o su representante legal acrediten su identidad o representación, respectivamente.</w:t>
      </w:r>
    </w:p>
    <w:p w:rsidR="00000000" w:rsidDel="00000000" w:rsidP="00000000" w:rsidRDefault="00000000" w:rsidRPr="00000000" w14:paraId="0000003C">
      <w:pPr>
        <w:spacing w:after="120" w:before="120" w:lineRule="auto"/>
        <w:ind w:left="851" w:right="1185"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3D">
      <w:pPr>
        <w:spacing w:after="120" w:before="120" w:lineRule="auto"/>
        <w:ind w:left="851" w:right="1185"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98. El titular tiene derecho a</w:t>
      </w:r>
      <w:r w:rsidDel="00000000" w:rsidR="00000000" w:rsidRPr="00000000">
        <w:rPr>
          <w:rFonts w:ascii="Palatino Linotype" w:cs="Palatino Linotype" w:eastAsia="Palatino Linotype" w:hAnsi="Palatino Linotype"/>
          <w:i w:val="1"/>
          <w:iCs w:val="1"/>
          <w:sz w:val="22"/>
          <w:szCs w:val="22"/>
          <w:rtl w:val="0"/>
        </w:rPr>
        <w:t xml:space="preserve"> acceder, </w:t>
      </w:r>
      <w:r w:rsidDel="00000000" w:rsidR="00000000" w:rsidRPr="00000000">
        <w:rPr>
          <w:rFonts w:ascii="Palatino Linotype" w:cs="Palatino Linotype" w:eastAsia="Palatino Linotype" w:hAnsi="Palatino Linotype"/>
          <w:b w:val="1"/>
          <w:bCs w:val="1"/>
          <w:i w:val="1"/>
          <w:iCs w:val="1"/>
          <w:sz w:val="22"/>
          <w:szCs w:val="22"/>
          <w:rtl w:val="0"/>
        </w:rPr>
        <w:t xml:space="preserve">solicitar y ser informado sobre sus datos personales en posesión de los sujetos obligados</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así como la información relacionada con las condiciones y generalidades de su tratamiento, tales como el origen de los datos, las condiciones del tratamiento del cual sean objeto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las cesiones realizadas o que se pretendan realizar,</w:t>
      </w:r>
      <w:r w:rsidDel="00000000" w:rsidR="00000000" w:rsidRPr="00000000">
        <w:rPr>
          <w:rFonts w:ascii="Palatino Linotype" w:cs="Palatino Linotype" w:eastAsia="Palatino Linotype" w:hAnsi="Palatino Linotype"/>
          <w:i w:val="1"/>
          <w:iCs w:val="1"/>
          <w:sz w:val="22"/>
          <w:szCs w:val="22"/>
          <w:rtl w:val="0"/>
        </w:rPr>
        <w:t xml:space="preserve"> así como tener acceso al aviso de privacidad al que está sujeto.</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3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anteriores preceptos se advierte que, por datos personales se entenderá a la información concerniente a una persona física identificada o identificable; y se considera que una persona es </w:t>
      </w:r>
      <w:r w:rsidDel="00000000" w:rsidR="00000000" w:rsidRPr="00000000">
        <w:rPr>
          <w:rFonts w:ascii="Palatino Linotype" w:cs="Palatino Linotype" w:eastAsia="Palatino Linotype" w:hAnsi="Palatino Linotype"/>
          <w:b w:val="1"/>
          <w:bCs w:val="1"/>
          <w:sz w:val="22"/>
          <w:szCs w:val="22"/>
          <w:rtl w:val="0"/>
        </w:rPr>
        <w:t xml:space="preserve">identificable cuando su identidad pueda determinarse directa o indirectamente a través de cualquier información</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3F">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Así mismo, destaca que el titular tendrá derecho de acceder a sus datos personales que obren en posesión del responsable, así como conocer la información relacionada con las condiciones y generalidades de su tratamiento. En la inteligencia que el tratamiento será cuando se realicen operaciones efectuadas por los procedimientos manuales o automatizados aplicados a los datos personales, relacionadas </w:t>
      </w:r>
      <w:r w:rsidDel="00000000" w:rsidR="00000000" w:rsidRPr="00000000">
        <w:rPr>
          <w:rFonts w:ascii="Palatino Linotype" w:cs="Palatino Linotype" w:eastAsia="Palatino Linotype" w:hAnsi="Palatino Linotype"/>
          <w:b w:val="1"/>
          <w:bCs w:val="1"/>
          <w:sz w:val="22"/>
          <w:szCs w:val="22"/>
          <w:rtl w:val="0"/>
        </w:rPr>
        <w:t xml:space="preserve">con la obtención, uso, registro, organización, conservación, elaboración, utilización, comunicación, difusión, almacenamiento, posesión, acceso, manejo, aprovechamiento, divulgación, transferencia o disposición de datos personales.</w:t>
      </w:r>
    </w:p>
    <w:p w:rsidR="00000000" w:rsidDel="00000000" w:rsidP="00000000" w:rsidRDefault="00000000" w:rsidRPr="00000000" w14:paraId="0000004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Bajo esa tesitura, los preceptos legales de mérito establecen que en todo momento el titular de la información que se encuentra en posesión de un sujeto obligado, tiene oportunidad de ejercer sus derechos ARCO y lo más importante es que la autoridad tiene la obligación de dar a conocer la información relacionada con su tratamiento, disposición y destino.</w:t>
      </w:r>
    </w:p>
    <w:p w:rsidR="00000000" w:rsidDel="00000000" w:rsidP="00000000" w:rsidRDefault="00000000" w:rsidRPr="00000000" w14:paraId="0000004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la</w:t>
      </w:r>
      <w:r w:rsidDel="00000000" w:rsidR="00000000" w:rsidRPr="00000000">
        <w:rPr>
          <w:rFonts w:ascii="Palatino Linotype" w:cs="Palatino Linotype" w:eastAsia="Palatino Linotype" w:hAnsi="Palatino Linotype"/>
          <w:b w:val="1"/>
          <w:bCs w:val="1"/>
          <w:sz w:val="22"/>
          <w:szCs w:val="22"/>
          <w:rtl w:val="0"/>
        </w:rPr>
        <w:t xml:space="preserve"> recepción y trámite </w:t>
      </w:r>
      <w:r w:rsidDel="00000000" w:rsidR="00000000" w:rsidRPr="00000000">
        <w:rPr>
          <w:rFonts w:ascii="Palatino Linotype" w:cs="Palatino Linotype" w:eastAsia="Palatino Linotype" w:hAnsi="Palatino Linotype"/>
          <w:sz w:val="22"/>
          <w:szCs w:val="22"/>
          <w:rtl w:val="0"/>
        </w:rPr>
        <w:t xml:space="preserve">de las solicitudes de ejercicio de los derechos ARCO,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que se formulen a los sujetos obligados</w:t>
      </w:r>
      <w:r w:rsidDel="00000000" w:rsidR="00000000" w:rsidRPr="00000000">
        <w:rPr>
          <w:rFonts w:ascii="Palatino Linotype" w:cs="Palatino Linotype" w:eastAsia="Palatino Linotype" w:hAnsi="Palatino Linotype"/>
          <w:b w:val="1"/>
          <w:bCs w:val="1"/>
          <w:sz w:val="22"/>
          <w:szCs w:val="22"/>
          <w:rtl w:val="0"/>
        </w:rPr>
        <w:t xml:space="preserve">, se sujetará al procedimiento establecido en el Título Tercero de la Ley General de Protección de Datos Personales en Posesión de Sujetos Obligados</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en consonancia con el Título Décimo de la Ley de Protección de Datos Personales en Posesión de Sujetos Obligados del Estado de México y Municipios</w:t>
      </w:r>
      <w:r w:rsidDel="00000000" w:rsidR="00000000" w:rsidRPr="00000000">
        <w:rPr>
          <w:rFonts w:ascii="Palatino Linotype" w:cs="Palatino Linotype" w:eastAsia="Palatino Linotype" w:hAnsi="Palatino Linotype"/>
          <w:sz w:val="22"/>
          <w:szCs w:val="22"/>
          <w:rtl w:val="0"/>
        </w:rPr>
        <w:t xml:space="preserve"> y demás disposiciones que resulten aplicables en la materia.</w:t>
      </w:r>
    </w:p>
    <w:p w:rsidR="00000000" w:rsidDel="00000000" w:rsidP="00000000" w:rsidRDefault="00000000" w:rsidRPr="00000000" w14:paraId="0000004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el alcance en materia de protección de datos personales, así como para su tratamiento, debemos considerar todas las operaciones efectuadas por los procedimientos manuales o automatizados aplicados a los datos personales, relativas a </w:t>
      </w:r>
      <w:r w:rsidDel="00000000" w:rsidR="00000000" w:rsidRPr="00000000">
        <w:rPr>
          <w:rFonts w:ascii="Palatino Linotype" w:cs="Palatino Linotype" w:eastAsia="Palatino Linotype" w:hAnsi="Palatino Linotype"/>
          <w:b w:val="1"/>
          <w:bCs w:val="1"/>
          <w:sz w:val="22"/>
          <w:szCs w:val="22"/>
          <w:rtl w:val="0"/>
        </w:rPr>
        <w:t xml:space="preserve">su obtención</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uso, registro, organización, conservación, elaboración, utilización, comunicación, almacenamiento, posesión, acceso, manejo, aprovechamiento divulgación, difusión, transferencia o disposición</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43">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así que, los derechos ARCO es el derecho humano con que cuenta una persona para la protección de sus datos personales, en posesión de Sujetos Obligados y el tratamiento de los mismos deber de sujetarse a los principios de licitud, finalidad, lealtad, consentimiento, calidad, proporcionalidad, información y responsabilidad.</w:t>
      </w:r>
    </w:p>
    <w:p w:rsidR="00000000" w:rsidDel="00000000" w:rsidP="00000000" w:rsidRDefault="00000000" w:rsidRPr="00000000" w14:paraId="0000004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Finalmente, del marco normativo en cita garantiza que el titular de los datos personales tendrá derecho a acceder, solicitar y ser informado sobre sus datos personales en posesión de los sujetos obligados,</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así como la información relacionada con las condiciones y generalidades de su tratamiento, tales como</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after="120" w:before="120" w:line="360" w:lineRule="auto"/>
        <w:ind w:left="1066" w:hanging="357"/>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El origen de los datos;</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spacing w:after="120" w:before="120" w:line="360" w:lineRule="auto"/>
        <w:ind w:left="1066" w:hanging="357"/>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 Las condiciones del tratamiento del cual sean objeto;</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after="120" w:before="120" w:line="360" w:lineRule="auto"/>
        <w:ind w:left="1066" w:hanging="357"/>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 Las cesiones realizadas o que se pretendan realizar; así como, </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120" w:before="120" w:line="360" w:lineRule="auto"/>
        <w:ind w:left="1066" w:hanging="35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 Tener acceso al aviso de privacidad al que está sujeto</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49">
      <w:pPr>
        <w:spacing w:after="280" w:before="28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Expuesto lo anterior, se procede al análisis de la totalidad de las constancias que integran el expediente electrónico en el que se actúa, con</w:t>
      </w:r>
      <w:r w:rsidDel="00000000" w:rsidR="00000000" w:rsidRPr="00000000">
        <w:rPr>
          <w:rFonts w:ascii="Palatino Linotype" w:cs="Palatino Linotype" w:eastAsia="Palatino Linotype" w:hAnsi="Palatino Linotype"/>
          <w:b w:val="1"/>
          <w:bCs w:val="1"/>
          <w:sz w:val="22"/>
          <w:szCs w:val="22"/>
          <w:rtl w:val="0"/>
        </w:rPr>
        <w:t xml:space="preserve"> el objeto de determinar si el pronunciamiento vertido por el Sujeto Obligado, en atención a la solicitud, es adecuado y suficiente para satisfacer el derecho de acceso a los datos personales de la parte Recurrente, o en su defecto, en caso de ser procedente, ordenar la entrega de los datos personales.</w:t>
      </w:r>
    </w:p>
    <w:p w:rsidR="00000000" w:rsidDel="00000000" w:rsidP="00000000" w:rsidRDefault="00000000" w:rsidRPr="00000000" w14:paraId="0000004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Acotado lo anterior, del análisis de la solicitud de acceso a datos personales, motivo del recurso de revisión que ahora se resuelve, se advierte que la persona solicitante requirió al </w:t>
      </w:r>
      <w:r w:rsidDel="00000000" w:rsidR="00000000" w:rsidRPr="00000000">
        <w:rPr>
          <w:rFonts w:ascii="Palatino Linotype" w:cs="Palatino Linotype" w:eastAsia="Palatino Linotype" w:hAnsi="Palatino Linotype"/>
          <w:b w:val="1"/>
          <w:bCs w:val="1"/>
          <w:sz w:val="22"/>
          <w:szCs w:val="22"/>
          <w:rtl w:val="0"/>
        </w:rPr>
        <w:t xml:space="preserve">Sujeto Obligado o Responsable</w:t>
      </w:r>
      <w:r w:rsidDel="00000000" w:rsidR="00000000" w:rsidRPr="00000000">
        <w:rPr>
          <w:rFonts w:ascii="Palatino Linotype" w:cs="Palatino Linotype" w:eastAsia="Palatino Linotype" w:hAnsi="Palatino Linotype"/>
          <w:sz w:val="22"/>
          <w:szCs w:val="22"/>
          <w:rtl w:val="0"/>
        </w:rPr>
        <w:t xml:space="preserve"> le proporcione, información consistente en lo siguiente:</w:t>
      </w:r>
    </w:p>
    <w:p w:rsidR="00000000" w:rsidDel="00000000" w:rsidP="00000000" w:rsidRDefault="00000000" w:rsidRPr="00000000" w14:paraId="0000004B">
      <w:pPr>
        <w:spacing w:after="240" w:before="240" w:line="360" w:lineRule="auto"/>
        <w:ind w:left="284" w:right="51"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1. Copia certificada de su expediente médico completo que obra en el Centro Médico ISSEMyM Toluca, debidamente foliado.</w:t>
      </w:r>
      <w:r w:rsidDel="00000000" w:rsidR="00000000" w:rsidRPr="00000000">
        <w:rPr>
          <w:rtl w:val="0"/>
        </w:rPr>
      </w:r>
    </w:p>
    <w:p w:rsidR="00000000" w:rsidDel="00000000" w:rsidP="00000000" w:rsidRDefault="00000000" w:rsidRPr="00000000" w14:paraId="0000004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 través del Titular de la Unidad de Transparencia, </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hizo del conocimiento de la persona solicitante, en términos de lo establecido por los artículos 112 y 115 de la Ley de Protección de Datos Personales en Posesión de Sujetos Obligados del Estado de México y Municipios, que este Instituto NO es la autoridad competente para hacer entrega de la información solicitada, toda vez que de las facultades, competencias o funciones de este Organismo Garante NO se advierte que genere, obtenga, adquiera, transforme, administre o posea la documentación que requiere, por lo que en el acto le orientó para efectos de que presentara su solicitud ante el Instituto de Seguridad Social del Estado de México y Municipios, (ISSEMYM).</w:t>
      </w:r>
    </w:p>
    <w:p w:rsidR="00000000" w:rsidDel="00000000" w:rsidP="00000000" w:rsidRDefault="00000000" w:rsidRPr="00000000" w14:paraId="0000004D">
      <w:pPr>
        <w:tabs>
          <w:tab w:val="left" w:leader="none" w:pos="709"/>
        </w:tabs>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Al no estar conforme con los términos de la respuesta emitida,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interpuso el recurso de revisión que nos ocupa, donde señaló como motivo de inconformidad, la falta de atención a la solicitud, al haberse negado el acceso a su expediente médico derivado de la declaratoria de incompetencia alegada por 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Durante el periodo de manifestaciones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ratificó en lo sustancial las respuestas emitidas en primera instancia, mientras que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fue omisa en ejercer dicha prerrogativa, por lo que se tiene por precuído su Derecho.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tl w:val="0"/>
        </w:rPr>
      </w:r>
    </w:p>
    <w:p w:rsidR="00000000" w:rsidDel="00000000" w:rsidP="00000000" w:rsidRDefault="00000000" w:rsidRPr="00000000" w14:paraId="0000004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Hasta este punto, se tiene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ejerció uno de los Derechos ARCO, concretamente el de acceso a datos personales, ello en virtud de que requiere el acceso a su expediente médico, el cual obra en el Centro Médico ISSEMyM Toluca.</w:t>
      </w:r>
    </w:p>
    <w:p w:rsidR="00000000" w:rsidDel="00000000" w:rsidP="00000000" w:rsidRDefault="00000000" w:rsidRPr="00000000" w14:paraId="0000005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toda vez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se declaró incompetente para dar atención a la solicitud de información, se estima necesario abordar, en primera instancia, la competencia de la autoridad emisora del acto impugnado, por ser una cuestión de orden público y de estudio preferente pues de ella deriva la validez de los actos que se emiten, los cuales las autoridades solo pueden realizar en los términos que les ordena la ley.</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Sirve de sustento a lo anterior, por analogía, la Jurisprudencia con número de registro 170827, emitida por la Segunda Sala de la Suprema Corte de Justicia de la Nación, cuyo rubro y texto a continuación se transcriben:</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COMPETENCIA. SU ESTUDIO OFICIOSO RESPECTO DE LA AUTORIDAD DEMANDADA EN EL JUICIO CONTENCIOSO ADMINISTRATIVO, DEBE SER ANALIZADA POR LAS SALAS DEL TRIBUNAL FEDERAL DE JUSTICIA FISCAL Y ADMINISTRATIVA</w:t>
      </w:r>
      <w:r w:rsidDel="00000000" w:rsidR="00000000" w:rsidRPr="00000000">
        <w:rPr>
          <w:rFonts w:ascii="Palatino Linotype" w:cs="Palatino Linotype" w:eastAsia="Palatino Linotype" w:hAnsi="Palatino Linotype"/>
          <w:i w:val="1"/>
          <w:iCs w:val="1"/>
          <w:sz w:val="22"/>
          <w:szCs w:val="22"/>
          <w:rtl w:val="0"/>
        </w:rPr>
        <w:t xml:space="preserve">.- El artículo 238, penúltimo párrafo, del Código Fiscal de la Federación y su correlativo 51, penúltimo párrafo, de la Ley Federal de Procedimiento Contencioso Administrativo, </w:t>
      </w:r>
      <w:r w:rsidDel="00000000" w:rsidR="00000000" w:rsidRPr="00000000">
        <w:rPr>
          <w:rFonts w:ascii="Palatino Linotype" w:cs="Palatino Linotype" w:eastAsia="Palatino Linotype" w:hAnsi="Palatino Linotype"/>
          <w:b w:val="1"/>
          <w:bCs w:val="1"/>
          <w:i w:val="1"/>
          <w:iCs w:val="1"/>
          <w:sz w:val="22"/>
          <w:szCs w:val="22"/>
          <w:rtl w:val="0"/>
        </w:rPr>
        <w:t xml:space="preserve">establece que ese Tribunal podrá hacer valer de oficio, por ser de orden público, la incompetencia de la autoridad para dictar la resolución impugnada.</w:t>
      </w:r>
      <w:r w:rsidDel="00000000" w:rsidR="00000000" w:rsidRPr="00000000">
        <w:rPr>
          <w:rFonts w:ascii="Palatino Linotype" w:cs="Palatino Linotype" w:eastAsia="Palatino Linotype" w:hAnsi="Palatino Linotype"/>
          <w:i w:val="1"/>
          <w:iCs w:val="1"/>
          <w:sz w:val="22"/>
          <w:szCs w:val="22"/>
          <w:rtl w:val="0"/>
        </w:rPr>
        <w:t xml:space="preserve">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w:t>
      </w:r>
      <w:r w:rsidDel="00000000" w:rsidR="00000000" w:rsidRPr="00000000">
        <w:rPr>
          <w:rFonts w:ascii="Palatino Linotype" w:cs="Palatino Linotype" w:eastAsia="Palatino Linotype" w:hAnsi="Palatino Linotype"/>
          <w:b w:val="1"/>
          <w:bCs w:val="1"/>
          <w:i w:val="1"/>
          <w:iCs w:val="1"/>
          <w:sz w:val="22"/>
          <w:szCs w:val="22"/>
          <w:rtl w:val="0"/>
        </w:rPr>
        <w:t xml:space="preserve">en el caso de que las Salas fiscales estimen que la autoridad administrativa es incompetente, su pronunciamiento en ese sentido será indispensable, porque ello constituirá causa de nulidad de la resolución impugnada;</w:t>
      </w:r>
      <w:r w:rsidDel="00000000" w:rsidR="00000000" w:rsidRPr="00000000">
        <w:rPr>
          <w:rFonts w:ascii="Palatino Linotype" w:cs="Palatino Linotype" w:eastAsia="Palatino Linotype" w:hAnsi="Palatino Linotype"/>
          <w:i w:val="1"/>
          <w:iCs w:val="1"/>
          <w:sz w:val="22"/>
          <w:szCs w:val="22"/>
          <w:rtl w:val="0"/>
        </w:rPr>
        <w:t xml:space="preserve">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estudio preferente del principio de competencia, entendido en su origen como la aptitud atribuida expresamente a una autoridad, por una norma jurídica, para llevar a cabo determinadas conductas o actos, tiene su justificación en la protección y seguridad del gobernado a efecto de que tenga el conocimiento cierto de quién es la autoridad que emite el acto o resolución que lo afecta jurídicamente, para tener la posibilidad de verificar si dicha autoridad tiene o no atribuciones o facultades para conocer respecto de los actos de molestia, y esté en posibilidad de oponer sus defensas.</w:t>
      </w:r>
    </w:p>
    <w:p w:rsidR="00000000" w:rsidDel="00000000" w:rsidP="00000000" w:rsidRDefault="00000000" w:rsidRPr="00000000" w14:paraId="0000005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Una vez acotado lo anterior, se procede al análisis del marco normativo aplicable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con la finalidad de determinar sus atribuciones, y si estas se vinculan con la materia de la solicitud.</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after="240" w:before="240" w:line="360" w:lineRule="auto"/>
        <w:ind w:left="72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las atribuciones del Sujeto Obligado</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tenor, de conformidad con el artículo 81 de la Ley de Protección de Datos Personales en Posesión de Sujetos Obligados del Estado de México y Municipios, el Instituto es la autoridad encargada de garantizar a toda persona la protección de sus datos personales que se encuentren en posesión de los sujetos obligados, a través de la aplicación de la Ley de Protección de Datos en cita, en concordancia con lo establecido por las disposiciones legales y normatividad en la materia. </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el cumplimiento de dicho objetivo, cuenta con las atribuciones que le confiere el artículo 82 de la Ley de Protección de Datos, a saber:</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Atribuciones del Instituto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82</w:t>
      </w:r>
      <w:r w:rsidDel="00000000" w:rsidR="00000000" w:rsidRPr="00000000">
        <w:rPr>
          <w:rFonts w:ascii="Palatino Linotype" w:cs="Palatino Linotype" w:eastAsia="Palatino Linotype" w:hAnsi="Palatino Linotype"/>
          <w:i w:val="1"/>
          <w:iCs w:val="1"/>
          <w:sz w:val="22"/>
          <w:szCs w:val="22"/>
          <w:rtl w:val="0"/>
        </w:rPr>
        <w:t xml:space="preserve">. El Instituto, además de las atribuciones encomendadas por la Ley de Transparencia y normatividad aplicable, tendrá las atribuciones siguientes: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Interpretar en el orden administrativo la presente Ley.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Orientar y asesorar a los particulares acerca de las solicitudes materia de esta Ley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Conocer, sustanciar y resolver de los recursos de revisión interpuestos por los titulares o sus representantes, en términos de lo dispuesto en la presente Ley y demás disposiciones legales que resulten aplicables en la materia.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Presentar petición fundada al Instituto Nacional, para que conozca de los recursos de revisión que por su interés y trascendencia así lo ameriten, en términos de lo previsto en la Ley General y demás disposiciones que resulten aplicables en la materia.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Proporcionar al Instituto Nacional los elementos que requiera para resolver los recursos de inconformidad que le sean presentados. </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 Suscribir convenios de colaboración con el Instituto Nacional para el cumplimiento de los objetivos previstos en la presente Ley y demás disposiciones legales aplicables.</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VII. Solicitar la cooperación del Instituto en los términos de la Ley General.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VIII. Administrar, en el ámbito de su competencia, la Plataforma Nacional de Transparencia.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IX. Interponer acciones de inconstitucionalidad en contra de leyes expedidas por la legislatura local, que vulneren el derecho a la protección de datos personales.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 Establecer lineamientos, políticas, criterios y procedimientos en materia de protección de datos personales, así como para el manejo, tratamiento, seguridad y protección de los datos personales en posesión de los sujetos obligados en los supuestos que no estén expresamente previstos para el Sistema Nacional o la normatividad que derive del mismo.</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 Diseñar y aprobar los formatos de solicitudes de acceso, rectificación, cancelación y oposición de datos personales. </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XII. Llevar a cabo el Registro de los Sistemas de Datos Personales en posesión de los sujetos obligados.</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XIII. Elaborar y actualizar el registro del nivel de seguridad aplicable a los sistemas y bases de datos personales en posesión de las dependencias y entidades, así como establecer los estándares mínimos que deberán contener los documentos de seguridad de los sujetos obligados. </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XIV. Formular observaciones y recomendaciones a los sujetos obligados que incumplan esta Ley. </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XV. Emitir resoluciones y determinaciones. </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XVI. Proporcionar apoyo técnico a los sujetos obligados y responsables en materia de protección de datos personales, así como celebrar con ellos, convenios de colaboración que contribuyan a la implementación de mejores prácticas. </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XVII. Proporcionar a los sujetos obligados un sitio web tipo en el cual deberá estar disponible la información relativa a cualquier otra información que considere conveniente difundir en materia de protección de datos personales, así como sistemas informáticos que faciliten el cumplimiento de la presente Ley por parte de sujetos obligados y responsables. </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XVIII. Participar a través del Sistema de Acceso, Rectificación, Cancelación y Oposición del Estado de México, en el desarrollo, administración, implementación y funcionamiento de la Plataforma Nacional, con objeto de atender los procedimientos establecidos en la presente Ley.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XIX. Elaborar guías y demás documentos para facilitar el cumplimiento de las disposiciones de esta Ley y el ejercicio de derechos ARCO de manera clara y sencilla. </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 Emitir, en su caso, las recomendaciones no vinculantes correspondientes a la Evaluación de impacto en protección de datos personales que le sean presentadas.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XXI. Capacitar y certificar en materia de protección de datos personales en posesión de sujetos obligados en el ámbito material y territorial de competencia que le corresponde.</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XXII. Verificar el cumplimiento de las disposiciones previstas en esta Ley a través de los procedimientos de revisión que resulten compatibles con las disposiciones de esta Ley. </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XXIII. Implementar los procedimientos que resulten necesarios para el cumplimiento de las disposiciones de esta Ley y para asegurar la protección de datos personales de los titulares.</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XXIV. Imponer las medidas de apremio para asegurar el cumplimiento de sus resoluciones. </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XXV. Investigar las posibles violaciones a la seguridad de los datos personales a fin de determinar la práctica de verificaciones. </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XXVI. Promover ante la autoridad que corresponda las responsabilidades y sanciones que se generen con motivo del incumplimiento a las disposiciones de esta Ley y demás normatividad aplicable.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XXVII. Hacer del conocimiento de las autoridades competentes, la probable responsabilidad derivada del incumplimiento de las obligaciones previstas en la presente Ley y en las demás disposiciones que resulten aplicables. </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XXVIII. Procurar la conciliación entre las autoridades y los titulares de los datos personales en cualquier momento del procedimiento del Recurso de Revisión y en su caso, verificar el cumplimiento del acuerdo respectivo.</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XXIX. Incluir en el informe anual de actividades que está obligado a presentar ante el Poder Legislativo del Estado de México, en términos de la Ley de Transparencia y Acceso a la Información Pública del Estado de México y Municipios, un informe detallado en materia de protección de datos personales, que incluya la información a que hace referencia el artículo 84 de esta Ley.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 Promover y difundir el ejercicio del derecho a la protección de datos personales.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XXXI. Promover entre las instituciones educativas públicas y privadas la cultura y difusión de protección de datos personales.</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XXXII. Llevar a cabo acciones y actividades que promuevan el conocimiento del derecho a la protección de datos personales, así como de sus prerrogativas. </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XXXIII. Elaborar y publicar estudios e investigaciones, así como organizar seminarios, cursos, talleres y demás actividades que permitan difundir y ampliar el conocimiento sobre la materia de esta Ley. </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XXXIV. Notificar medidas precautorias no invasivas para la operación del área o unidad administrativa del responsable cuando se presuma la existencia de violaciones a la seguridad de los datos personales. </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XXXV. Acceder sin restricciones a la información clasificada en posesión de los sujetos obligados para el cumplimiento de sus atribuciones. </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XXXVI. Coordinarse con las autoridades competentes para que las solicitudes de ejercicio de derechos ARCO y los recursos de revisión presentados en lenguas indígenas, sean atendidos en la misma lengua.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XXXVII. Garantizar, en el ámbito de sus respectivas competencias, condiciones de accesibilidad para que los titulares que pertenecen a grupos vulnerables puedan ejercer, en igualdad de circunstancias, su derecho a la protección de datos personales.</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XXXVIII. Aplicar indicadores y criterios para evaluar el desempeño de los responsables respecto del cumplimiento de la presente Ley y demás disposiciones que resulten aplicables. </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XXXIX. Colaborar en el ámbito de su competencia, en el diseño, ejecución y evaluación del Programa Nacional de Protección de Datos Personales que señala la Ley General. </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XL. Diseñar, ejecutar y evaluar el Programa Estatal y Municipal de Protección de Datos Personales.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XLI. Las demás que prevea esta Ley para el Instituto y normatividad aplicable, en concordancia con los que establece la Ley General.”</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puede advertirse, el precepto legal citado no contempla atribución alguna que faculte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para generar, administrar y o poseer expedientes médicos de ningún tipo generados por las instituciones que brindan atención médica, toda vez que su finalidad, como Organismo Garante en materia de acceso a datos personales, se limita a garantizar a toda persona la protección de sus datos personales que se encuentren en posesión de los sujetos obligados, así como el ejercicio de sus Derechos de Acceso, Rectificación, Cancelación y Oposición de datos personales, o Derechos ARCO.</w:t>
      </w:r>
    </w:p>
    <w:p w:rsidR="00000000" w:rsidDel="00000000" w:rsidP="00000000" w:rsidRDefault="00000000" w:rsidRPr="00000000" w14:paraId="00000085">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 base en lo previo, se colige que existe una evidente incompetencia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para satisfacer lo solicitado, en términos del Criterio de Interpretación con Clave de control SO/013/2017 emitido por el Pleno del Instituto Nacional de Transparencia, Acceso a la Información y Protección de Datos Personales, el cual, para pronta referencia se reproduce a continuación:</w:t>
      </w:r>
    </w:p>
    <w:p w:rsidR="00000000" w:rsidDel="00000000" w:rsidP="00000000" w:rsidRDefault="00000000" w:rsidRPr="00000000" w14:paraId="00000086">
      <w:pPr>
        <w:spacing w:after="120" w:before="120" w:lineRule="auto"/>
        <w:ind w:left="851"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“Incompetencia. La incompetencia implica la ausencia de atribuciones del sujeto obligado para poseer la información solicitada</w:t>
      </w:r>
      <w:r w:rsidDel="00000000" w:rsidR="00000000" w:rsidRPr="00000000">
        <w:rPr>
          <w:rFonts w:ascii="Palatino Linotype" w:cs="Palatino Linotype" w:eastAsia="Palatino Linotype" w:hAnsi="Palatino Linotype"/>
          <w:i w:val="1"/>
          <w:iCs w:val="1"/>
          <w:sz w:val="22"/>
          <w:szCs w:val="22"/>
          <w:rtl w:val="0"/>
        </w:rPr>
        <w:t xml:space="preserve">; es decir, se trata de una cuestión de derecho, </w:t>
      </w:r>
      <w:r w:rsidDel="00000000" w:rsidR="00000000" w:rsidRPr="00000000">
        <w:rPr>
          <w:rFonts w:ascii="Palatino Linotype" w:cs="Palatino Linotype" w:eastAsia="Palatino Linotype" w:hAnsi="Palatino Linotype"/>
          <w:b w:val="1"/>
          <w:bCs w:val="1"/>
          <w:i w:val="1"/>
          <w:iCs w:val="1"/>
          <w:sz w:val="22"/>
          <w:szCs w:val="22"/>
          <w:rtl w:val="0"/>
        </w:rPr>
        <w:t xml:space="preserve">en tanto que no existan facultades para contar con lo requerido</w:t>
      </w:r>
      <w:r w:rsidDel="00000000" w:rsidR="00000000" w:rsidRPr="00000000">
        <w:rPr>
          <w:rFonts w:ascii="Palatino Linotype" w:cs="Palatino Linotype" w:eastAsia="Palatino Linotype" w:hAnsi="Palatino Linotype"/>
          <w:i w:val="1"/>
          <w:iCs w:val="1"/>
          <w:sz w:val="22"/>
          <w:szCs w:val="22"/>
          <w:rtl w:val="0"/>
        </w:rPr>
        <w:t xml:space="preserve">; por lo que la incompetencia es una cualidad atribuida al sujeto obligado que la declara.”</w:t>
      </w:r>
    </w:p>
    <w:p w:rsidR="00000000" w:rsidDel="00000000" w:rsidP="00000000" w:rsidRDefault="00000000" w:rsidRPr="00000000" w14:paraId="00000087">
      <w:pPr>
        <w:spacing w:after="120" w:before="120" w:lineRule="auto"/>
        <w:ind w:left="851" w:right="851"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8">
      <w:pPr>
        <w:numPr>
          <w:ilvl w:val="0"/>
          <w:numId w:val="1"/>
        </w:numPr>
        <w:pBdr>
          <w:top w:space="0" w:sz="0" w:val="nil"/>
          <w:left w:space="0" w:sz="0" w:val="nil"/>
          <w:bottom w:space="0" w:sz="0" w:val="nil"/>
          <w:right w:space="0" w:sz="0" w:val="nil"/>
          <w:between w:space="0" w:sz="0" w:val="nil"/>
        </w:pBdr>
        <w:tabs>
          <w:tab w:val="left" w:leader="none" w:pos="567"/>
        </w:tabs>
        <w:spacing w:after="240" w:before="240" w:line="360" w:lineRule="auto"/>
        <w:ind w:left="72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 Delimitación del ámbito competencial relativo a información solicitada</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Toda vez que a través de la solicitud se requirió el acceso a un expediente clínico que obra en el Centro Médico ISSEMyM Toluca, es necesario mencionar que el Instituto de Seguridad Social del Estado de México y Municipios, es el Organismo descentralizado del Poder Ejecutivo Estatal, corresponde la aplicación de las disposiciones de la Ley de Seguridad Social para los Servidores Públicos del Estado de México y Municipios y asimismo establece en el ámbito de su competencia, los mecanismos e instrumentos necesarios para su mejor ejecución y observancia.</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 organismo cuenta con personalidad jurídica y patrimonio propio, cuyo propósito fundamental está orientado a otorgar las prestaciones de seguridad social, así como mejorar las condiciones económicas, sociales y culturales de los derechohabientes de la entidad.</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conformidad con el articulo 46 de la Ley de Seguridad Social para los Servidores Públicos del Estado de México y Municipios, para cumplir con objetivo fundamental de los servicios de salud, y prestar servicios de atención médica de calidad, eficiencia y calidez, cuenta con una red de unidades médicas propias.</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Dicha función es encomendada a la Coordinación de Servicios de Salud, cuyo objetivo consiste en proporcionar atención integral a la salud a las y los servidores públicos y dependientes económicos sujetos al régimen de seguridad social del Instituto, bajo criterios de corresponsabilidad en el marco normativo aplicable en la materia, cuyas atribuciones se encuentran establecidas en el código estructural 207C0401400000L, del Manual General de Organización del ISSEMyM, entre ellas las siguientes:</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Planear, dirigir y evaluar los servicios de salud que se otorgan a las y los derechohabientes, de conformidad con las políticas y acuerdos emitidos por el Consejo Directivo y la Dirección General del Instituto. </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Planear y dirigir las acciones relativas a medicina preventiva, vigilancia epidemiológica, atención médica de urgencias, atención hospitalaria y salud en el trabajo, en el marco de mejora continua de los procesos.</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Desarrollar estrategias para la atención de las y los derechohabientes en el nivel de atención que les corresponda, de acuerdo a la capacidad instalada para la solución de sus problemas de salud, con el propósito de facilitar la continuidad de la atención.</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Integrar y remitir a la Coordinación de Administración y Finanzas las necesidades de medicamentos, insumos para la salud y equipo médico que requieran las unidades médicas, para proporcionar servicios de salud a las y los derechohabientes. </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Proponer a la Dirección General del Instituto las cuotas de recuperación para la atención médica a pacientes no derechohabientes, a efecto de cumplir con la normatividad vigente en la materia.</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Respecto del expediente clínico, definido en el artículo 2, fracción XVIII    del Reglamento de los Servicios de Salud del ISSEMyM, como </w:t>
      </w:r>
      <w:r w:rsidDel="00000000" w:rsidR="00000000" w:rsidRPr="00000000">
        <w:rPr>
          <w:rFonts w:ascii="Palatino Linotype" w:cs="Palatino Linotype" w:eastAsia="Palatino Linotype" w:hAnsi="Palatino Linotype"/>
          <w:i w:val="1"/>
          <w:iCs w:val="1"/>
          <w:sz w:val="22"/>
          <w:szCs w:val="22"/>
          <w:rtl w:val="0"/>
        </w:rPr>
        <w:t xml:space="preserve">el conjunto único de información y datos personales de un paciente que se integra dentro de todo tipo de establecimiento para la atención médica, ya sea público, social o privado, el cual consta de documentos escritos, gráficos, imagenológicos, electrónicos, magnéticos, electromagnéticos, ópticos, magneto-ópticos y de cualquier otra índole, en los que el personal de salud deberá hacer los registros, anotaciones y en su caso, constancias y certificaciones correspondientes a su intervención en la atención médica del paciente, con apego a las disposiciones jurídicas aplicables, </w:t>
      </w:r>
      <w:r w:rsidDel="00000000" w:rsidR="00000000" w:rsidRPr="00000000">
        <w:rPr>
          <w:rFonts w:ascii="Palatino Linotype" w:cs="Palatino Linotype" w:eastAsia="Palatino Linotype" w:hAnsi="Palatino Linotype"/>
          <w:sz w:val="22"/>
          <w:szCs w:val="22"/>
          <w:rtl w:val="0"/>
        </w:rPr>
        <w:t xml:space="preserve">el artículo 157, fracción IX del referido Reglamento establece como un derecho de los derechohabientes y/o usuarios el </w:t>
      </w:r>
      <w:r w:rsidDel="00000000" w:rsidR="00000000" w:rsidRPr="00000000">
        <w:rPr>
          <w:rFonts w:ascii="Palatino Linotype" w:cs="Palatino Linotype" w:eastAsia="Palatino Linotype" w:hAnsi="Palatino Linotype"/>
          <w:b w:val="1"/>
          <w:bCs w:val="1"/>
          <w:sz w:val="22"/>
          <w:szCs w:val="22"/>
          <w:rtl w:val="0"/>
        </w:rPr>
        <w:t xml:space="preserve">contar con un expediente clínico convencional o electrónico, </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240" w:before="240"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el articulo 25 del Reglamento en análisis dispone que los directores o responsables de las unidades médicas del Instituto </w:t>
      </w:r>
      <w:r w:rsidDel="00000000" w:rsidR="00000000" w:rsidRPr="00000000">
        <w:rPr>
          <w:rFonts w:ascii="Palatino Linotype" w:cs="Palatino Linotype" w:eastAsia="Palatino Linotype" w:hAnsi="Palatino Linotype"/>
          <w:b w:val="1"/>
          <w:bCs w:val="1"/>
          <w:sz w:val="22"/>
          <w:szCs w:val="22"/>
          <w:rtl w:val="0"/>
        </w:rPr>
        <w:t xml:space="preserve">están obligados a proporcionar al paciente, familiar o representante legal, un resumen clínico de su expediente o atención médica recibida</w:t>
      </w:r>
      <w:r w:rsidDel="00000000" w:rsidR="00000000" w:rsidRPr="00000000">
        <w:rPr>
          <w:rFonts w:ascii="Palatino Linotype" w:cs="Palatino Linotype" w:eastAsia="Palatino Linotype" w:hAnsi="Palatino Linotype"/>
          <w:sz w:val="22"/>
          <w:szCs w:val="22"/>
          <w:rtl w:val="0"/>
        </w:rPr>
        <w:t xml:space="preserve">, previa identificación y petición por escrito del solicitante, conforme a las disposiciones legales, reglamentarias o normativas que resulten aplicables</w:t>
      </w:r>
    </w:p>
    <w:p w:rsidR="00000000" w:rsidDel="00000000" w:rsidP="00000000" w:rsidRDefault="00000000" w:rsidRPr="00000000" w14:paraId="00000094">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Por lo tanto, se colige que </w:t>
      </w:r>
      <w:r w:rsidDel="00000000" w:rsidR="00000000" w:rsidRPr="00000000">
        <w:rPr>
          <w:rFonts w:ascii="Palatino Linotype" w:cs="Palatino Linotype" w:eastAsia="Palatino Linotype" w:hAnsi="Palatino Linotype"/>
          <w:b w:val="1"/>
          <w:bCs w:val="1"/>
          <w:sz w:val="22"/>
          <w:szCs w:val="22"/>
          <w:rtl w:val="0"/>
        </w:rPr>
        <w:t xml:space="preserve">el Instituto de Seguridad Social del Estado de México y Municipios es el Sujeto Obligado facultado para atención a la solicitud</w:t>
      </w:r>
    </w:p>
    <w:p w:rsidR="00000000" w:rsidDel="00000000" w:rsidP="00000000" w:rsidRDefault="00000000" w:rsidRPr="00000000" w14:paraId="00000095">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Atento a las consideraciones expuestas, no es procedente la entrega de información alguna para atender la solicitud de información, bajo la premisa de que los Sujetos Obligados sólo deben proporcionar aquella información que hubieran generado en el ejercicio de sus atribuciones y que obre en sus archivos, de conformidad con lo establecido en el artículo 12 de la Ley de Transparencia y Acceso a la Información Pública del Estado de México y Municipios, lo que a</w:t>
      </w:r>
      <w:r w:rsidDel="00000000" w:rsidR="00000000" w:rsidRPr="00000000">
        <w:rPr>
          <w:rFonts w:ascii="Palatino Linotype" w:cs="Palatino Linotype" w:eastAsia="Palatino Linotype" w:hAnsi="Palatino Linotype"/>
          <w:i w:val="1"/>
          <w:iCs w:val="1"/>
          <w:sz w:val="22"/>
          <w:szCs w:val="22"/>
          <w:rtl w:val="0"/>
        </w:rPr>
        <w:t xml:space="preserve"> contrario sensu</w:t>
      </w:r>
      <w:r w:rsidDel="00000000" w:rsidR="00000000" w:rsidRPr="00000000">
        <w:rPr>
          <w:rFonts w:ascii="Palatino Linotype" w:cs="Palatino Linotype" w:eastAsia="Palatino Linotype" w:hAnsi="Palatino Linotype"/>
          <w:sz w:val="22"/>
          <w:szCs w:val="22"/>
          <w:rtl w:val="0"/>
        </w:rPr>
        <w:t xml:space="preserve"> significa que no se está obligado a proporcionar lo que no obre en sus archivos, en consecuencia,  el pronunciamiento vertido por la Unidad de Transparencia, es suficiente para tener por atendida la solicitud de acceso a datos personales.</w:t>
      </w:r>
    </w:p>
    <w:p w:rsidR="00000000" w:rsidDel="00000000" w:rsidP="00000000" w:rsidRDefault="00000000" w:rsidRPr="00000000" w14:paraId="0000009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 lo anterior, respecto a la Declaración de Incompetencia, la Ley de Transparencia y Acceso a la Información Pública del Estado de México, establece en su artículo 49, fracción II, lo siguiente: </w:t>
      </w:r>
    </w:p>
    <w:p w:rsidR="00000000" w:rsidDel="00000000" w:rsidP="00000000" w:rsidRDefault="00000000" w:rsidRPr="00000000" w14:paraId="00000097">
      <w:pPr>
        <w:tabs>
          <w:tab w:val="left" w:leader="none" w:pos="851"/>
          <w:tab w:val="left" w:leader="none" w:pos="1134"/>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098">
      <w:pPr>
        <w:tabs>
          <w:tab w:val="left" w:leader="none" w:pos="851"/>
          <w:tab w:val="left" w:leader="none" w:pos="1134"/>
        </w:tabs>
        <w:spacing w:after="120" w:before="120" w:lineRule="auto"/>
        <w:ind w:left="1134"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99">
      <w:pPr>
        <w:tabs>
          <w:tab w:val="left" w:leader="none" w:pos="851"/>
          <w:tab w:val="left" w:leader="none" w:pos="1134"/>
        </w:tabs>
        <w:spacing w:after="120" w:before="120" w:lineRule="auto"/>
        <w:ind w:left="1134"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Confirmar, modificar o revocar</w:t>
      </w:r>
      <w:r w:rsidDel="00000000" w:rsidR="00000000" w:rsidRPr="00000000">
        <w:rPr>
          <w:rFonts w:ascii="Palatino Linotype" w:cs="Palatino Linotype" w:eastAsia="Palatino Linotype" w:hAnsi="Palatino Linotype"/>
          <w:i w:val="1"/>
          <w:iCs w:val="1"/>
          <w:sz w:val="22"/>
          <w:szCs w:val="22"/>
          <w:rtl w:val="0"/>
        </w:rPr>
        <w:t xml:space="preserve"> las determinaciones que en materia de ampliación del plazo de respuesta, clasificación de la información </w:t>
      </w:r>
      <w:r w:rsidDel="00000000" w:rsidR="00000000" w:rsidRPr="00000000">
        <w:rPr>
          <w:rFonts w:ascii="Palatino Linotype" w:cs="Palatino Linotype" w:eastAsia="Palatino Linotype" w:hAnsi="Palatino Linotype"/>
          <w:b w:val="1"/>
          <w:bCs w:val="1"/>
          <w:i w:val="1"/>
          <w:iCs w:val="1"/>
          <w:sz w:val="22"/>
          <w:szCs w:val="22"/>
          <w:rtl w:val="0"/>
        </w:rPr>
        <w:t xml:space="preserve">y declaración</w:t>
      </w:r>
      <w:r w:rsidDel="00000000" w:rsidR="00000000" w:rsidRPr="00000000">
        <w:rPr>
          <w:rFonts w:ascii="Palatino Linotype" w:cs="Palatino Linotype" w:eastAsia="Palatino Linotype" w:hAnsi="Palatino Linotype"/>
          <w:i w:val="1"/>
          <w:iCs w:val="1"/>
          <w:sz w:val="22"/>
          <w:szCs w:val="22"/>
          <w:rtl w:val="0"/>
        </w:rPr>
        <w:t xml:space="preserve"> de inexistencia o </w:t>
      </w:r>
      <w:r w:rsidDel="00000000" w:rsidR="00000000" w:rsidRPr="00000000">
        <w:rPr>
          <w:rFonts w:ascii="Palatino Linotype" w:cs="Palatino Linotype" w:eastAsia="Palatino Linotype" w:hAnsi="Palatino Linotype"/>
          <w:b w:val="1"/>
          <w:bCs w:val="1"/>
          <w:i w:val="1"/>
          <w:iCs w:val="1"/>
          <w:sz w:val="22"/>
          <w:szCs w:val="22"/>
          <w:rtl w:val="0"/>
        </w:rPr>
        <w:t xml:space="preserve">de incompetencia realicen los titulares de las áreas de los sujetos obligados;</w:t>
      </w:r>
    </w:p>
    <w:p w:rsidR="00000000" w:rsidDel="00000000" w:rsidP="00000000" w:rsidRDefault="00000000" w:rsidRPr="00000000" w14:paraId="0000009A">
      <w:pPr>
        <w:tabs>
          <w:tab w:val="left" w:leader="none" w:pos="851"/>
          <w:tab w:val="left" w:leader="none" w:pos="1134"/>
        </w:tabs>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9B">
      <w:pPr>
        <w:tabs>
          <w:tab w:val="left" w:leader="none" w:pos="851"/>
          <w:tab w:val="left" w:leader="none" w:pos="1134"/>
        </w:tabs>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167</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Cuando las unidades de transparencia determinen la notoria incompetencia</w:t>
      </w:r>
      <w:r w:rsidDel="00000000" w:rsidR="00000000" w:rsidRPr="00000000">
        <w:rPr>
          <w:rFonts w:ascii="Palatino Linotype" w:cs="Palatino Linotype" w:eastAsia="Palatino Linotype" w:hAnsi="Palatino Linotype"/>
          <w:i w:val="1"/>
          <w:iCs w:val="1"/>
          <w:sz w:val="22"/>
          <w:szCs w:val="22"/>
          <w:rtl w:val="0"/>
        </w:rPr>
        <w:t xml:space="preserve"> por parte de los sujetos obligados, dentro del ámbito de aplicación, para atender la solicitud de acceso a la información, </w:t>
      </w:r>
      <w:r w:rsidDel="00000000" w:rsidR="00000000" w:rsidRPr="00000000">
        <w:rPr>
          <w:rFonts w:ascii="Palatino Linotype" w:cs="Palatino Linotype" w:eastAsia="Palatino Linotype" w:hAnsi="Palatino Linotype"/>
          <w:b w:val="1"/>
          <w:bCs w:val="1"/>
          <w:i w:val="1"/>
          <w:iCs w:val="1"/>
          <w:sz w:val="22"/>
          <w:szCs w:val="22"/>
          <w:rtl w:val="0"/>
        </w:rPr>
        <w:t xml:space="preserve">deberán comunicarlo al solicitante, dentro de los tres días hábiles posteriores a la recepción de la solicitud</w:t>
      </w:r>
      <w:r w:rsidDel="00000000" w:rsidR="00000000" w:rsidRPr="00000000">
        <w:rPr>
          <w:rFonts w:ascii="Palatino Linotype" w:cs="Palatino Linotype" w:eastAsia="Palatino Linotype" w:hAnsi="Palatino Linotype"/>
          <w:i w:val="1"/>
          <w:iCs w:val="1"/>
          <w:sz w:val="22"/>
          <w:szCs w:val="22"/>
          <w:rtl w:val="0"/>
        </w:rPr>
        <w:t xml:space="preserve"> y, </w:t>
      </w:r>
      <w:r w:rsidDel="00000000" w:rsidR="00000000" w:rsidRPr="00000000">
        <w:rPr>
          <w:rFonts w:ascii="Palatino Linotype" w:cs="Palatino Linotype" w:eastAsia="Palatino Linotype" w:hAnsi="Palatino Linotype"/>
          <w:b w:val="1"/>
          <w:bCs w:val="1"/>
          <w:i w:val="1"/>
          <w:iCs w:val="1"/>
          <w:sz w:val="22"/>
          <w:szCs w:val="22"/>
          <w:rtl w:val="0"/>
        </w:rPr>
        <w:t xml:space="preserve">en su caso orientar al solicitante, el o los sujetos obligados competentes.”</w:t>
      </w:r>
    </w:p>
    <w:p w:rsidR="00000000" w:rsidDel="00000000" w:rsidP="00000000" w:rsidRDefault="00000000" w:rsidRPr="00000000" w14:paraId="0000009C">
      <w:pPr>
        <w:tabs>
          <w:tab w:val="left" w:leader="none" w:pos="142"/>
          <w:tab w:val="left" w:leader="none" w:pos="284"/>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Mientras que el artículo112, párrafo primero de la Ley de Protección de Datos Personales en Posesión de Sujetos Obligados del Estado de México y Municipios, dispone lo siguiente:</w:t>
      </w:r>
    </w:p>
    <w:p w:rsidR="00000000" w:rsidDel="00000000" w:rsidP="00000000" w:rsidRDefault="00000000" w:rsidRPr="00000000" w14:paraId="0000009D">
      <w:pPr>
        <w:tabs>
          <w:tab w:val="left" w:leader="none" w:pos="142"/>
          <w:tab w:val="left" w:leader="none" w:pos="284"/>
        </w:tabs>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Incompetencia y Reconducción de Vía </w:t>
      </w:r>
    </w:p>
    <w:p w:rsidR="00000000" w:rsidDel="00000000" w:rsidP="00000000" w:rsidRDefault="00000000" w:rsidRPr="00000000" w14:paraId="0000009E">
      <w:pPr>
        <w:tabs>
          <w:tab w:val="left" w:leader="none" w:pos="142"/>
          <w:tab w:val="left" w:leader="none" w:pos="284"/>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112</w:t>
      </w:r>
      <w:r w:rsidDel="00000000" w:rsidR="00000000" w:rsidRPr="00000000">
        <w:rPr>
          <w:rFonts w:ascii="Palatino Linotype" w:cs="Palatino Linotype" w:eastAsia="Palatino Linotype" w:hAnsi="Palatino Linotype"/>
          <w:i w:val="1"/>
          <w:iCs w:val="1"/>
          <w:sz w:val="22"/>
          <w:szCs w:val="22"/>
          <w:rtl w:val="0"/>
        </w:rPr>
        <w:t xml:space="preserve">. Cuando el responsable no sea competente para atender la solicitud para el ejercicio de derechos ARCO, deberá hacer del conocimiento del titular dicha situación dentro de los tres días siguientes a la presentación de la solicitud y en caso de poderlo determinar, orientarlo hacia el responsable competente.”</w:t>
      </w:r>
    </w:p>
    <w:p w:rsidR="00000000" w:rsidDel="00000000" w:rsidP="00000000" w:rsidRDefault="00000000" w:rsidRPr="00000000" w14:paraId="0000009F">
      <w:pPr>
        <w:tabs>
          <w:tab w:val="left" w:leader="none" w:pos="142"/>
          <w:tab w:val="left" w:leader="none" w:pos="284"/>
        </w:tabs>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los preceptos citados se desprende que es atribución del Comité de Transparencia confirmar, modificar o revocar, en su caso, la declaración de incompetencia,</w:t>
      </w:r>
      <w:r w:rsidDel="00000000" w:rsidR="00000000" w:rsidRPr="00000000">
        <w:rPr>
          <w:rFonts w:ascii="Palatino Linotype" w:cs="Palatino Linotype" w:eastAsia="Palatino Linotype" w:hAnsi="Palatino Linotype"/>
          <w:b w:val="1"/>
          <w:bCs w:val="1"/>
          <w:sz w:val="22"/>
          <w:szCs w:val="22"/>
          <w:rtl w:val="0"/>
        </w:rPr>
        <w:t xml:space="preserve"> en aquellos casos en los que no se trate de una notoria incompetencia. </w:t>
      </w:r>
    </w:p>
    <w:p w:rsidR="00000000" w:rsidDel="00000000" w:rsidP="00000000" w:rsidRDefault="00000000" w:rsidRPr="00000000" w14:paraId="000000A0">
      <w:pPr>
        <w:tabs>
          <w:tab w:val="left" w:leader="none" w:pos="142"/>
          <w:tab w:val="left" w:leader="none" w:pos="284"/>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Puesto que la Ley también prevé que dicho acuerdo no es necesario cuando la Unidad de Transparencia determine que la incompetencia es notoria dando un plazo de tres días hábiles para hacerlo del conocimiento de la persona solicitante. En otras palabras, la Ley de la Materia confiere a las Unidades de Transparencia la posibilidad de notificar la incompetencia cuando esta sea notoria, siendo innecesario que dicha circunstancia sea sometida a consideración de los integrantes del Comité de Transparencia para su aprobación. </w:t>
      </w:r>
    </w:p>
    <w:p w:rsidR="00000000" w:rsidDel="00000000" w:rsidP="00000000" w:rsidRDefault="00000000" w:rsidRPr="00000000" w14:paraId="000000A1">
      <w:pPr>
        <w:tabs>
          <w:tab w:val="left" w:leader="none" w:pos="142"/>
          <w:tab w:val="left" w:leader="none" w:pos="284"/>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sustento de lo anterior, resulta aplicable el Criterio 20/20, emitido por el Instituto Nacional de Transparencia, Acceso a la Información, y Protección de Datos Personales, INAI, que lleva por rubro y texto los siguientes: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240" w:before="24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“Declaración de incompetencia por parte del Comité, cuando no sea notoria o manifiesta.</w:t>
      </w:r>
      <w:r w:rsidDel="00000000" w:rsidR="00000000" w:rsidRPr="00000000">
        <w:rPr>
          <w:rFonts w:ascii="Palatino Linotype" w:cs="Palatino Linotype" w:eastAsia="Palatino Linotype" w:hAnsi="Palatino Linotype"/>
          <w:i w:val="1"/>
          <w:iCs w:val="1"/>
          <w:sz w:val="22"/>
          <w:szCs w:val="22"/>
          <w:rtl w:val="0"/>
        </w:rPr>
        <w:t xml:space="preserve"> Cuando la normatividad que prevé las atribuciones del sujeto obligado no sea clara en delimitar su competencia respecto a lo requerido por la persona solicitante y resulte necesario efectuar un análisis mayor para determinar la incompetencia, ésta debe ser declarada por el Comité de Transparencia.”</w:t>
      </w:r>
    </w:p>
    <w:p w:rsidR="00000000" w:rsidDel="00000000" w:rsidP="00000000" w:rsidRDefault="00000000" w:rsidRPr="00000000" w14:paraId="000000A3">
      <w:pPr>
        <w:tabs>
          <w:tab w:val="left" w:leader="none" w:pos="142"/>
          <w:tab w:val="left" w:leader="none" w:pos="284"/>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igual manera, el Pleno de este Instituto, a través del Criterio 02/04 emitido en la Segunda Época, precisa los alcances del artículo 167 de la Ley de Transparencia, aplicable por analogía, al señalar que corresponde al Comité de Transparencia confirmar la declaratoria de incompetencia y notificarle dicha determinación al particular, refiriéndose a aquellos casos en los que exista</w:t>
      </w:r>
      <w:r w:rsidDel="00000000" w:rsidR="00000000" w:rsidRPr="00000000">
        <w:rPr>
          <w:rFonts w:ascii="Palatino Linotype" w:cs="Palatino Linotype" w:eastAsia="Palatino Linotype" w:hAnsi="Palatino Linotype"/>
          <w:b w:val="1"/>
          <w:bCs w:val="1"/>
          <w:sz w:val="22"/>
          <w:szCs w:val="22"/>
          <w:rtl w:val="0"/>
        </w:rPr>
        <w:t xml:space="preserve"> duda razonable sobre la administración del documento materia de la solicitud de información</w:t>
      </w:r>
      <w:r w:rsidDel="00000000" w:rsidR="00000000" w:rsidRPr="00000000">
        <w:rPr>
          <w:rFonts w:ascii="Palatino Linotype" w:cs="Palatino Linotype" w:eastAsia="Palatino Linotype" w:hAnsi="Palatino Linotype"/>
          <w:sz w:val="22"/>
          <w:szCs w:val="22"/>
          <w:rtl w:val="0"/>
        </w:rPr>
        <w:t xml:space="preserve">, como se lee enseguida:</w:t>
      </w:r>
    </w:p>
    <w:p w:rsidR="00000000" w:rsidDel="00000000" w:rsidP="00000000" w:rsidRDefault="00000000" w:rsidRPr="00000000" w14:paraId="000000A4">
      <w:pPr>
        <w:tabs>
          <w:tab w:val="left" w:leader="none" w:pos="1418"/>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“DECLARATORIA DE INCOMPETENCIA DEL SUJETO OBLIGADO. SUPUESTO PARA CONFIRMARLA POR ACUERDO DEL COMITÉ DE TRANSPARENCIA. </w:t>
      </w:r>
      <w:r w:rsidDel="00000000" w:rsidR="00000000" w:rsidRPr="00000000">
        <w:rPr>
          <w:rFonts w:ascii="Palatino Linotype" w:cs="Palatino Linotype" w:eastAsia="Palatino Linotype" w:hAnsi="Palatino Linotype"/>
          <w:i w:val="1"/>
          <w:iCs w:val="1"/>
          <w:sz w:val="22"/>
          <w:szCs w:val="22"/>
          <w:rtl w:val="0"/>
        </w:rPr>
        <w:t xml:space="preserve">De conformidad con el artículo 167 de la Ley de Transparencia vigente en la entidad, las Unidades de Transparencia tienen la facultad de determinar la notoria incompetencia para atender las solicitudes de acceso a la información y comunicarla al solicitante dentro de los tres días hábiles posteriores a la recepción de la misma, así como en su caso, orientar al particular sobre el o los Sujetos Obligados competentes para su atención. No obstante, es importante resaltar que </w:t>
      </w:r>
      <w:r w:rsidDel="00000000" w:rsidR="00000000" w:rsidRPr="00000000">
        <w:rPr>
          <w:rFonts w:ascii="Palatino Linotype" w:cs="Palatino Linotype" w:eastAsia="Palatino Linotype" w:hAnsi="Palatino Linotype"/>
          <w:b w:val="1"/>
          <w:bCs w:val="1"/>
          <w:i w:val="1"/>
          <w:iCs w:val="1"/>
          <w:sz w:val="22"/>
          <w:szCs w:val="22"/>
          <w:rtl w:val="0"/>
        </w:rPr>
        <w:t xml:space="preserve">al ejercer el derecho de acceso a la información pública cabe la posibilidad de que existan atribuciones concurrentes entre dos o más Sujetos Obligados que impiden determinar dentro del término legal de tres días hábiles, si se posee o no la información por el Sujeto Obligado requerid</w:t>
      </w:r>
      <w:r w:rsidDel="00000000" w:rsidR="00000000" w:rsidRPr="00000000">
        <w:rPr>
          <w:rFonts w:ascii="Palatino Linotype" w:cs="Palatino Linotype" w:eastAsia="Palatino Linotype" w:hAnsi="Palatino Linotype"/>
          <w:i w:val="1"/>
          <w:iCs w:val="1"/>
          <w:sz w:val="22"/>
          <w:szCs w:val="22"/>
          <w:rtl w:val="0"/>
        </w:rPr>
        <w:t xml:space="preserve">o; en virtud de ello, en aras de disipar toda duda razonable sobre la administración del documento materia de la solicitud de información, el Sujeto Obligado deberá dar el trámite correspondiente a la solicitud de información a efecto de realizar un análisis minucioso de las facultades, competencias o funciones de cada una de las Unidades Administrativas que lo integran y, si posterior a ello, se corrobora la incompetencia para la atención del requerimiento, en razón de que es otro el Sujeto Obligado poseedor de la documentación, corresponde a su Comité de Transparencia confirmar la declaratoria de incompetencia y notificarle dicha determinación al particular, en términos de lo dispuesto en el artículo 49, fracción II de la Ley de Transparencia Local, al ser este el acto jurídico idóneo que genera seguridad jurídica de que el Ente ante quien se presentó la solicitud, carece de facultades, competencias o funciones para poseer o generar la información requerida; lo anterior, sin perjuicio de que pueda gestionar la colaboración de otro Sujeto Obligado competente para atender la solicitud.”</w:t>
      </w:r>
    </w:p>
    <w:p w:rsidR="00000000" w:rsidDel="00000000" w:rsidP="00000000" w:rsidRDefault="00000000" w:rsidRPr="00000000" w14:paraId="000000A5">
      <w:pPr>
        <w:tabs>
          <w:tab w:val="left" w:leader="none" w:pos="142"/>
          <w:tab w:val="left" w:leader="none" w:pos="284"/>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caso particular, dado que se ha demostrado que la incompetencia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es notoria, resulta innecesaria la emisión de una declaratoria formal de incompetencia a través del Comité de Transparencia.</w:t>
      </w:r>
    </w:p>
    <w:p w:rsidR="00000000" w:rsidDel="00000000" w:rsidP="00000000" w:rsidRDefault="00000000" w:rsidRPr="00000000" w14:paraId="000000A6">
      <w:pPr>
        <w:spacing w:after="240" w:before="240" w:line="360" w:lineRule="auto"/>
        <w:ind w:left="284"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Del ejercicio de los derechos ARCO.</w:t>
      </w:r>
    </w:p>
    <w:p w:rsidR="00000000" w:rsidDel="00000000" w:rsidP="00000000" w:rsidRDefault="00000000" w:rsidRPr="00000000" w14:paraId="000000A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toda vez que se advirtió que </w:t>
      </w:r>
      <w:r w:rsidDel="00000000" w:rsidR="00000000" w:rsidRPr="00000000">
        <w:rPr>
          <w:rFonts w:ascii="Palatino Linotype" w:cs="Palatino Linotype" w:eastAsia="Palatino Linotype" w:hAnsi="Palatino Linotype"/>
          <w:b w:val="1"/>
          <w:bCs w:val="1"/>
          <w:sz w:val="22"/>
          <w:szCs w:val="22"/>
          <w:rtl w:val="0"/>
        </w:rPr>
        <w:t xml:space="preserve">la parte Recurrente prende acceder a alguno datos que encuadran dentro del ejercicio del derecho de acceso a datos personales</w:t>
      </w:r>
      <w:r w:rsidDel="00000000" w:rsidR="00000000" w:rsidRPr="00000000">
        <w:rPr>
          <w:rFonts w:ascii="Palatino Linotype" w:cs="Palatino Linotype" w:eastAsia="Palatino Linotype" w:hAnsi="Palatino Linotype"/>
          <w:sz w:val="22"/>
          <w:szCs w:val="22"/>
          <w:rtl w:val="0"/>
        </w:rPr>
        <w:t xml:space="preserve">, en términos de lo contemplado en el artículo 98 de la Ley de Protección de Datos Personales en Posesión de Sujetos Obligados del Estado de México y Municipios, posiblemente en representación de la persona Titular de los datos personales a los cuales se desea acceder, es imprescindible mencionar que en términos del artículo 97 de la Ley de Protección de Datos Personales en Posesión de Sujetos Obligados del Estado de México y Municipios, la procedencia de los derechos de acceso, rectificación, cancelación y oposición de datos personales, ARCO, </w:t>
      </w:r>
      <w:r w:rsidDel="00000000" w:rsidR="00000000" w:rsidRPr="00000000">
        <w:rPr>
          <w:rFonts w:ascii="Palatino Linotype" w:cs="Palatino Linotype" w:eastAsia="Palatino Linotype" w:hAnsi="Palatino Linotype"/>
          <w:b w:val="1"/>
          <w:bCs w:val="1"/>
          <w:sz w:val="22"/>
          <w:szCs w:val="22"/>
          <w:rtl w:val="0"/>
        </w:rPr>
        <w:t xml:space="preserve">es efectiva una vez que el titular o su representante legal acrediten su identidad o representación, respectivamente</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A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cual, guarda relación con lo señalado en los artículos 106, párrafo tercero de la Ley de Protección de Datos Personales en Posesión de Sujetos Obligados del Estado de México y Municipios; y 73 de los Lineamientos Generales de Protección de Datos Personales para el Sector Público, para el ejercicio de los derechos ARCO es necesario acreditar la identidad de titular, y en su caso, la identidad y personalidad con la que actúe el representante.</w:t>
      </w:r>
    </w:p>
    <w:p w:rsidR="00000000" w:rsidDel="00000000" w:rsidP="00000000" w:rsidRDefault="00000000" w:rsidRPr="00000000" w14:paraId="000000A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tenor, de conformidad con los artículos 120 de la Ley de Protección de Datos Personales en Posesión de Sujetos Obligados del Estado de México y Municipios; 76 de los Lineamientos Generales de Protección de Datos Personales para el Sector Público; y 2.5 Bis del Código Civil del Estado de México</w:t>
      </w:r>
      <w:r w:rsidDel="00000000" w:rsidR="00000000" w:rsidRPr="00000000">
        <w:rPr>
          <w:rFonts w:ascii="Palatino Linotype" w:cs="Palatino Linotype" w:eastAsia="Palatino Linotype" w:hAnsi="Palatino Linotype"/>
          <w:b w:val="1"/>
          <w:bCs w:val="1"/>
          <w:sz w:val="22"/>
          <w:szCs w:val="22"/>
          <w:rtl w:val="0"/>
        </w:rPr>
        <w:t xml:space="preserve">, los medios para acreditar la identidad de personas físicas son los siguientes</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AA">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 Identificación oficial, como Credencial para votar, pasaporte, matrícula consular mexicana, carta de naturalización, cédula profesional o de pasante, etc.</w:t>
      </w:r>
    </w:p>
    <w:p w:rsidR="00000000" w:rsidDel="00000000" w:rsidP="00000000" w:rsidRDefault="00000000" w:rsidRPr="00000000" w14:paraId="000000AB">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 Credenciales expedidas por autoridades educativas que cuenten con autorización o con reconocimiento de validez oficial o instituciones de seguridad social, licencia para conducir, cartilla del servicio militar nacional, etc.</w:t>
      </w:r>
    </w:p>
    <w:p w:rsidR="00000000" w:rsidDel="00000000" w:rsidP="00000000" w:rsidRDefault="00000000" w:rsidRPr="00000000" w14:paraId="000000AC">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 Firma electrónica avanzada o del instrumento electrónico que lo sustituya</w:t>
      </w:r>
    </w:p>
    <w:p w:rsidR="00000000" w:rsidDel="00000000" w:rsidP="00000000" w:rsidRDefault="00000000" w:rsidRPr="00000000" w14:paraId="000000AD">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 Mecanismos de autenticación autorizados por el Instituto o el Instituto Nacional publicados por acuerdo general en el periódico oficial “Gaceta del Gobierno” o en el Diario Oficial de la Federación, siempre y cuando permitan de forma inequívoca la acreditación de la identidad del titular.</w:t>
      </w:r>
    </w:p>
    <w:p w:rsidR="00000000" w:rsidDel="00000000" w:rsidP="00000000" w:rsidRDefault="00000000" w:rsidRPr="00000000" w14:paraId="000000AE">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Mientras que los artículos 121 de la Ley de Protección de Datos Personales en Posesión de Sujetos Obligados del Estado de México y Municipios; y 77 de los Lineamientos Generales de Protección de Datos Personales para el Sector Público; el representante debe acreditar la identidad del titular de los datos, así como su identidad y personalidad, presentando ante el responsable lo siguiente:</w:t>
      </w:r>
    </w:p>
    <w:p w:rsidR="00000000" w:rsidDel="00000000" w:rsidP="00000000" w:rsidRDefault="00000000" w:rsidRPr="00000000" w14:paraId="000000AF">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Copia simple de la identificación del titular.</w:t>
      </w:r>
    </w:p>
    <w:p w:rsidR="00000000" w:rsidDel="00000000" w:rsidP="00000000" w:rsidRDefault="00000000" w:rsidRPr="00000000" w14:paraId="000000B0">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Identificación oficial del representante, e</w:t>
      </w:r>
    </w:p>
    <w:p w:rsidR="00000000" w:rsidDel="00000000" w:rsidP="00000000" w:rsidRDefault="00000000" w:rsidRPr="00000000" w14:paraId="000000B1">
      <w:pPr>
        <w:spacing w:after="120" w:before="120" w:line="360" w:lineRule="auto"/>
        <w:ind w:left="425"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Instrumento público, carta poder simple suscrita ante dos testigos anexado copia simple de las identificaciones oficiales de quienes intervengan en la suscripción de la misma, o declaración en comparecencia personal del titular y del representante ante el Instituto.</w:t>
      </w:r>
    </w:p>
    <w:p w:rsidR="00000000" w:rsidDel="00000000" w:rsidP="00000000" w:rsidRDefault="00000000" w:rsidRPr="00000000" w14:paraId="000000B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los artículos 110, fracción II y 130, fracción VI, de la Ley de Protección de Datos Personales en Posesión de Sujetos Obligados del Estado de México y Municipios, disponen que se deben presentar los documentos que acrediten la identidad de la persona titular de los datos personales sobre los cuales se pretende ejercer el acceso, así como su identidad y su personalidad, tanto en el escrito de su solicitud, como en el escrito de interposición del recurso de revisión, a saber:</w:t>
      </w:r>
    </w:p>
    <w:p w:rsidR="00000000" w:rsidDel="00000000" w:rsidP="00000000" w:rsidRDefault="00000000" w:rsidRPr="00000000" w14:paraId="000000B3">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110.</w:t>
      </w:r>
      <w:r w:rsidDel="00000000" w:rsidR="00000000" w:rsidRPr="00000000">
        <w:rPr>
          <w:rFonts w:ascii="Palatino Linotype" w:cs="Palatino Linotype" w:eastAsia="Palatino Linotype" w:hAnsi="Palatino Linotype"/>
          <w:i w:val="1"/>
          <w:iCs w:val="1"/>
          <w:sz w:val="22"/>
          <w:szCs w:val="22"/>
          <w:rtl w:val="0"/>
        </w:rPr>
        <w:t xml:space="preserve"> La solicitud para el ejercicio de derechos ARCO, deberá contener:</w:t>
      </w:r>
    </w:p>
    <w:p w:rsidR="00000000" w:rsidDel="00000000" w:rsidP="00000000" w:rsidRDefault="00000000" w:rsidRPr="00000000" w14:paraId="000000B4">
      <w:pPr>
        <w:spacing w:after="120" w:before="12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5">
      <w:pPr>
        <w:spacing w:after="120" w:before="12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Los documentos que acrediten la identidad del titular y en su caso, la personalidad e identidad de su representante.</w:t>
      </w:r>
    </w:p>
    <w:p w:rsidR="00000000" w:rsidDel="00000000" w:rsidP="00000000" w:rsidRDefault="00000000" w:rsidRPr="00000000" w14:paraId="000000B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7">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130.</w:t>
      </w:r>
      <w:r w:rsidDel="00000000" w:rsidR="00000000" w:rsidRPr="00000000">
        <w:rPr>
          <w:rFonts w:ascii="Palatino Linotype" w:cs="Palatino Linotype" w:eastAsia="Palatino Linotype" w:hAnsi="Palatino Linotype"/>
          <w:i w:val="1"/>
          <w:iCs w:val="1"/>
          <w:sz w:val="22"/>
          <w:szCs w:val="22"/>
          <w:rtl w:val="0"/>
        </w:rPr>
        <w:t xml:space="preserve"> Los únicos requisitos exigibles en el escrito de interposición del recurso de revisión serán los siguientes:</w:t>
      </w:r>
    </w:p>
    <w:p w:rsidR="00000000" w:rsidDel="00000000" w:rsidP="00000000" w:rsidRDefault="00000000" w:rsidRPr="00000000" w14:paraId="000000B8">
      <w:pPr>
        <w:spacing w:after="120" w:before="12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9">
      <w:pPr>
        <w:spacing w:after="120" w:before="12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w:t>
      </w:r>
      <w:r w:rsidDel="00000000" w:rsidR="00000000" w:rsidRPr="00000000">
        <w:rPr>
          <w:rFonts w:ascii="Palatino Linotype" w:cs="Palatino Linotype" w:eastAsia="Palatino Linotype" w:hAnsi="Palatino Linotype"/>
          <w:i w:val="1"/>
          <w:iCs w:val="1"/>
          <w:sz w:val="22"/>
          <w:szCs w:val="22"/>
          <w:rtl w:val="0"/>
        </w:rPr>
        <w:t xml:space="preserve">. Los documentos que acrediten la identidad del titular y en su caso, la personalidad e identidad de su representante.”</w:t>
      </w:r>
    </w:p>
    <w:p w:rsidR="00000000" w:rsidDel="00000000" w:rsidP="00000000" w:rsidRDefault="00000000" w:rsidRPr="00000000" w14:paraId="000000B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Atento a lo anterior, se dejan a salvo los derechos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para que, en caso de considerarlo oportuno formule la solicitud de información ante el Sujeto Obligado competente, para lo cual deberá tomar en consideración lo antes mencionado, atendiendo a la naturaleza de la información a la que pretenda acceder, esto es, acreditar su identidad como titular de los datos personales, y en caso de actuar en representación del titular de los datos personales a los cuales se pretende acceder, además de la identidad del titular, su identidad y la respectiva representación.</w:t>
      </w:r>
    </w:p>
    <w:p w:rsidR="00000000" w:rsidDel="00000000" w:rsidP="00000000" w:rsidRDefault="00000000" w:rsidRPr="00000000" w14:paraId="000000BB">
      <w:pPr>
        <w:tabs>
          <w:tab w:val="left" w:leader="none" w:pos="142"/>
          <w:tab w:val="left" w:leader="none" w:pos="284"/>
        </w:tabs>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Derivado de lo expuesto, dado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informó de la notoria incompetencia para atender favorablemente la solicitud a la persona solicitante, asimismo le orientó al Colegio de Bachilleres del Estado de México, como el Sujetos Obligados competente para generar, administrar o poseer la información que es de su interés, siendo de vital importancia señalar que la facultad de orientación a las personas solicitantes para que formulen su solicitud ante el Sujeto Obligado competente es potestativa; se concluye que motivos de inconformidad de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son infundados, por lo que resulta procedente </w:t>
      </w:r>
      <w:r w:rsidDel="00000000" w:rsidR="00000000" w:rsidRPr="00000000">
        <w:rPr>
          <w:rFonts w:ascii="Palatino Linotype" w:cs="Palatino Linotype" w:eastAsia="Palatino Linotype" w:hAnsi="Palatino Linotype"/>
          <w:i w:val="1"/>
          <w:iCs w:val="1"/>
          <w:sz w:val="22"/>
          <w:szCs w:val="22"/>
          <w:rtl w:val="0"/>
        </w:rPr>
        <w:t xml:space="preserve">Confirmar </w:t>
      </w:r>
      <w:r w:rsidDel="00000000" w:rsidR="00000000" w:rsidRPr="00000000">
        <w:rPr>
          <w:rFonts w:ascii="Palatino Linotype" w:cs="Palatino Linotype" w:eastAsia="Palatino Linotype" w:hAnsi="Palatino Linotype"/>
          <w:sz w:val="22"/>
          <w:szCs w:val="22"/>
          <w:rtl w:val="0"/>
        </w:rPr>
        <w:t xml:space="preserve">la respuesta proporcionada a la solicitud de información en términos del artículo 137 fracción II de la Ley de Protección de Datos Personales en Posesión de Sujetos Obligados del Estado de México y Municipios.</w:t>
      </w:r>
      <w:r w:rsidDel="00000000" w:rsidR="00000000" w:rsidRPr="00000000">
        <w:rPr>
          <w:rtl w:val="0"/>
        </w:rPr>
      </w:r>
    </w:p>
    <w:p w:rsidR="00000000" w:rsidDel="00000000" w:rsidP="00000000" w:rsidRDefault="00000000" w:rsidRPr="00000000" w14:paraId="000000B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y cuadragésimo sexto, de la Constitución Política del Estado Libre y Soberano de México; transitorio Cuarto del Decreto número 198 de la “LXII” Legislatura del Estado de México; 2 fracción II, 29, 36 fracciones I y II, 176, 178, 179, 181, 185 fracción I, 186 y 188 de la Ley de Transparencia y Acceso a la Información Pública del Estado de México y Municipios de aplicación supletoria, 1, 81, 82 fracciones I y III, 119, 127, 128, 129, 132, 133, y 137 de la Ley de Protección de Datos Personales en Posesión de Sujetos Obligados del Estado de México y Municipios, este Pleno:</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p>
    <w:p w:rsidR="00000000" w:rsidDel="00000000" w:rsidP="00000000" w:rsidRDefault="00000000" w:rsidRPr="00000000" w14:paraId="000000BE">
      <w:pPr>
        <w:spacing w:before="160" w:line="360" w:lineRule="auto"/>
        <w:jc w:val="both"/>
        <w:rPr>
          <w:rFonts w:ascii="Palatino Linotype" w:cs="Palatino Linotype" w:eastAsia="Palatino Linotype" w:hAnsi="Palatino Linotype"/>
          <w:b w:val="1"/>
          <w:bCs w:val="1"/>
          <w:sz w:val="22"/>
          <w:szCs w:val="22"/>
        </w:rPr>
      </w:pPr>
      <w:bookmarkStart w:colFirst="0" w:colLast="0" w:name="_heading=h.3rdcrjn" w:id="7"/>
      <w:bookmarkEnd w:id="7"/>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w:t>
      </w:r>
      <w:r w:rsidDel="00000000" w:rsidR="00000000" w:rsidRPr="00000000">
        <w:rPr>
          <w:rFonts w:ascii="Palatino Linotype" w:cs="Palatino Linotype" w:eastAsia="Palatino Linotype" w:hAnsi="Palatino Linotype"/>
          <w:b w:val="1"/>
          <w:bCs w:val="1"/>
          <w:sz w:val="22"/>
          <w:szCs w:val="22"/>
          <w:rtl w:val="0"/>
        </w:rPr>
        <w:t xml:space="preserve"> infundadas </w:t>
      </w:r>
      <w:r w:rsidDel="00000000" w:rsidR="00000000" w:rsidRPr="00000000">
        <w:rPr>
          <w:rFonts w:ascii="Palatino Linotype" w:cs="Palatino Linotype" w:eastAsia="Palatino Linotype" w:hAnsi="Palatino Linotype"/>
          <w:sz w:val="22"/>
          <w:szCs w:val="22"/>
          <w:rtl w:val="0"/>
        </w:rPr>
        <w:t xml:space="preserve">las razones o motivos de inconformidad hechos valer por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en el recurso de revisión </w:t>
      </w:r>
      <w:r w:rsidDel="00000000" w:rsidR="00000000" w:rsidRPr="00000000">
        <w:rPr>
          <w:rFonts w:ascii="Palatino Linotype" w:cs="Palatino Linotype" w:eastAsia="Palatino Linotype" w:hAnsi="Palatino Linotype"/>
          <w:b w:val="1"/>
          <w:bCs w:val="1"/>
          <w:sz w:val="22"/>
          <w:szCs w:val="22"/>
          <w:rtl w:val="0"/>
        </w:rPr>
        <w:t xml:space="preserve">07004/INFOEM/AD/RR/2026; </w:t>
      </w:r>
      <w:r w:rsidDel="00000000" w:rsidR="00000000" w:rsidRPr="00000000">
        <w:rPr>
          <w:rFonts w:ascii="Palatino Linotype" w:cs="Palatino Linotype" w:eastAsia="Palatino Linotype" w:hAnsi="Palatino Linotype"/>
          <w:sz w:val="22"/>
          <w:szCs w:val="22"/>
          <w:rtl w:val="0"/>
        </w:rPr>
        <w:t xml:space="preserve">por lo que, en términos del Considerando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la presente resolución, se</w:t>
      </w:r>
      <w:r w:rsidDel="00000000" w:rsidR="00000000" w:rsidRPr="00000000">
        <w:rPr>
          <w:rFonts w:ascii="Palatino Linotype" w:cs="Palatino Linotype" w:eastAsia="Palatino Linotype" w:hAnsi="Palatino Linotype"/>
          <w:b w:val="1"/>
          <w:bCs w:val="1"/>
          <w:sz w:val="22"/>
          <w:szCs w:val="22"/>
          <w:rtl w:val="0"/>
        </w:rPr>
        <w:t xml:space="preserve"> Confirma </w:t>
      </w:r>
      <w:r w:rsidDel="00000000" w:rsidR="00000000" w:rsidRPr="00000000">
        <w:rPr>
          <w:rFonts w:ascii="Palatino Linotype" w:cs="Palatino Linotype" w:eastAsia="Palatino Linotype" w:hAnsi="Palatino Linotype"/>
          <w:sz w:val="22"/>
          <w:szCs w:val="22"/>
          <w:rtl w:val="0"/>
        </w:rPr>
        <w:t xml:space="preserve">la respuesta</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emitida por</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0BF">
      <w:pPr>
        <w:tabs>
          <w:tab w:val="left" w:leader="none" w:pos="7936"/>
        </w:tabs>
        <w:spacing w:after="240" w:before="240" w:line="360" w:lineRule="auto"/>
        <w:jc w:val="both"/>
        <w:rPr>
          <w:rFonts w:ascii="Palatino Linotype" w:cs="Palatino Linotype" w:eastAsia="Palatino Linotype" w:hAnsi="Palatino Linotype"/>
          <w:sz w:val="22"/>
          <w:szCs w:val="22"/>
        </w:rPr>
      </w:pPr>
      <w:bookmarkStart w:colFirst="0" w:colLast="0" w:name="_heading=h.26in1rg" w:id="8"/>
      <w:bookmarkEnd w:id="8"/>
      <w:r w:rsidDel="00000000" w:rsidR="00000000" w:rsidRPr="00000000">
        <w:rPr>
          <w:rFonts w:ascii="Palatino Linotype" w:cs="Palatino Linotype" w:eastAsia="Palatino Linotype" w:hAnsi="Palatino Linotype"/>
          <w:b w:val="1"/>
          <w:bCs w:val="1"/>
          <w:sz w:val="22"/>
          <w:szCs w:val="22"/>
          <w:rtl w:val="0"/>
        </w:rPr>
        <w:t xml:space="preserve">Segundo. Notifíquese, </w:t>
      </w:r>
      <w:r w:rsidDel="00000000" w:rsidR="00000000" w:rsidRPr="00000000">
        <w:rPr>
          <w:rFonts w:ascii="Palatino Linotype" w:cs="Palatino Linotype" w:eastAsia="Palatino Linotype" w:hAnsi="Palatino Linotype"/>
          <w:sz w:val="22"/>
          <w:szCs w:val="22"/>
          <w:rtl w:val="0"/>
        </w:rPr>
        <w:t xml:space="preserve">vía</w:t>
      </w:r>
      <w:r w:rsidDel="00000000" w:rsidR="00000000" w:rsidRPr="00000000">
        <w:rPr>
          <w:rFonts w:ascii="Palatino Linotype" w:cs="Palatino Linotype" w:eastAsia="Palatino Linotype" w:hAnsi="Palatino Linotype"/>
          <w:b w:val="1"/>
          <w:bCs w:val="1"/>
          <w:sz w:val="22"/>
          <w:szCs w:val="22"/>
          <w:rtl w:val="0"/>
        </w:rPr>
        <w:t xml:space="preserve"> SARCOEM</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al Responsable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su conocimiento.</w:t>
      </w:r>
    </w:p>
    <w:p w:rsidR="00000000" w:rsidDel="00000000" w:rsidP="00000000" w:rsidRDefault="00000000" w:rsidRPr="00000000" w14:paraId="000000C0">
      <w:pPr>
        <w:tabs>
          <w:tab w:val="left" w:leader="none" w:pos="4667"/>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w:t>
      </w:r>
      <w:r w:rsidDel="00000000" w:rsidR="00000000" w:rsidRPr="00000000">
        <w:rPr>
          <w:rFonts w:ascii="Palatino Linotype" w:cs="Palatino Linotype" w:eastAsia="Palatino Linotype" w:hAnsi="Palatino Linotype"/>
          <w:b w:val="1"/>
          <w:bCs w:val="1"/>
          <w:sz w:val="22"/>
          <w:szCs w:val="22"/>
          <w:rtl w:val="0"/>
        </w:rPr>
        <w:t xml:space="preserve"> SARCOEM</w:t>
      </w:r>
      <w:r w:rsidDel="00000000" w:rsidR="00000000" w:rsidRPr="00000000">
        <w:rPr>
          <w:rFonts w:ascii="Palatino Linotype" w:cs="Palatino Linotype" w:eastAsia="Palatino Linotype" w:hAnsi="Palatino Linotype"/>
          <w:sz w:val="22"/>
          <w:szCs w:val="22"/>
          <w:rtl w:val="0"/>
        </w:rPr>
        <w:t xml:space="preserve">, a</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la presente resolución, asimismo, se hace de su conocimiento que de conformidad con lo establecido en el artículo 142 de la Ley de Protección de Datos Personales en Posesión de Sujetos Obligados del Estado de México y Municipios podrá promover el Juicio de Amparo en los términos de las leyes aplicables. </w:t>
      </w:r>
    </w:p>
    <w:p w:rsidR="00000000" w:rsidDel="00000000" w:rsidP="00000000" w:rsidRDefault="00000000" w:rsidRPr="00000000" w14:paraId="000000C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p>
    <w:p w:rsidR="00000000" w:rsidDel="00000000" w:rsidP="00000000" w:rsidRDefault="00000000" w:rsidRPr="00000000" w14:paraId="000000C2">
      <w:pPr>
        <w:spacing w:after="240" w:before="240"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3">
      <w:pPr>
        <w:spacing w:line="360" w:lineRule="auto"/>
        <w:jc w:val="both"/>
        <w:rPr>
          <w:rFonts w:ascii="Palatino Linotype" w:cs="Palatino Linotype" w:eastAsia="Palatino Linotype" w:hAnsi="Palatino Linotype"/>
          <w:sz w:val="22"/>
          <w:szCs w:val="22"/>
        </w:rPr>
      </w:pPr>
      <w:bookmarkStart w:colFirst="0" w:colLast="0" w:name="_heading=h.1t3h5sf" w:id="9"/>
      <w:bookmarkEnd w:id="9"/>
      <w:r w:rsidDel="00000000" w:rsidR="00000000" w:rsidRPr="00000000">
        <w:rPr>
          <w:rtl w:val="0"/>
        </w:rPr>
      </w:r>
    </w:p>
    <w:p w:rsidR="00000000" w:rsidDel="00000000" w:rsidP="00000000" w:rsidRDefault="00000000" w:rsidRPr="00000000" w14:paraId="000000C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A">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-899159</wp:posOffset>
          </wp:positionH>
          <wp:positionV relativeFrom="paragraph">
            <wp:posOffset>-418464</wp:posOffset>
          </wp:positionV>
          <wp:extent cx="7809865" cy="10165715"/>
          <wp:effectExtent b="0" l="0" r="0" t="0"/>
          <wp:wrapNone/>
          <wp:docPr id="20197576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0CC">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0CD">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07004/INFOEM/AD/RR/2026</w:t>
          </w:r>
        </w:p>
      </w:tc>
    </w:tr>
    <w:tr>
      <w:trPr>
        <w:cantSplit w:val="0"/>
        <w:trHeight w:val="228" w:hRule="atLeast"/>
        <w:tblHeader w:val="0"/>
      </w:trPr>
      <w:tc>
        <w:tcPr>
          <w:vAlign w:val="center"/>
        </w:tcPr>
        <w:p w:rsidR="00000000" w:rsidDel="00000000" w:rsidP="00000000" w:rsidRDefault="00000000" w:rsidRPr="00000000" w14:paraId="000000CE">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0CF">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Instituto de Transparencia, Acceso a la Información Pública y Protección de Datos Personales del Estado de México y Municipios</w:t>
          </w:r>
        </w:p>
      </w:tc>
    </w:tr>
    <w:tr>
      <w:trPr>
        <w:cantSplit w:val="0"/>
        <w:tblHeader w:val="0"/>
      </w:trPr>
      <w:tc>
        <w:tcPr>
          <w:vAlign w:val="center"/>
        </w:tcPr>
        <w:p w:rsidR="00000000" w:rsidDel="00000000" w:rsidP="00000000" w:rsidRDefault="00000000" w:rsidRPr="00000000" w14:paraId="000000D0">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0D1">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D2">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-1136014</wp:posOffset>
          </wp:positionH>
          <wp:positionV relativeFrom="paragraph">
            <wp:posOffset>-385444</wp:posOffset>
          </wp:positionV>
          <wp:extent cx="7809865" cy="10165715"/>
          <wp:effectExtent b="0" l="0" r="0" t="0"/>
          <wp:wrapNone/>
          <wp:docPr id="201975760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670.0" w:type="dxa"/>
      <w:jc w:val="left"/>
      <w:tblInd w:w="3261.0" w:type="dxa"/>
      <w:tblLayout w:type="fixed"/>
      <w:tblLook w:val="0400"/>
    </w:tblPr>
    <w:tblGrid>
      <w:gridCol w:w="2551"/>
      <w:gridCol w:w="3119"/>
      <w:tblGridChange w:id="0">
        <w:tblGrid>
          <w:gridCol w:w="2551"/>
          <w:gridCol w:w="3119"/>
        </w:tblGrid>
      </w:tblGridChange>
    </w:tblGrid>
    <w:tr>
      <w:trPr>
        <w:cantSplit w:val="0"/>
        <w:tblHeader w:val="0"/>
      </w:trPr>
      <w:tc>
        <w:tcPr>
          <w:vAlign w:val="center"/>
        </w:tcPr>
        <w:p w:rsidR="00000000" w:rsidDel="00000000" w:rsidP="00000000" w:rsidRDefault="00000000" w:rsidRPr="00000000" w14:paraId="000000D4">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0D5">
          <w:pPr>
            <w:tabs>
              <w:tab w:val="left" w:leader="none" w:pos="3153"/>
            </w:tabs>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07004/INFOEM/AD/RR/2026</w:t>
          </w:r>
        </w:p>
      </w:tc>
    </w:tr>
    <w:tr>
      <w:trPr>
        <w:cantSplit w:val="0"/>
        <w:trHeight w:val="130" w:hRule="atLeast"/>
        <w:tblHeader w:val="0"/>
      </w:trPr>
      <w:tc>
        <w:tcPr>
          <w:vAlign w:val="center"/>
        </w:tcPr>
        <w:p w:rsidR="00000000" w:rsidDel="00000000" w:rsidP="00000000" w:rsidRDefault="00000000" w:rsidRPr="00000000" w14:paraId="000000D6">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vAlign w:val="center"/>
        </w:tcPr>
        <w:p w:rsidR="00000000" w:rsidDel="00000000" w:rsidP="00000000" w:rsidRDefault="00000000" w:rsidRPr="00000000" w14:paraId="000000D7">
          <w:pPr>
            <w:ind w:left="-45"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XXXXX XX X XXXX XXXXXX </w:t>
          </w:r>
        </w:p>
      </w:tc>
    </w:tr>
    <w:tr>
      <w:trPr>
        <w:cantSplit w:val="0"/>
        <w:trHeight w:val="228" w:hRule="atLeast"/>
        <w:tblHeader w:val="0"/>
      </w:trPr>
      <w:tc>
        <w:tcPr>
          <w:vAlign w:val="center"/>
        </w:tcPr>
        <w:p w:rsidR="00000000" w:rsidDel="00000000" w:rsidP="00000000" w:rsidRDefault="00000000" w:rsidRPr="00000000" w14:paraId="000000D8">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0D9">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Instituto de Transparencia, Acceso a la Información Pública y Protección de Datos Personales del Estado de México y Municipios</w:t>
          </w:r>
        </w:p>
      </w:tc>
    </w:tr>
    <w:tr>
      <w:trPr>
        <w:cantSplit w:val="0"/>
        <w:tblHeader w:val="0"/>
      </w:trPr>
      <w:tc>
        <w:tcPr>
          <w:vAlign w:val="center"/>
        </w:tcPr>
        <w:p w:rsidR="00000000" w:rsidDel="00000000" w:rsidP="00000000" w:rsidRDefault="00000000" w:rsidRPr="00000000" w14:paraId="000000DA">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0DB">
          <w:pPr>
            <w:ind w:left="-45" w:right="-533"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D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Palatino Linotype" w:cs="Palatino Linotype" w:eastAsia="Palatino Linotype" w:hAnsi="Palatino Linotype"/>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tulo7">
    <w:name w:val="heading 7"/>
    <w:basedOn w:val="Normal"/>
    <w:next w:val="Normal"/>
    <w:link w:val="Ttulo7Car"/>
    <w:uiPriority w:val="9"/>
    <w:semiHidden w:val="1"/>
    <w:unhideWhenUsed w:val="1"/>
    <w:qFormat w:val="1"/>
    <w:rsid w:val="003B73CD"/>
    <w:pPr>
      <w:tabs>
        <w:tab w:val="num" w:pos="5040"/>
      </w:tabs>
      <w:spacing w:after="60" w:before="240"/>
      <w:ind w:left="5040" w:hanging="720"/>
      <w:outlineLvl w:val="6"/>
    </w:pPr>
    <w:rPr>
      <w:rFonts w:asciiTheme="minorHAnsi" w:cstheme="minorBidi" w:eastAsiaTheme="minorEastAsia" w:hAnsiTheme="minorHAnsi"/>
      <w:lang w:eastAsia="en-US" w:val="en-US"/>
    </w:rPr>
  </w:style>
  <w:style w:type="paragraph" w:styleId="Ttulo8">
    <w:name w:val="heading 8"/>
    <w:basedOn w:val="Normal"/>
    <w:next w:val="Normal"/>
    <w:link w:val="Ttulo8Car"/>
    <w:uiPriority w:val="9"/>
    <w:semiHidden w:val="1"/>
    <w:unhideWhenUsed w:val="1"/>
    <w:qFormat w:val="1"/>
    <w:rsid w:val="003B73CD"/>
    <w:pPr>
      <w:tabs>
        <w:tab w:val="num" w:pos="5760"/>
      </w:tabs>
      <w:spacing w:after="60" w:before="240"/>
      <w:ind w:left="5760" w:hanging="720"/>
      <w:outlineLvl w:val="7"/>
    </w:pPr>
    <w:rPr>
      <w:rFonts w:asciiTheme="minorHAnsi" w:cstheme="minorBidi" w:eastAsiaTheme="minorEastAsia" w:hAnsiTheme="minorHAnsi"/>
      <w:i w:val="1"/>
      <w:iCs w:val="1"/>
      <w:lang w:eastAsia="en-US" w:val="en-US"/>
    </w:rPr>
  </w:style>
  <w:style w:type="paragraph" w:styleId="Ttulo9">
    <w:name w:val="heading 9"/>
    <w:basedOn w:val="Normal"/>
    <w:next w:val="Normal"/>
    <w:link w:val="Ttulo9Car"/>
    <w:uiPriority w:val="9"/>
    <w:semiHidden w:val="1"/>
    <w:unhideWhenUsed w:val="1"/>
    <w:qFormat w:val="1"/>
    <w:rsid w:val="003B73CD"/>
    <w:pPr>
      <w:tabs>
        <w:tab w:val="num" w:pos="6480"/>
      </w:tabs>
      <w:spacing w:after="60" w:before="240"/>
      <w:ind w:left="6480" w:hanging="720"/>
      <w:outlineLvl w:val="8"/>
    </w:pPr>
    <w:rPr>
      <w:rFonts w:asciiTheme="majorHAnsi" w:cstheme="majorBidi" w:eastAsiaTheme="majorEastAsia" w:hAnsiTheme="majorHAnsi"/>
      <w:sz w:val="22"/>
      <w:szCs w:val="22"/>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9" w:customStyle="1">
    <w:name w:val="Table Normal9"/>
    <w:tblPr>
      <w:tblCellMar>
        <w:top w:w="0.0" w:type="dxa"/>
        <w:left w:w="0.0" w:type="dxa"/>
        <w:bottom w:w="0.0" w:type="dxa"/>
        <w:right w:w="0.0" w:type="dxa"/>
      </w:tblCellMar>
    </w:tblPr>
  </w:style>
  <w:style w:type="table" w:styleId="TableNormal8" w:customStyle="1">
    <w:name w:val="Table Normal8"/>
    <w:tblPr>
      <w:tblCellMar>
        <w:top w:w="0.0" w:type="dxa"/>
        <w:left w:w="0.0" w:type="dxa"/>
        <w:bottom w:w="0.0" w:type="dxa"/>
        <w:right w:w="0.0" w:type="dxa"/>
      </w:tblCellMar>
    </w:tblPr>
  </w:style>
  <w:style w:type="table" w:styleId="TableNormal7" w:customStyle="1">
    <w:name w:val="Table Normal7"/>
    <w:tblPr>
      <w:tblCellMar>
        <w:top w:w="0.0" w:type="dxa"/>
        <w:left w:w="0.0" w:type="dxa"/>
        <w:bottom w:w="0.0" w:type="dxa"/>
        <w:right w:w="0.0" w:type="dxa"/>
      </w:tblCellMar>
    </w:tblPr>
  </w:style>
  <w:style w:type="table" w:styleId="TableNormal6" w:customStyle="1">
    <w:name w:val="Table Normal6"/>
    <w:tblPr>
      <w:tblCellMar>
        <w:top w:w="0.0" w:type="dxa"/>
        <w:left w:w="0.0" w:type="dxa"/>
        <w:bottom w:w="0.0" w:type="dxa"/>
        <w:right w:w="0.0" w:type="dxa"/>
      </w:tblCellMar>
    </w:tblPr>
  </w:style>
  <w:style w:type="table" w:styleId="TableNormal50" w:customStyle="1">
    <w:name w:val="Table Normal5"/>
    <w:tblPr>
      <w:tblCellMar>
        <w:top w:w="0.0" w:type="dxa"/>
        <w:left w:w="0.0" w:type="dxa"/>
        <w:bottom w:w="0.0" w:type="dxa"/>
        <w:right w:w="0.0" w:type="dxa"/>
      </w:tblCellMar>
    </w:tblPr>
  </w:style>
  <w:style w:type="table" w:styleId="TableNormal40" w:customStyle="1">
    <w:name w:val="Table Normal4"/>
    <w:tblPr>
      <w:tblCellMar>
        <w:top w:w="0.0" w:type="dxa"/>
        <w:left w:w="0.0" w:type="dxa"/>
        <w:bottom w:w="0.0" w:type="dxa"/>
        <w:right w:w="0.0" w:type="dxa"/>
      </w:tblCellMar>
    </w:tblPr>
  </w:style>
  <w:style w:type="table" w:styleId="TableNormal30" w:customStyle="1">
    <w:name w:val="Table Normal3"/>
    <w:tblPr>
      <w:tblCellMar>
        <w:top w:w="0.0" w:type="dxa"/>
        <w:left w:w="0.0" w:type="dxa"/>
        <w:bottom w:w="0.0" w:type="dxa"/>
        <w:right w:w="0.0" w:type="dxa"/>
      </w:tblCellMar>
    </w:tblPr>
  </w:style>
  <w:style w:type="table" w:styleId="TableNormal20" w:customStyle="1">
    <w:name w:val="Table Normal2"/>
    <w:tblPr>
      <w:tblCellMar>
        <w:top w:w="0.0" w:type="dxa"/>
        <w:left w:w="0.0" w:type="dxa"/>
        <w:bottom w:w="0.0" w:type="dxa"/>
        <w:right w:w="0.0" w:type="dxa"/>
      </w:tblCellMar>
    </w:tblPr>
  </w:style>
  <w:style w:type="table" w:styleId="TableNormal10" w:customStyle="1">
    <w:name w:val="Table Normal1"/>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C80F8C"/>
    <w:pPr>
      <w:tabs>
        <w:tab w:val="center" w:pos="4252"/>
        <w:tab w:val="right" w:pos="8504"/>
      </w:tabs>
    </w:pPr>
    <w:rPr>
      <w:rFonts w:asciiTheme="minorHAnsi" w:cstheme="minorBidi" w:eastAsiaTheme="minorEastAsia" w:hAnsiTheme="minorHAnsi"/>
      <w:lang w:val="es-ES_tradnl"/>
    </w:rPr>
  </w:style>
  <w:style w:type="character" w:styleId="EncabezadoCar" w:customStyle="1">
    <w:name w:val="Encabezado Car"/>
    <w:basedOn w:val="Fuentedeprrafopredeter"/>
    <w:link w:val="Encabezado"/>
    <w:uiPriority w:val="99"/>
    <w:rsid w:val="00C80F8C"/>
  </w:style>
  <w:style w:type="paragraph" w:styleId="Piedepgina">
    <w:name w:val="footer"/>
    <w:basedOn w:val="Normal"/>
    <w:link w:val="PiedepginaCar"/>
    <w:uiPriority w:val="99"/>
    <w:unhideWhenUsed w:val="1"/>
    <w:rsid w:val="00C80F8C"/>
    <w:pPr>
      <w:tabs>
        <w:tab w:val="center" w:pos="4252"/>
        <w:tab w:val="right" w:pos="8504"/>
      </w:tabs>
    </w:pPr>
    <w:rPr>
      <w:rFonts w:asciiTheme="minorHAnsi" w:cstheme="minorBidi" w:eastAsiaTheme="minorEastAsia" w:hAnsiTheme="minorHAnsi"/>
      <w:lang w:val="es-ES_tradnl"/>
    </w:rPr>
  </w:style>
  <w:style w:type="character" w:styleId="PiedepginaCar" w:customStyle="1">
    <w:name w:val="Pie de página Car"/>
    <w:basedOn w:val="Fuentedeprrafopredeter"/>
    <w:link w:val="Piedepgina"/>
    <w:uiPriority w:val="99"/>
    <w:rsid w:val="00C80F8C"/>
  </w:style>
  <w:style w:type="paragraph" w:styleId="Textodeglobo">
    <w:name w:val="Balloon Text"/>
    <w:basedOn w:val="Normal"/>
    <w:link w:val="TextodegloboCar"/>
    <w:uiPriority w:val="99"/>
    <w:semiHidden w:val="1"/>
    <w:unhideWhenUsed w:val="1"/>
    <w:rsid w:val="00C80F8C"/>
    <w:rPr>
      <w:rFonts w:ascii="Lucida Grande" w:cs="Lucida Grande" w:hAnsi="Lucida Grande" w:eastAsiaTheme="minorEastAsia"/>
      <w:sz w:val="18"/>
      <w:szCs w:val="18"/>
      <w:lang w:val="es-ES_tradnl"/>
    </w:rPr>
  </w:style>
  <w:style w:type="character" w:styleId="TextodegloboCar" w:customStyle="1">
    <w:name w:val="Texto de globo Car"/>
    <w:basedOn w:val="Fuentedeprrafopredeter"/>
    <w:link w:val="Textodeglobo"/>
    <w:uiPriority w:val="99"/>
    <w:semiHidden w:val="1"/>
    <w:rsid w:val="00C80F8C"/>
    <w:rPr>
      <w:rFonts w:ascii="Lucida Grande" w:cs="Lucida Grande" w:hAnsi="Lucida Grande"/>
      <w:sz w:val="18"/>
      <w:szCs w:val="18"/>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70703E"/>
    <w:pPr>
      <w:ind w:left="720"/>
      <w:contextualSpacing w:val="1"/>
    </w:pPr>
  </w:style>
  <w:style w:type="character" w:styleId="Hipervnculo">
    <w:name w:val="Hyperlink"/>
    <w:basedOn w:val="Fuentedeprrafopredeter"/>
    <w:uiPriority w:val="99"/>
    <w:unhideWhenUsed w:val="1"/>
    <w:rsid w:val="00FD7589"/>
    <w:rPr>
      <w:color w:val="0000ff"/>
      <w:u w:val="single"/>
    </w:rPr>
  </w:style>
  <w:style w:type="character" w:styleId="apple-converted-space" w:customStyle="1">
    <w:name w:val="apple-converted-space"/>
    <w:basedOn w:val="Fuentedeprrafopredeter"/>
    <w:rsid w:val="00FD7589"/>
  </w:style>
  <w:style w:type="paragraph" w:styleId="Listavistosa-nfasis11" w:customStyle="1">
    <w:name w:val="Lista vistosa - Énfasis 11"/>
    <w:basedOn w:val="Normal"/>
    <w:link w:val="Listavistosa-nfasis1Car"/>
    <w:uiPriority w:val="34"/>
    <w:qFormat w:val="1"/>
    <w:rsid w:val="000D2D89"/>
    <w:pPr>
      <w:ind w:left="708"/>
    </w:pPr>
  </w:style>
  <w:style w:type="character" w:styleId="Listavistosa-nfasis1Car" w:customStyle="1">
    <w:name w:val="Lista vistosa - Énfasis 1 Car"/>
    <w:link w:val="Listavistosa-nfasis11"/>
    <w:uiPriority w:val="34"/>
    <w:locked w:val="1"/>
    <w:rsid w:val="000D2D89"/>
    <w:rPr>
      <w:rFonts w:ascii="Times New Roman" w:cs="Times New Roman" w:eastAsia="Times New Roman" w:hAnsi="Times New Roman"/>
      <w:lang w:val="es-ES"/>
    </w:rPr>
  </w:style>
  <w:style w:type="paragraph" w:styleId="Texto" w:customStyle="1">
    <w:name w:val="Texto"/>
    <w:basedOn w:val="Normal"/>
    <w:link w:val="TextoCar"/>
    <w:rsid w:val="000470FE"/>
    <w:pPr>
      <w:spacing w:after="101" w:line="216" w:lineRule="exact"/>
      <w:ind w:firstLine="288"/>
      <w:jc w:val="both"/>
    </w:pPr>
    <w:rPr>
      <w:rFonts w:ascii="Arial" w:cs="Arial" w:hAnsi="Arial"/>
      <w:sz w:val="18"/>
      <w:szCs w:val="18"/>
    </w:rPr>
  </w:style>
  <w:style w:type="paragraph" w:styleId="NormalWeb">
    <w:name w:val="Normal (Web)"/>
    <w:basedOn w:val="Normal"/>
    <w:uiPriority w:val="99"/>
    <w:rsid w:val="000470FE"/>
    <w:pPr>
      <w:spacing w:after="100" w:afterAutospacing="1" w:before="100" w:beforeAutospacing="1"/>
    </w:pPr>
  </w:style>
  <w:style w:type="character" w:styleId="apple-style-span" w:customStyle="1">
    <w:name w:val="apple-style-span"/>
    <w:rsid w:val="008846E7"/>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val="1"/>
    <w:locked w:val="1"/>
    <w:rsid w:val="007E1FF4"/>
    <w:rPr>
      <w:rFonts w:ascii="Times New Roman" w:cs="Times New Roman" w:eastAsia="Times New Roman" w:hAnsi="Times New Roman"/>
      <w:lang w:val="es-ES"/>
    </w:rPr>
  </w:style>
  <w:style w:type="character" w:styleId="Textoennegrita">
    <w:name w:val="Strong"/>
    <w:uiPriority w:val="22"/>
    <w:qFormat w:val="1"/>
    <w:rsid w:val="003D1B5F"/>
    <w:rPr>
      <w:b w:val="1"/>
      <w:bCs w:val="1"/>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2944C8"/>
    <w:rPr>
      <w:rFonts w:asciiTheme="minorHAnsi" w:cstheme="minorBidi" w:eastAsiaTheme="minorHAnsi" w:hAnsi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2944C8"/>
    <w:rPr>
      <w:rFonts w:eastAsiaTheme="minorHAnsi"/>
      <w:sz w:val="20"/>
      <w:szCs w:val="20"/>
      <w:lang w:eastAsia="en-US" w:val="es-MX"/>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val="1"/>
    <w:qFormat w:val="1"/>
    <w:rsid w:val="002944C8"/>
    <w:rPr>
      <w:vertAlign w:val="superscript"/>
    </w:rPr>
  </w:style>
  <w:style w:type="paragraph" w:styleId="Sinespaciado">
    <w:name w:val="No Spacing"/>
    <w:aliases w:val="Francesa,INAI"/>
    <w:link w:val="SinespaciadoCar"/>
    <w:uiPriority w:val="1"/>
    <w:qFormat w:val="1"/>
    <w:rsid w:val="002944C8"/>
  </w:style>
  <w:style w:type="paragraph" w:styleId="Textoindependiente2">
    <w:name w:val="Body Text 2"/>
    <w:basedOn w:val="Normal"/>
    <w:link w:val="Textoindependiente2Car"/>
    <w:uiPriority w:val="99"/>
    <w:unhideWhenUsed w:val="1"/>
    <w:rsid w:val="002944C8"/>
    <w:pPr>
      <w:spacing w:after="120" w:line="480" w:lineRule="auto"/>
    </w:pPr>
  </w:style>
  <w:style w:type="character" w:styleId="Textoindependiente2Car" w:customStyle="1">
    <w:name w:val="Texto independiente 2 Car"/>
    <w:basedOn w:val="Fuentedeprrafopredeter"/>
    <w:link w:val="Textoindependiente2"/>
    <w:uiPriority w:val="99"/>
    <w:rsid w:val="002944C8"/>
    <w:rPr>
      <w:rFonts w:ascii="Times New Roman" w:cs="Times New Roman" w:eastAsia="Times New Roman" w:hAnsi="Times New Roman"/>
      <w:lang w:val="es-ES"/>
    </w:rPr>
  </w:style>
  <w:style w:type="paragraph" w:styleId="Textosinformato">
    <w:name w:val="Plain Text"/>
    <w:basedOn w:val="Normal"/>
    <w:link w:val="TextosinformatoCar"/>
    <w:rsid w:val="002944C8"/>
    <w:rPr>
      <w:rFonts w:ascii="Courier New" w:hAnsi="Courier New"/>
      <w:sz w:val="20"/>
      <w:szCs w:val="20"/>
    </w:rPr>
  </w:style>
  <w:style w:type="character" w:styleId="TextosinformatoCar" w:customStyle="1">
    <w:name w:val="Texto sin formato Car"/>
    <w:basedOn w:val="Fuentedeprrafopredeter"/>
    <w:link w:val="Textosinformato"/>
    <w:rsid w:val="002944C8"/>
    <w:rPr>
      <w:rFonts w:ascii="Courier New" w:cs="Times New Roman" w:eastAsia="Times New Roman" w:hAnsi="Courier New"/>
      <w:sz w:val="20"/>
      <w:szCs w:val="20"/>
      <w:lang w:val="es-ES"/>
    </w:rPr>
  </w:style>
  <w:style w:type="paragraph" w:styleId="Standard" w:customStyle="1">
    <w:name w:val="Standard"/>
    <w:rsid w:val="002944C8"/>
    <w:pPr>
      <w:widowControl w:val="0"/>
      <w:suppressAutoHyphens w:val="1"/>
      <w:autoSpaceDN w:val="0"/>
      <w:textAlignment w:val="baseline"/>
    </w:pPr>
    <w:rPr>
      <w:rFonts w:ascii="Liberation Serif" w:cs="Lohit Hindi" w:eastAsia="DejaVu Sans" w:hAnsi="Liberation Serif"/>
      <w:kern w:val="3"/>
      <w:lang w:bidi="hi-IN" w:eastAsia="zh-CN"/>
    </w:rPr>
  </w:style>
  <w:style w:type="character" w:styleId="negritas1" w:customStyle="1">
    <w:name w:val="negritas1"/>
    <w:rsid w:val="002944C8"/>
    <w:rPr>
      <w:rFonts w:ascii="Arial" w:cs="Arial" w:hAnsi="Arial" w:hint="default"/>
      <w:b w:val="1"/>
      <w:bCs w:val="1"/>
      <w:sz w:val="18"/>
      <w:szCs w:val="18"/>
    </w:rPr>
  </w:style>
  <w:style w:type="paragraph" w:styleId="Pa2" w:customStyle="1">
    <w:name w:val="Pa2"/>
    <w:basedOn w:val="Normal"/>
    <w:next w:val="Normal"/>
    <w:uiPriority w:val="99"/>
    <w:rsid w:val="002944C8"/>
    <w:pPr>
      <w:autoSpaceDE w:val="0"/>
      <w:autoSpaceDN w:val="0"/>
      <w:adjustRightInd w:val="0"/>
      <w:spacing w:line="240" w:lineRule="atLeast"/>
    </w:pPr>
    <w:rPr>
      <w:rFonts w:ascii="Helvetica" w:hAnsi="Helvetica"/>
      <w:lang w:eastAsia="es-ES_tradnl" w:val="es-ES_tradnl"/>
    </w:rPr>
  </w:style>
  <w:style w:type="paragraph" w:styleId="Default" w:customStyle="1">
    <w:name w:val="Default"/>
    <w:rsid w:val="002944C8"/>
    <w:pPr>
      <w:autoSpaceDE w:val="0"/>
      <w:autoSpaceDN w:val="0"/>
      <w:adjustRightInd w:val="0"/>
    </w:pPr>
    <w:rPr>
      <w:rFonts w:ascii="Arial" w:cs="Arial" w:hAnsi="Arial" w:eastAsiaTheme="minorHAnsi"/>
      <w:color w:val="000000"/>
      <w:lang w:eastAsia="en-US"/>
    </w:rPr>
  </w:style>
  <w:style w:type="character" w:styleId="f" w:customStyle="1">
    <w:name w:val="f"/>
    <w:basedOn w:val="Fuentedeprrafopredeter"/>
    <w:rsid w:val="002944C8"/>
  </w:style>
  <w:style w:type="paragraph" w:styleId="q" w:customStyle="1">
    <w:name w:val="q"/>
    <w:basedOn w:val="Normal"/>
    <w:rsid w:val="002944C8"/>
    <w:pPr>
      <w:spacing w:after="100" w:afterAutospacing="1" w:before="100" w:beforeAutospacing="1"/>
    </w:pPr>
  </w:style>
  <w:style w:type="character" w:styleId="d" w:customStyle="1">
    <w:name w:val="d"/>
    <w:basedOn w:val="Fuentedeprrafopredeter"/>
    <w:rsid w:val="002944C8"/>
  </w:style>
  <w:style w:type="character" w:styleId="b" w:customStyle="1">
    <w:name w:val="b"/>
    <w:basedOn w:val="Fuentedeprrafopredeter"/>
    <w:rsid w:val="002944C8"/>
  </w:style>
  <w:style w:type="character" w:styleId="k" w:customStyle="1">
    <w:name w:val="k"/>
    <w:basedOn w:val="Fuentedeprrafopredeter"/>
    <w:rsid w:val="002944C8"/>
  </w:style>
  <w:style w:type="character" w:styleId="h" w:customStyle="1">
    <w:name w:val="h"/>
    <w:basedOn w:val="Fuentedeprrafopredeter"/>
    <w:rsid w:val="002944C8"/>
  </w:style>
  <w:style w:type="character" w:styleId="Hipervnculovisitado">
    <w:name w:val="FollowedHyperlink"/>
    <w:basedOn w:val="Fuentedeprrafopredeter"/>
    <w:uiPriority w:val="99"/>
    <w:semiHidden w:val="1"/>
    <w:unhideWhenUsed w:val="1"/>
    <w:rsid w:val="002944C8"/>
    <w:rPr>
      <w:color w:val="800080" w:themeColor="followedHyperlink"/>
      <w:u w:val="single"/>
    </w:rPr>
  </w:style>
  <w:style w:type="character" w:styleId="CitaHTML">
    <w:name w:val="HTML Cite"/>
    <w:uiPriority w:val="99"/>
    <w:semiHidden w:val="1"/>
    <w:unhideWhenUsed w:val="1"/>
    <w:rsid w:val="00B85C7C"/>
    <w:rPr>
      <w:i w:val="1"/>
      <w:iCs w:val="1"/>
    </w:rPr>
  </w:style>
  <w:style w:type="character" w:styleId="SinespaciadoCar" w:customStyle="1">
    <w:name w:val="Sin espaciado Car"/>
    <w:aliases w:val="Francesa Car,INAI Car"/>
    <w:link w:val="Sinespaciado"/>
    <w:uiPriority w:val="1"/>
    <w:locked w:val="1"/>
    <w:rsid w:val="00270539"/>
    <w:rPr>
      <w:rFonts w:ascii="Times New Roman" w:cs="Times New Roman" w:eastAsia="Times New Roman" w:hAnsi="Times New Roman"/>
      <w:lang w:val="es-MX"/>
    </w:rPr>
  </w:style>
  <w:style w:type="character" w:styleId="medium" w:customStyle="1">
    <w:name w:val="medium"/>
    <w:basedOn w:val="Fuentedeprrafopredeter"/>
    <w:rsid w:val="00354DB7"/>
  </w:style>
  <w:style w:type="table" w:styleId="Tablaconcuadrcula">
    <w:name w:val="Table Grid"/>
    <w:basedOn w:val="Tablanormal"/>
    <w:uiPriority w:val="59"/>
    <w:rsid w:val="00BB3A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numeroconsecutivo" w:customStyle="1">
    <w:name w:val="numeroconsecutivo"/>
    <w:basedOn w:val="Fuentedeprrafopredeter"/>
    <w:rsid w:val="00615060"/>
  </w:style>
  <w:style w:type="character" w:styleId="titulorubrolgt" w:customStyle="1">
    <w:name w:val="titulorubrolgt"/>
    <w:basedOn w:val="Fuentedeprrafopredeter"/>
    <w:rsid w:val="00615060"/>
  </w:style>
  <w:style w:type="character" w:styleId="ctr" w:customStyle="1">
    <w:name w:val="ctr"/>
    <w:basedOn w:val="Fuentedeprrafopredeter"/>
    <w:rsid w:val="00615060"/>
  </w:style>
  <w:style w:type="paragraph" w:styleId="Textonotaalfinal">
    <w:name w:val="endnote text"/>
    <w:basedOn w:val="Normal"/>
    <w:link w:val="TextonotaalfinalCar"/>
    <w:uiPriority w:val="99"/>
    <w:semiHidden w:val="1"/>
    <w:unhideWhenUsed w:val="1"/>
    <w:rsid w:val="00D25E88"/>
    <w:rPr>
      <w:sz w:val="20"/>
      <w:szCs w:val="20"/>
    </w:rPr>
  </w:style>
  <w:style w:type="character" w:styleId="TextonotaalfinalCar" w:customStyle="1">
    <w:name w:val="Texto nota al final Car"/>
    <w:basedOn w:val="Fuentedeprrafopredeter"/>
    <w:link w:val="Textonotaalfinal"/>
    <w:uiPriority w:val="99"/>
    <w:semiHidden w:val="1"/>
    <w:rsid w:val="00D25E88"/>
    <w:rPr>
      <w:rFonts w:ascii="Times New Roman" w:cs="Times New Roman" w:eastAsia="Times New Roman" w:hAnsi="Times New Roman"/>
      <w:sz w:val="20"/>
      <w:szCs w:val="20"/>
      <w:lang w:val="es-ES"/>
    </w:rPr>
  </w:style>
  <w:style w:type="character" w:styleId="Refdenotaalfinal">
    <w:name w:val="endnote reference"/>
    <w:basedOn w:val="Fuentedeprrafopredeter"/>
    <w:uiPriority w:val="99"/>
    <w:semiHidden w:val="1"/>
    <w:unhideWhenUsed w:val="1"/>
    <w:rsid w:val="00D25E88"/>
    <w:rPr>
      <w:vertAlign w:val="superscript"/>
    </w:rPr>
  </w:style>
  <w:style w:type="character" w:styleId="A1" w:customStyle="1">
    <w:name w:val="A1"/>
    <w:uiPriority w:val="99"/>
    <w:rsid w:val="00EC4ECD"/>
    <w:rPr>
      <w:rFonts w:ascii="Myriad Pro" w:cs="Myriad Pro" w:hAnsi="Myriad Pro" w:hint="default"/>
      <w:color w:val="000000"/>
      <w:sz w:val="22"/>
      <w:szCs w:val="22"/>
    </w:rPr>
  </w:style>
  <w:style w:type="paragraph" w:styleId="Pa9" w:customStyle="1">
    <w:name w:val="Pa9"/>
    <w:basedOn w:val="Normal"/>
    <w:next w:val="Normal"/>
    <w:uiPriority w:val="99"/>
    <w:rsid w:val="00EC4ECD"/>
    <w:pPr>
      <w:autoSpaceDE w:val="0"/>
      <w:autoSpaceDN w:val="0"/>
      <w:adjustRightInd w:val="0"/>
      <w:spacing w:line="241" w:lineRule="atLeast"/>
    </w:pPr>
    <w:rPr>
      <w:rFonts w:ascii="Myriad Pro" w:hAnsi="Myriad Pro" w:cstheme="minorBidi" w:eastAsiaTheme="minorHAnsi"/>
      <w:lang w:eastAsia="en-US"/>
    </w:rPr>
  </w:style>
  <w:style w:type="paragraph" w:styleId="Pa5" w:customStyle="1">
    <w:name w:val="Pa5"/>
    <w:basedOn w:val="Normal"/>
    <w:next w:val="Normal"/>
    <w:uiPriority w:val="99"/>
    <w:rsid w:val="00EC4ECD"/>
    <w:pPr>
      <w:autoSpaceDE w:val="0"/>
      <w:autoSpaceDN w:val="0"/>
      <w:adjustRightInd w:val="0"/>
      <w:spacing w:line="201" w:lineRule="atLeast"/>
    </w:pPr>
    <w:rPr>
      <w:rFonts w:ascii="Myriad Pro" w:hAnsi="Myriad Pro" w:cstheme="minorBidi" w:eastAsiaTheme="minorHAnsi"/>
      <w:lang w:eastAsia="en-US"/>
    </w:rPr>
  </w:style>
  <w:style w:type="paragraph" w:styleId="m5127500252372250437gmail-paragraph" w:customStyle="1">
    <w:name w:val="m_5127500252372250437gmail-paragraph"/>
    <w:basedOn w:val="Normal"/>
    <w:rsid w:val="00980B7E"/>
    <w:pPr>
      <w:spacing w:after="100" w:afterAutospacing="1" w:before="100" w:beforeAutospacing="1"/>
    </w:pPr>
  </w:style>
  <w:style w:type="character" w:styleId="nombrefraccder" w:customStyle="1">
    <w:name w:val="nombrefraccder"/>
    <w:basedOn w:val="Fuentedeprrafopredeter"/>
    <w:rsid w:val="009B4A68"/>
  </w:style>
  <w:style w:type="character" w:styleId="numberfraccder" w:customStyle="1">
    <w:name w:val="numberfraccder"/>
    <w:basedOn w:val="Fuentedeprrafopredeter"/>
    <w:rsid w:val="009B4A68"/>
  </w:style>
  <w:style w:type="character" w:styleId="TextoCar" w:customStyle="1">
    <w:name w:val="Texto Car"/>
    <w:link w:val="Texto"/>
    <w:locked w:val="1"/>
    <w:rsid w:val="002B0963"/>
    <w:rPr>
      <w:rFonts w:ascii="Arial" w:cs="Arial" w:eastAsia="Times New Roman" w:hAnsi="Arial"/>
      <w:sz w:val="18"/>
      <w:szCs w:val="18"/>
      <w:lang w:val="es-MX"/>
    </w:rPr>
  </w:style>
  <w:style w:type="character" w:styleId="nfasis">
    <w:name w:val="Emphasis"/>
    <w:basedOn w:val="Fuentedeprrafopredeter"/>
    <w:uiPriority w:val="20"/>
    <w:qFormat w:val="1"/>
    <w:rsid w:val="00C536F2"/>
    <w:rPr>
      <w:i w:val="1"/>
      <w:iCs w:val="1"/>
    </w:rPr>
  </w:style>
  <w:style w:type="character" w:styleId="normaltextrun" w:customStyle="1">
    <w:name w:val="normaltextrun"/>
    <w:basedOn w:val="Fuentedeprrafopredeter"/>
    <w:rsid w:val="0011437B"/>
  </w:style>
  <w:style w:type="character" w:styleId="m5127500252372250437gmail-normaltextrun" w:customStyle="1">
    <w:name w:val="m_5127500252372250437gmail-normaltextrun"/>
    <w:basedOn w:val="Fuentedeprrafopredeter"/>
    <w:rsid w:val="0011437B"/>
  </w:style>
  <w:style w:type="paragraph" w:styleId="m-60081275284358516gmail-msolistparagraph" w:customStyle="1">
    <w:name w:val="m_-60081275284358516gmail-msolistparagraph"/>
    <w:basedOn w:val="Normal"/>
    <w:rsid w:val="00207C90"/>
    <w:pPr>
      <w:spacing w:after="100" w:afterAutospacing="1" w:before="100" w:beforeAutospacing="1"/>
    </w:pPr>
  </w:style>
  <w:style w:type="paragraph" w:styleId="ANOTACION" w:customStyle="1">
    <w:name w:val="ANOTACION"/>
    <w:basedOn w:val="Normal"/>
    <w:link w:val="ANOTACIONCar"/>
    <w:rsid w:val="001B5A73"/>
    <w:pPr>
      <w:spacing w:after="101" w:before="101" w:line="216" w:lineRule="atLeast"/>
      <w:jc w:val="center"/>
    </w:pPr>
    <w:rPr>
      <w:b w:val="1"/>
      <w:sz w:val="18"/>
      <w:szCs w:val="20"/>
      <w:lang w:val="es-ES_tradnl"/>
    </w:rPr>
  </w:style>
  <w:style w:type="character" w:styleId="ANOTACIONCar" w:customStyle="1">
    <w:name w:val="ANOTACION Car"/>
    <w:link w:val="ANOTACION"/>
    <w:locked w:val="1"/>
    <w:rsid w:val="001B5A73"/>
    <w:rPr>
      <w:rFonts w:ascii="Times New Roman" w:cs="Times New Roman" w:eastAsia="Times New Roman" w:hAnsi="Times New Roman"/>
      <w:b w:val="1"/>
      <w:sz w:val="18"/>
      <w:szCs w:val="20"/>
    </w:rPr>
  </w:style>
  <w:style w:type="paragraph" w:styleId="j" w:customStyle="1">
    <w:name w:val="j"/>
    <w:basedOn w:val="Normal"/>
    <w:rsid w:val="007B00BD"/>
    <w:pPr>
      <w:spacing w:after="100" w:afterAutospacing="1" w:before="100" w:beforeAutospacing="1"/>
    </w:pPr>
  </w:style>
  <w:style w:type="character" w:styleId="nacep" w:customStyle="1">
    <w:name w:val="n_acep"/>
    <w:basedOn w:val="Fuentedeprrafopredeter"/>
    <w:rsid w:val="007B00BD"/>
  </w:style>
  <w:style w:type="paragraph" w:styleId="k5" w:customStyle="1">
    <w:name w:val="k5"/>
    <w:basedOn w:val="Normal"/>
    <w:rsid w:val="007B00BD"/>
    <w:pPr>
      <w:spacing w:after="100" w:afterAutospacing="1" w:before="100" w:beforeAutospacing="1"/>
    </w:pPr>
  </w:style>
  <w:style w:type="paragraph" w:styleId="m" w:customStyle="1">
    <w:name w:val="m"/>
    <w:basedOn w:val="Normal"/>
    <w:rsid w:val="007B00BD"/>
    <w:pPr>
      <w:spacing w:after="100" w:afterAutospacing="1" w:before="100" w:beforeAutospacing="1"/>
    </w:pPr>
  </w:style>
  <w:style w:type="character" w:styleId="Refdecomentario">
    <w:name w:val="annotation reference"/>
    <w:basedOn w:val="Fuentedeprrafopredeter"/>
    <w:uiPriority w:val="99"/>
    <w:semiHidden w:val="1"/>
    <w:unhideWhenUsed w:val="1"/>
    <w:rsid w:val="003219FE"/>
    <w:rPr>
      <w:sz w:val="16"/>
      <w:szCs w:val="16"/>
    </w:rPr>
  </w:style>
  <w:style w:type="paragraph" w:styleId="Textocomentario">
    <w:name w:val="annotation text"/>
    <w:basedOn w:val="Normal"/>
    <w:link w:val="TextocomentarioCar"/>
    <w:uiPriority w:val="99"/>
    <w:semiHidden w:val="1"/>
    <w:unhideWhenUsed w:val="1"/>
    <w:rsid w:val="003219FE"/>
    <w:rPr>
      <w:sz w:val="20"/>
      <w:szCs w:val="20"/>
    </w:rPr>
  </w:style>
  <w:style w:type="character" w:styleId="TextocomentarioCar" w:customStyle="1">
    <w:name w:val="Texto comentario Car"/>
    <w:basedOn w:val="Fuentedeprrafopredeter"/>
    <w:link w:val="Textocomentario"/>
    <w:uiPriority w:val="99"/>
    <w:semiHidden w:val="1"/>
    <w:rsid w:val="003219FE"/>
    <w:rPr>
      <w:rFonts w:ascii="Times New Roman" w:cs="Times New Roman" w:eastAsia="Times New Roman" w:hAnsi="Times New Roman"/>
      <w:sz w:val="20"/>
      <w:szCs w:val="20"/>
      <w:lang w:val="es-ES"/>
    </w:rPr>
  </w:style>
  <w:style w:type="paragraph" w:styleId="Asuntodelcomentario">
    <w:name w:val="annotation subject"/>
    <w:basedOn w:val="Textocomentario"/>
    <w:next w:val="Textocomentario"/>
    <w:link w:val="AsuntodelcomentarioCar"/>
    <w:uiPriority w:val="99"/>
    <w:semiHidden w:val="1"/>
    <w:unhideWhenUsed w:val="1"/>
    <w:rsid w:val="003219FE"/>
    <w:rPr>
      <w:b w:val="1"/>
      <w:bCs w:val="1"/>
    </w:rPr>
  </w:style>
  <w:style w:type="character" w:styleId="AsuntodelcomentarioCar" w:customStyle="1">
    <w:name w:val="Asunto del comentario Car"/>
    <w:basedOn w:val="TextocomentarioCar"/>
    <w:link w:val="Asuntodelcomentario"/>
    <w:uiPriority w:val="99"/>
    <w:semiHidden w:val="1"/>
    <w:rsid w:val="003219FE"/>
    <w:rPr>
      <w:rFonts w:ascii="Times New Roman" w:cs="Times New Roman" w:eastAsia="Times New Roman" w:hAnsi="Times New Roman"/>
      <w:b w:val="1"/>
      <w:bCs w:val="1"/>
      <w:sz w:val="20"/>
      <w:szCs w:val="20"/>
      <w:lang w:val="es-ES"/>
    </w:rPr>
  </w:style>
  <w:style w:type="paragraph" w:styleId="FAFunotente1" w:customStyle="1">
    <w:name w:val="FA Fu?notente1"/>
    <w:basedOn w:val="Normal"/>
    <w:next w:val="Textonotapie"/>
    <w:uiPriority w:val="99"/>
    <w:unhideWhenUsed w:val="1"/>
    <w:rsid w:val="00A403D3"/>
    <w:rPr>
      <w:rFonts w:eastAsia="Cambria" w:asciiTheme="minorHAnsi" w:cstheme="minorBidi" w:hAnsiTheme="minorHAnsi"/>
      <w:sz w:val="20"/>
      <w:szCs w:val="20"/>
      <w:lang w:eastAsia="en-US"/>
    </w:rPr>
  </w:style>
  <w:style w:type="character" w:styleId="Ttulo1Car" w:customStyle="1">
    <w:name w:val="Título 1 Car"/>
    <w:basedOn w:val="Fuentedeprrafopredeter"/>
    <w:link w:val="Ttulo1"/>
    <w:uiPriority w:val="9"/>
    <w:rsid w:val="00603D72"/>
    <w:rPr>
      <w:rFonts w:asciiTheme="majorHAnsi" w:cstheme="majorBidi" w:eastAsiaTheme="majorEastAsia" w:hAnsiTheme="majorHAnsi"/>
      <w:color w:val="365f91" w:themeColor="accent1" w:themeShade="0000BF"/>
      <w:sz w:val="32"/>
      <w:szCs w:val="32"/>
      <w:lang w:val="es-ES"/>
    </w:rPr>
  </w:style>
  <w:style w:type="character" w:styleId="Ttulo2Car" w:customStyle="1">
    <w:name w:val="Título 2 Car"/>
    <w:basedOn w:val="Fuentedeprrafopredeter"/>
    <w:link w:val="Ttulo2"/>
    <w:uiPriority w:val="9"/>
    <w:rsid w:val="00603D72"/>
    <w:rPr>
      <w:rFonts w:asciiTheme="majorHAnsi" w:cstheme="majorBidi" w:eastAsiaTheme="majorEastAsia" w:hAnsiTheme="majorHAnsi"/>
      <w:color w:val="365f91" w:themeColor="accent1" w:themeShade="0000BF"/>
      <w:sz w:val="26"/>
      <w:szCs w:val="26"/>
      <w:lang w:val="es-ES"/>
    </w:rPr>
  </w:style>
  <w:style w:type="paragraph" w:styleId="Lista">
    <w:name w:val="List"/>
    <w:basedOn w:val="Normal"/>
    <w:uiPriority w:val="99"/>
    <w:unhideWhenUsed w:val="1"/>
    <w:rsid w:val="00603D72"/>
    <w:pPr>
      <w:ind w:left="283" w:hanging="283"/>
      <w:contextualSpacing w:val="1"/>
    </w:pPr>
  </w:style>
  <w:style w:type="paragraph" w:styleId="Lista2">
    <w:name w:val="List 2"/>
    <w:basedOn w:val="Normal"/>
    <w:uiPriority w:val="99"/>
    <w:unhideWhenUsed w:val="1"/>
    <w:rsid w:val="00603D72"/>
    <w:pPr>
      <w:ind w:left="566" w:hanging="283"/>
      <w:contextualSpacing w:val="1"/>
    </w:pPr>
  </w:style>
  <w:style w:type="paragraph" w:styleId="Lista3">
    <w:name w:val="List 3"/>
    <w:basedOn w:val="Normal"/>
    <w:uiPriority w:val="99"/>
    <w:unhideWhenUsed w:val="1"/>
    <w:rsid w:val="00603D72"/>
    <w:pPr>
      <w:ind w:left="849" w:hanging="283"/>
      <w:contextualSpacing w:val="1"/>
    </w:pPr>
  </w:style>
  <w:style w:type="paragraph" w:styleId="Listaconvietas3">
    <w:name w:val="List Bullet 3"/>
    <w:basedOn w:val="Normal"/>
    <w:uiPriority w:val="99"/>
    <w:unhideWhenUsed w:val="1"/>
    <w:rsid w:val="00603D72"/>
    <w:pPr>
      <w:numPr>
        <w:numId w:val="2"/>
      </w:numPr>
      <w:contextualSpacing w:val="1"/>
    </w:pPr>
  </w:style>
  <w:style w:type="paragraph" w:styleId="Continuarlista">
    <w:name w:val="List Continue"/>
    <w:basedOn w:val="Normal"/>
    <w:uiPriority w:val="99"/>
    <w:unhideWhenUsed w:val="1"/>
    <w:rsid w:val="00603D72"/>
    <w:pPr>
      <w:spacing w:after="120"/>
      <w:ind w:left="283"/>
      <w:contextualSpacing w:val="1"/>
    </w:pPr>
  </w:style>
  <w:style w:type="paragraph" w:styleId="Continuarlista2">
    <w:name w:val="List Continue 2"/>
    <w:basedOn w:val="Normal"/>
    <w:uiPriority w:val="99"/>
    <w:unhideWhenUsed w:val="1"/>
    <w:rsid w:val="00603D72"/>
    <w:pPr>
      <w:spacing w:after="120"/>
      <w:ind w:left="566"/>
      <w:contextualSpacing w:val="1"/>
    </w:pPr>
  </w:style>
  <w:style w:type="paragraph" w:styleId="Textoindependiente">
    <w:name w:val="Body Text"/>
    <w:basedOn w:val="Normal"/>
    <w:link w:val="TextoindependienteCar"/>
    <w:uiPriority w:val="99"/>
    <w:unhideWhenUsed w:val="1"/>
    <w:rsid w:val="00603D72"/>
    <w:pPr>
      <w:spacing w:after="120"/>
    </w:pPr>
  </w:style>
  <w:style w:type="character" w:styleId="TextoindependienteCar" w:customStyle="1">
    <w:name w:val="Texto independiente Car"/>
    <w:basedOn w:val="Fuentedeprrafopredeter"/>
    <w:link w:val="Textoindependiente"/>
    <w:uiPriority w:val="99"/>
    <w:rsid w:val="00603D72"/>
    <w:rPr>
      <w:rFonts w:ascii="Times New Roman" w:cs="Times New Roman" w:eastAsia="Times New Roman" w:hAnsi="Times New Roman"/>
      <w:lang w:val="es-ES"/>
    </w:rPr>
  </w:style>
  <w:style w:type="paragraph" w:styleId="Sangradetextonormal">
    <w:name w:val="Body Text Indent"/>
    <w:basedOn w:val="Normal"/>
    <w:link w:val="SangradetextonormalCar"/>
    <w:uiPriority w:val="99"/>
    <w:unhideWhenUsed w:val="1"/>
    <w:rsid w:val="00603D72"/>
    <w:pPr>
      <w:spacing w:after="120"/>
      <w:ind w:left="283"/>
    </w:pPr>
  </w:style>
  <w:style w:type="character" w:styleId="SangradetextonormalCar" w:customStyle="1">
    <w:name w:val="Sangría de texto normal Car"/>
    <w:basedOn w:val="Fuentedeprrafopredeter"/>
    <w:link w:val="Sangradetextonormal"/>
    <w:uiPriority w:val="99"/>
    <w:rsid w:val="00603D72"/>
    <w:rPr>
      <w:rFonts w:ascii="Times New Roman" w:cs="Times New Roman" w:eastAsia="Times New Roman" w:hAnsi="Times New Roman"/>
      <w:lang w:val="es-ES"/>
    </w:rPr>
  </w:style>
  <w:style w:type="paragraph" w:styleId="Textoindependienteprimerasangra2">
    <w:name w:val="Body Text First Indent 2"/>
    <w:basedOn w:val="Sangradetextonormal"/>
    <w:link w:val="Textoindependienteprimerasangra2Car"/>
    <w:uiPriority w:val="99"/>
    <w:unhideWhenUsed w:val="1"/>
    <w:rsid w:val="00603D72"/>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603D72"/>
    <w:rPr>
      <w:rFonts w:ascii="Times New Roman" w:cs="Times New Roman" w:eastAsia="Times New Roman" w:hAnsi="Times New Roman"/>
      <w:lang w:val="es-ES"/>
    </w:rPr>
  </w:style>
  <w:style w:type="paragraph" w:styleId="paragraph" w:customStyle="1">
    <w:name w:val="paragraph"/>
    <w:basedOn w:val="Normal"/>
    <w:rsid w:val="00E34821"/>
    <w:pPr>
      <w:spacing w:after="100" w:afterAutospacing="1" w:before="100" w:beforeAutospacing="1"/>
    </w:pPr>
  </w:style>
  <w:style w:type="paragraph" w:styleId="n2" w:customStyle="1">
    <w:name w:val="n2"/>
    <w:basedOn w:val="Normal"/>
    <w:rsid w:val="009D307C"/>
    <w:pPr>
      <w:spacing w:after="100" w:afterAutospacing="1" w:before="100" w:beforeAutospacing="1"/>
    </w:pPr>
  </w:style>
  <w:style w:type="character" w:styleId="u" w:customStyle="1">
    <w:name w:val="u"/>
    <w:basedOn w:val="Fuentedeprrafopredeter"/>
    <w:rsid w:val="009D307C"/>
  </w:style>
  <w:style w:type="paragraph" w:styleId="j1" w:customStyle="1">
    <w:name w:val="j1"/>
    <w:basedOn w:val="Normal"/>
    <w:rsid w:val="009D307C"/>
    <w:pPr>
      <w:spacing w:after="100" w:afterAutospacing="1" w:before="100" w:beforeAutospacing="1"/>
    </w:pPr>
  </w:style>
  <w:style w:type="paragraph" w:styleId="j2" w:customStyle="1">
    <w:name w:val="j2"/>
    <w:basedOn w:val="Normal"/>
    <w:rsid w:val="009D307C"/>
    <w:pPr>
      <w:spacing w:after="100" w:afterAutospacing="1" w:before="100" w:beforeAutospacing="1"/>
    </w:pPr>
  </w:style>
  <w:style w:type="table" w:styleId="Tabladelista1clara-nfasis1">
    <w:name w:val="List Table 1 Light Accent 1"/>
    <w:basedOn w:val="Tablanormal"/>
    <w:uiPriority w:val="46"/>
    <w:rsid w:val="00A01B91"/>
    <w:tblPr>
      <w:tblStyleRowBandSize w:val="1"/>
      <w:tblStyleColBandSize w:val="1"/>
    </w:tblPr>
    <w:tblStylePr w:type="firstRow">
      <w:rPr>
        <w:b w:val="1"/>
        <w:bCs w:val="1"/>
      </w:rPr>
      <w:tblPr/>
      <w:tcPr>
        <w:tcBorders>
          <w:bottom w:color="95b3d7" w:space="0" w:sz="4" w:themeColor="accent1" w:themeTint="000099" w:val="single"/>
        </w:tcBorders>
      </w:tcPr>
    </w:tblStylePr>
    <w:tblStylePr w:type="lastRow">
      <w:rPr>
        <w:b w:val="1"/>
        <w:bCs w:val="1"/>
      </w:rPr>
      <w:tblPr/>
      <w:tcPr>
        <w:tcBorders>
          <w:top w:color="95b3d7" w:space="0" w:sz="4" w:themeColor="accent1" w:themeTint="000099" w:val="sing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character" w:styleId="Mencinsinresolver1" w:customStyle="1">
    <w:name w:val="Mención sin resolver1"/>
    <w:basedOn w:val="Fuentedeprrafopredeter"/>
    <w:uiPriority w:val="99"/>
    <w:semiHidden w:val="1"/>
    <w:unhideWhenUsed w:val="1"/>
    <w:rsid w:val="00457753"/>
    <w:rPr>
      <w:color w:val="605e5c"/>
      <w:shd w:color="auto" w:fill="e1dfdd" w:val="clear"/>
    </w:rPr>
  </w:style>
  <w:style w:type="character" w:styleId="Mencinsinresolver2" w:customStyle="1">
    <w:name w:val="Mención sin resolver2"/>
    <w:basedOn w:val="Fuentedeprrafopredeter"/>
    <w:uiPriority w:val="99"/>
    <w:semiHidden w:val="1"/>
    <w:unhideWhenUsed w:val="1"/>
    <w:rsid w:val="00CE48D4"/>
    <w:rPr>
      <w:color w:val="605e5c"/>
      <w:shd w:color="auto" w:fill="e1dfdd" w:val="clear"/>
    </w:rPr>
  </w:style>
  <w:style w:type="table" w:styleId="Tabladelista1clara-nfasis11" w:customStyle="1">
    <w:name w:val="Tabla de lista 1 clara - Énfasis 11"/>
    <w:basedOn w:val="Tablanormal"/>
    <w:uiPriority w:val="46"/>
    <w:rsid w:val="008F79FD"/>
    <w:rPr>
      <w:rFonts w:eastAsia="MS Mincho"/>
    </w:rPr>
    <w:tblPr>
      <w:tblStyleRowBandSize w:val="1"/>
      <w:tblStyleColBandSize w:val="1"/>
    </w:tblPr>
    <w:tblStylePr w:type="firstRow">
      <w:rPr>
        <w:b w:val="1"/>
        <w:bCs w:val="1"/>
      </w:rPr>
      <w:tblPr/>
      <w:tcPr>
        <w:tcBorders>
          <w:bottom w:color="95b3d7" w:space="0" w:sz="4" w:val="single"/>
        </w:tcBorders>
      </w:tcPr>
    </w:tblStylePr>
    <w:tblStylePr w:type="lastRow">
      <w:rPr>
        <w:b w:val="1"/>
        <w:bCs w:val="1"/>
      </w:rPr>
      <w:tblPr/>
      <w:tcPr>
        <w:tcBorders>
          <w:top w:color="95b3d7" w:space="0" w:sz="4" w:val="single"/>
        </w:tcBorders>
      </w:tcPr>
    </w:tblStylePr>
    <w:tblStylePr w:type="firstCol">
      <w:rPr>
        <w:b w:val="1"/>
        <w:bCs w:val="1"/>
      </w:rPr>
    </w:tblStylePr>
    <w:tblStylePr w:type="lastCol">
      <w:rPr>
        <w:b w:val="1"/>
        <w:bCs w:val="1"/>
      </w:rPr>
    </w:tblStylePr>
    <w:tblStylePr w:type="band1Vert">
      <w:tblPr/>
      <w:tcPr>
        <w:shd w:color="auto" w:fill="dbe5f1" w:val="clear"/>
      </w:tcPr>
    </w:tblStylePr>
    <w:tblStylePr w:type="band1Horz">
      <w:tblPr/>
      <w:tcPr>
        <w:shd w:color="auto" w:fill="dbe5f1" w:val="clear"/>
      </w:tcPr>
    </w:tblStylePr>
  </w:style>
  <w:style w:type="character" w:styleId="Ttulo3Car" w:customStyle="1">
    <w:name w:val="Título 3 Car"/>
    <w:basedOn w:val="Fuentedeprrafopredeter"/>
    <w:link w:val="Ttulo3"/>
    <w:uiPriority w:val="9"/>
    <w:rsid w:val="003B73CD"/>
    <w:rPr>
      <w:rFonts w:asciiTheme="majorHAnsi" w:cstheme="majorBidi" w:eastAsiaTheme="majorEastAsia" w:hAnsiTheme="majorHAnsi"/>
      <w:b w:val="1"/>
      <w:bCs w:val="1"/>
      <w:sz w:val="26"/>
      <w:szCs w:val="26"/>
      <w:lang w:eastAsia="en-US" w:val="en-US"/>
    </w:rPr>
  </w:style>
  <w:style w:type="character" w:styleId="Ttulo4Car" w:customStyle="1">
    <w:name w:val="Título 4 Car"/>
    <w:basedOn w:val="Fuentedeprrafopredeter"/>
    <w:link w:val="Ttulo4"/>
    <w:uiPriority w:val="9"/>
    <w:semiHidden w:val="1"/>
    <w:rsid w:val="003B73CD"/>
    <w:rPr>
      <w:b w:val="1"/>
      <w:bCs w:val="1"/>
      <w:sz w:val="28"/>
      <w:szCs w:val="28"/>
      <w:lang w:eastAsia="en-US" w:val="en-US"/>
    </w:rPr>
  </w:style>
  <w:style w:type="character" w:styleId="Ttulo5Car" w:customStyle="1">
    <w:name w:val="Título 5 Car"/>
    <w:basedOn w:val="Fuentedeprrafopredeter"/>
    <w:link w:val="Ttulo5"/>
    <w:uiPriority w:val="9"/>
    <w:semiHidden w:val="1"/>
    <w:rsid w:val="003B73CD"/>
    <w:rPr>
      <w:b w:val="1"/>
      <w:bCs w:val="1"/>
      <w:i w:val="1"/>
      <w:iCs w:val="1"/>
      <w:sz w:val="26"/>
      <w:szCs w:val="26"/>
      <w:lang w:eastAsia="en-US" w:val="en-US"/>
    </w:rPr>
  </w:style>
  <w:style w:type="character" w:styleId="Ttulo6Car" w:customStyle="1">
    <w:name w:val="Título 6 Car"/>
    <w:basedOn w:val="Fuentedeprrafopredeter"/>
    <w:link w:val="Ttulo6"/>
    <w:semiHidden w:val="1"/>
    <w:rsid w:val="003B73CD"/>
    <w:rPr>
      <w:rFonts w:ascii="Times New Roman" w:cs="Times New Roman" w:eastAsia="Times New Roman" w:hAnsi="Times New Roman"/>
      <w:b w:val="1"/>
      <w:bCs w:val="1"/>
      <w:sz w:val="22"/>
      <w:szCs w:val="22"/>
      <w:lang w:eastAsia="en-US" w:val="en-US"/>
    </w:rPr>
  </w:style>
  <w:style w:type="character" w:styleId="Ttulo7Car" w:customStyle="1">
    <w:name w:val="Título 7 Car"/>
    <w:basedOn w:val="Fuentedeprrafopredeter"/>
    <w:link w:val="Ttulo7"/>
    <w:uiPriority w:val="9"/>
    <w:semiHidden w:val="1"/>
    <w:rsid w:val="003B73CD"/>
    <w:rPr>
      <w:lang w:eastAsia="en-US" w:val="en-US"/>
    </w:rPr>
  </w:style>
  <w:style w:type="character" w:styleId="Ttulo8Car" w:customStyle="1">
    <w:name w:val="Título 8 Car"/>
    <w:basedOn w:val="Fuentedeprrafopredeter"/>
    <w:link w:val="Ttulo8"/>
    <w:uiPriority w:val="9"/>
    <w:semiHidden w:val="1"/>
    <w:rsid w:val="003B73CD"/>
    <w:rPr>
      <w:i w:val="1"/>
      <w:iCs w:val="1"/>
      <w:lang w:eastAsia="en-US" w:val="en-US"/>
    </w:rPr>
  </w:style>
  <w:style w:type="character" w:styleId="Ttulo9Car" w:customStyle="1">
    <w:name w:val="Título 9 Car"/>
    <w:basedOn w:val="Fuentedeprrafopredeter"/>
    <w:link w:val="Ttulo9"/>
    <w:uiPriority w:val="9"/>
    <w:semiHidden w:val="1"/>
    <w:rsid w:val="003B73CD"/>
    <w:rPr>
      <w:rFonts w:asciiTheme="majorHAnsi" w:cstheme="majorBidi" w:eastAsiaTheme="majorEastAsia" w:hAnsiTheme="majorHAnsi"/>
      <w:sz w:val="22"/>
      <w:szCs w:val="22"/>
      <w:lang w:eastAsia="en-US" w:val="en-US"/>
    </w:rPr>
  </w:style>
  <w:style w:type="table" w:styleId="5" w:customStyle="1">
    <w:name w:val="5"/>
    <w:basedOn w:val="TableNormal10"/>
    <w:tblPr>
      <w:tblStyleRowBandSize w:val="1"/>
      <w:tblStyleColBandSize w:val="1"/>
      <w:tblCellMar>
        <w:left w:w="108.0" w:type="dxa"/>
        <w:right w:w="108.0" w:type="dxa"/>
      </w:tblCellMar>
    </w:tblPr>
    <w:tblStylePr w:type="firstRow">
      <w:rPr>
        <w:b w:val="1"/>
      </w:rPr>
      <w:tblPr/>
      <w:tcPr>
        <w:tcBorders>
          <w:bottom w:color="95b3d7" w:space="0" w:sz="4" w:val="single"/>
        </w:tcBorders>
      </w:tcPr>
    </w:tblStylePr>
    <w:tblStylePr w:type="lastRow">
      <w:rPr>
        <w:b w:val="1"/>
      </w:rPr>
      <w:tblPr/>
      <w:tcPr>
        <w:tcBorders>
          <w:top w:color="95b3d7"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4" w:customStyle="1">
    <w:name w:val="4"/>
    <w:basedOn w:val="TableNormal10"/>
    <w:tblPr>
      <w:tblStyleRowBandSize w:val="1"/>
      <w:tblStyleColBandSize w:val="1"/>
      <w:tblCellMar>
        <w:left w:w="115.0" w:type="dxa"/>
        <w:right w:w="115.0" w:type="dxa"/>
      </w:tblCellMar>
    </w:tblPr>
  </w:style>
  <w:style w:type="table" w:styleId="3" w:customStyle="1">
    <w:name w:val="3"/>
    <w:basedOn w:val="TableNormal10"/>
    <w:tblPr>
      <w:tblStyleRowBandSize w:val="1"/>
      <w:tblStyleColBandSize w:val="1"/>
      <w:tblCellMar>
        <w:left w:w="115.0" w:type="dxa"/>
        <w:right w:w="115.0" w:type="dxa"/>
      </w:tblCellMar>
    </w:tblPr>
  </w:style>
  <w:style w:type="character" w:styleId="Mencinsinresolver3" w:customStyle="1">
    <w:name w:val="Mención sin resolver3"/>
    <w:basedOn w:val="Fuentedeprrafopredeter"/>
    <w:uiPriority w:val="99"/>
    <w:semiHidden w:val="1"/>
    <w:unhideWhenUsed w:val="1"/>
    <w:rsid w:val="0094565C"/>
    <w:rPr>
      <w:color w:val="605e5c"/>
      <w:shd w:color="auto" w:fill="e1dfdd" w:val="clear"/>
    </w:rPr>
  </w:style>
  <w:style w:type="table" w:styleId="2" w:customStyle="1">
    <w:name w:val="2"/>
    <w:basedOn w:val="TableNormal10"/>
    <w:tblPr>
      <w:tblStyleRowBandSize w:val="1"/>
      <w:tblStyleColBandSize w:val="1"/>
      <w:tblCellMar>
        <w:left w:w="115.0" w:type="dxa"/>
        <w:right w:w="115.0" w:type="dxa"/>
      </w:tblCellMar>
    </w:tblPr>
  </w:style>
  <w:style w:type="table" w:styleId="1" w:customStyle="1">
    <w:name w:val="1"/>
    <w:basedOn w:val="TableNormal10"/>
    <w:tblPr>
      <w:tblStyleRowBandSize w:val="1"/>
      <w:tblStyleColBandSize w:val="1"/>
      <w:tblCellMar>
        <w:left w:w="115.0" w:type="dxa"/>
        <w:right w:w="115.0" w:type="dxa"/>
      </w:tblCellMar>
    </w:tblPr>
  </w:style>
  <w:style w:type="table" w:styleId="9" w:customStyle="1">
    <w:name w:val="9"/>
    <w:basedOn w:val="TableNormal20"/>
    <w:tblPr>
      <w:tblStyleRowBandSize w:val="1"/>
      <w:tblStyleColBandSize w:val="1"/>
      <w:tblCellMar>
        <w:left w:w="115.0" w:type="dxa"/>
        <w:right w:w="115.0" w:type="dxa"/>
      </w:tblCellMar>
    </w:tblPr>
  </w:style>
  <w:style w:type="table" w:styleId="8" w:customStyle="1">
    <w:name w:val="8"/>
    <w:basedOn w:val="TableNormal20"/>
    <w:tblPr>
      <w:tblStyleRowBandSize w:val="1"/>
      <w:tblStyleColBandSize w:val="1"/>
      <w:tblCellMar>
        <w:left w:w="115.0" w:type="dxa"/>
        <w:right w:w="115.0" w:type="dxa"/>
      </w:tblCellMar>
    </w:tblPr>
  </w:style>
  <w:style w:type="table" w:styleId="7" w:customStyle="1">
    <w:name w:val="7"/>
    <w:basedOn w:val="TableNormal30"/>
    <w:tblPr>
      <w:tblStyleRowBandSize w:val="1"/>
      <w:tblStyleColBandSize w:val="1"/>
      <w:tblCellMar>
        <w:left w:w="115.0" w:type="dxa"/>
        <w:right w:w="115.0" w:type="dxa"/>
      </w:tblCellMar>
    </w:tblPr>
  </w:style>
  <w:style w:type="table" w:styleId="6" w:customStyle="1">
    <w:name w:val="6"/>
    <w:basedOn w:val="TableNormal30"/>
    <w:tblPr>
      <w:tblStyleRowBandSize w:val="1"/>
      <w:tblStyleColBandSize w:val="1"/>
      <w:tblCellMar>
        <w:left w:w="115.0" w:type="dxa"/>
        <w:right w:w="115.0" w:type="dxa"/>
      </w:tblCellMar>
    </w:tblPr>
  </w:style>
  <w:style w:type="table" w:styleId="20" w:customStyle="1">
    <w:name w:val="20"/>
    <w:basedOn w:val="TableNormal40"/>
    <w:tblPr>
      <w:tblStyleRowBandSize w:val="1"/>
      <w:tblStyleColBandSize w:val="1"/>
      <w:tblCellMar>
        <w:left w:w="115.0" w:type="dxa"/>
        <w:right w:w="115.0" w:type="dxa"/>
      </w:tblCellMar>
    </w:tblPr>
  </w:style>
  <w:style w:type="table" w:styleId="19" w:customStyle="1">
    <w:name w:val="19"/>
    <w:basedOn w:val="TableNormal40"/>
    <w:tblPr>
      <w:tblStyleRowBandSize w:val="1"/>
      <w:tblStyleColBandSize w:val="1"/>
      <w:tblCellMar>
        <w:left w:w="115.0" w:type="dxa"/>
        <w:right w:w="115.0" w:type="dxa"/>
      </w:tblCellMar>
    </w:tblPr>
  </w:style>
  <w:style w:type="table" w:styleId="18" w:customStyle="1">
    <w:name w:val="18"/>
    <w:basedOn w:val="TableNormal50"/>
    <w:tblPr>
      <w:tblStyleRowBandSize w:val="1"/>
      <w:tblStyleColBandSize w:val="1"/>
      <w:tblCellMar>
        <w:left w:w="115.0" w:type="dxa"/>
        <w:right w:w="115.0" w:type="dxa"/>
      </w:tblCellMar>
    </w:tblPr>
  </w:style>
  <w:style w:type="table" w:styleId="17" w:customStyle="1">
    <w:name w:val="17"/>
    <w:basedOn w:val="TableNormal50"/>
    <w:tblPr>
      <w:tblStyleRowBandSize w:val="1"/>
      <w:tblStyleColBandSize w:val="1"/>
      <w:tblCellMar>
        <w:left w:w="115.0" w:type="dxa"/>
        <w:right w:w="115.0" w:type="dxa"/>
      </w:tblCellMar>
    </w:tblPr>
  </w:style>
  <w:style w:type="table" w:styleId="16" w:customStyle="1">
    <w:name w:val="16"/>
    <w:basedOn w:val="TableNormal6"/>
    <w:tblPr>
      <w:tblStyleRowBandSize w:val="1"/>
      <w:tblStyleColBandSize w:val="1"/>
      <w:tblCellMar>
        <w:left w:w="115.0" w:type="dxa"/>
        <w:right w:w="115.0" w:type="dxa"/>
      </w:tblCellMar>
    </w:tblPr>
  </w:style>
  <w:style w:type="table" w:styleId="15" w:customStyle="1">
    <w:name w:val="15"/>
    <w:basedOn w:val="TableNormal6"/>
    <w:tblPr>
      <w:tblStyleRowBandSize w:val="1"/>
      <w:tblStyleColBandSize w:val="1"/>
      <w:tblCellMar>
        <w:left w:w="115.0" w:type="dxa"/>
        <w:right w:w="115.0" w:type="dxa"/>
      </w:tblCellMar>
    </w:tblPr>
  </w:style>
  <w:style w:type="table" w:styleId="14" w:customStyle="1">
    <w:name w:val="14"/>
    <w:basedOn w:val="TableNormal7"/>
    <w:tblPr>
      <w:tblStyleRowBandSize w:val="1"/>
      <w:tblStyleColBandSize w:val="1"/>
      <w:tblCellMar>
        <w:left w:w="115.0" w:type="dxa"/>
        <w:right w:w="115.0" w:type="dxa"/>
      </w:tblCellMar>
    </w:tblPr>
  </w:style>
  <w:style w:type="table" w:styleId="13" w:customStyle="1">
    <w:name w:val="13"/>
    <w:basedOn w:val="TableNormal7"/>
    <w:tblPr>
      <w:tblStyleRowBandSize w:val="1"/>
      <w:tblStyleColBandSize w:val="1"/>
      <w:tblCellMar>
        <w:left w:w="115.0" w:type="dxa"/>
        <w:right w:w="115.0" w:type="dxa"/>
      </w:tblCellMar>
    </w:tblPr>
  </w:style>
  <w:style w:type="character" w:styleId="rse6dlih" w:customStyle="1">
    <w:name w:val="rse6dlih"/>
    <w:basedOn w:val="Fuentedeprrafopredeter"/>
    <w:rsid w:val="00190860"/>
  </w:style>
  <w:style w:type="table" w:styleId="12" w:customStyle="1">
    <w:name w:val="12"/>
    <w:basedOn w:val="TableNormal8"/>
    <w:tblPr>
      <w:tblStyleRowBandSize w:val="1"/>
      <w:tblStyleColBandSize w:val="1"/>
      <w:tblCellMar>
        <w:left w:w="108.0" w:type="dxa"/>
        <w:right w:w="108.0" w:type="dxa"/>
      </w:tblCellMar>
    </w:tblPr>
    <w:tblStylePr w:type="firstRow">
      <w:rPr>
        <w:b w:val="1"/>
      </w:rPr>
      <w:tblPr/>
      <w:tcPr>
        <w:tcBorders>
          <w:bottom w:color="95b3d7" w:space="0" w:sz="4" w:val="single"/>
        </w:tcBorders>
      </w:tcPr>
    </w:tblStylePr>
    <w:tblStylePr w:type="lastRow">
      <w:rPr>
        <w:b w:val="1"/>
      </w:rPr>
      <w:tblPr/>
      <w:tcPr>
        <w:tcBorders>
          <w:top w:color="95b3d7"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11" w:customStyle="1">
    <w:name w:val="11"/>
    <w:basedOn w:val="TableNormal8"/>
    <w:tblPr>
      <w:tblStyleRowBandSize w:val="1"/>
      <w:tblStyleColBandSize w:val="1"/>
      <w:tblCellMar>
        <w:left w:w="115.0" w:type="dxa"/>
        <w:right w:w="115.0" w:type="dxa"/>
      </w:tblCellMar>
    </w:tblPr>
  </w:style>
  <w:style w:type="table" w:styleId="10" w:customStyle="1">
    <w:name w:val="10"/>
    <w:basedOn w:val="TableNormal8"/>
    <w:tblPr>
      <w:tblStyleRowBandSize w:val="1"/>
      <w:tblStyleColBandSize w:val="1"/>
      <w:tblCellMar>
        <w:left w:w="115.0" w:type="dxa"/>
        <w:right w:w="115.0" w:type="dxa"/>
      </w:tblCellMar>
    </w:tblPr>
  </w:style>
  <w:style w:type="table" w:styleId="24" w:customStyle="1">
    <w:name w:val="24"/>
    <w:basedOn w:val="TableNormal9"/>
    <w:tblPr>
      <w:tblStyleRowBandSize w:val="1"/>
      <w:tblStyleColBandSize w:val="1"/>
      <w:tblCellMar>
        <w:left w:w="115.0" w:type="dxa"/>
        <w:right w:w="115.0" w:type="dxa"/>
      </w:tblCellMar>
    </w:tblPr>
  </w:style>
  <w:style w:type="table" w:styleId="23" w:customStyle="1">
    <w:name w:val="23"/>
    <w:basedOn w:val="TableNormal9"/>
    <w:tblPr>
      <w:tblStyleRowBandSize w:val="1"/>
      <w:tblStyleColBandSize w:val="1"/>
      <w:tblCellMar>
        <w:left w:w="108.0" w:type="dxa"/>
        <w:right w:w="108.0" w:type="dxa"/>
      </w:tblCellMar>
    </w:tblPr>
    <w:tblStylePr w:type="firstRow">
      <w:rPr>
        <w:b w:val="1"/>
      </w:rPr>
      <w:tblPr/>
      <w:tcPr>
        <w:tcBorders>
          <w:bottom w:color="95b3d7" w:space="0" w:sz="4" w:val="single"/>
        </w:tcBorders>
      </w:tcPr>
    </w:tblStylePr>
    <w:tblStylePr w:type="lastRow">
      <w:rPr>
        <w:b w:val="1"/>
      </w:rPr>
      <w:tblPr/>
      <w:tcPr>
        <w:tcBorders>
          <w:top w:color="95b3d7"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22" w:customStyle="1">
    <w:name w:val="22"/>
    <w:basedOn w:val="TableNormal9"/>
    <w:tblPr>
      <w:tblStyleRowBandSize w:val="1"/>
      <w:tblStyleColBandSize w:val="1"/>
      <w:tblCellMar>
        <w:left w:w="115.0" w:type="dxa"/>
        <w:right w:w="115.0" w:type="dxa"/>
      </w:tblCellMar>
    </w:tblPr>
  </w:style>
  <w:style w:type="table" w:styleId="21" w:customStyle="1">
    <w:name w:val="21"/>
    <w:basedOn w:val="TableNormal9"/>
    <w:tblPr>
      <w:tblStyleRowBandSize w:val="1"/>
      <w:tblStyleColBandSize w:val="1"/>
      <w:tblCellMar>
        <w:left w:w="115.0" w:type="dxa"/>
        <w:right w:w="115.0" w:type="dxa"/>
      </w:tblCellMar>
    </w:tblPr>
  </w:style>
  <w:style w:type="table" w:styleId="a" w:customStyle="1">
    <w:basedOn w:val="TableNormal5"/>
    <w:tblPr>
      <w:tblStyleRowBandSize w:val="1"/>
      <w:tblStyleColBandSize w:val="1"/>
      <w:tblCellMar>
        <w:left w:w="108.0" w:type="dxa"/>
        <w:right w:w="108.0" w:type="dxa"/>
      </w:tblCellMar>
    </w:tblPr>
    <w:tblStylePr w:type="firstRow">
      <w:rPr>
        <w:b w:val="1"/>
      </w:rPr>
      <w:tblPr/>
      <w:tcPr>
        <w:tcBorders>
          <w:bottom w:color="95b3d7" w:space="0" w:sz="4" w:val="single"/>
        </w:tcBorders>
      </w:tcPr>
    </w:tblStylePr>
    <w:tblStylePr w:type="lastRow">
      <w:rPr>
        <w:b w:val="1"/>
      </w:rPr>
      <w:tblPr/>
      <w:tcPr>
        <w:tcBorders>
          <w:top w:color="95b3d7"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0" w:customStyle="1">
    <w:basedOn w:val="TableNormal5"/>
    <w:tblPr>
      <w:tblStyleRowBandSize w:val="1"/>
      <w:tblStyleColBandSize w:val="1"/>
      <w:tblCellMar>
        <w:left w:w="115.0" w:type="dxa"/>
        <w:right w:w="115.0" w:type="dxa"/>
      </w:tblCellMar>
    </w:tblPr>
  </w:style>
  <w:style w:type="table" w:styleId="a2" w:customStyle="1">
    <w:basedOn w:val="TableNormal5"/>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tblStylePr w:type="firstRow">
      <w:rPr>
        <w:b w:val="1"/>
      </w:rPr>
      <w:tblPr/>
      <w:tcPr>
        <w:tcBorders>
          <w:bottom w:color="95b3d7" w:space="0" w:sz="4" w:val="single"/>
        </w:tcBorders>
      </w:tcPr>
    </w:tblStylePr>
    <w:tblStylePr w:type="lastRow">
      <w:rPr>
        <w:b w:val="1"/>
      </w:rPr>
      <w:tblPr/>
      <w:tcPr>
        <w:tcBorders>
          <w:top w:color="95b3d7"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08.0" w:type="dxa"/>
        <w:right w:w="108.0" w:type="dxa"/>
      </w:tblCellMar>
    </w:tblPr>
    <w:tblStylePr w:type="firstRow">
      <w:rPr>
        <w:b w:val="1"/>
      </w:rPr>
      <w:tblPr/>
      <w:tcPr>
        <w:tcBorders>
          <w:bottom w:color="95b3d7" w:space="0" w:sz="4" w:val="single"/>
        </w:tcBorders>
      </w:tcPr>
    </w:tblStylePr>
    <w:tblStylePr w:type="lastRow">
      <w:rPr>
        <w:b w:val="1"/>
      </w:rPr>
      <w:tblPr/>
      <w:tcPr>
        <w:tcBorders>
          <w:top w:color="95b3d7"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character" w:styleId="Mencinsinresolver4" w:customStyle="1">
    <w:name w:val="Mención sin resolver4"/>
    <w:basedOn w:val="Fuentedeprrafopredeter"/>
    <w:uiPriority w:val="99"/>
    <w:semiHidden w:val="1"/>
    <w:unhideWhenUsed w:val="1"/>
    <w:rsid w:val="00B70D09"/>
    <w:rPr>
      <w:color w:val="605e5c"/>
      <w:shd w:color="auto" w:fill="e1dfdd" w:val="clear"/>
    </w:rPr>
  </w:style>
  <w:style w:type="character" w:styleId="Mencinsinresolver5" w:customStyle="1">
    <w:name w:val="Mención sin resolver5"/>
    <w:basedOn w:val="Fuentedeprrafopredeter"/>
    <w:uiPriority w:val="99"/>
    <w:semiHidden w:val="1"/>
    <w:unhideWhenUsed w:val="1"/>
    <w:rsid w:val="00160ABB"/>
    <w:rPr>
      <w:color w:val="605e5c"/>
      <w:shd w:color="auto" w:fill="e1dfdd" w:val="clear"/>
    </w:rPr>
  </w:style>
  <w:style w:type="table" w:styleId="a9" w:customStyle="1">
    <w:basedOn w:val="TableNormal2"/>
    <w:tblPr>
      <w:tblStyleRowBandSize w:val="1"/>
      <w:tblStyleColBandSize w:val="1"/>
      <w:tblCellMar>
        <w:left w:w="108.0" w:type="dxa"/>
        <w:right w:w="108.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character" w:styleId="Mencinsinresolver6" w:customStyle="1">
    <w:name w:val="Mención sin resolver6"/>
    <w:basedOn w:val="Fuentedeprrafopredeter"/>
    <w:uiPriority w:val="99"/>
    <w:semiHidden w:val="1"/>
    <w:unhideWhenUsed w:val="1"/>
    <w:rsid w:val="00D20DA7"/>
    <w:rPr>
      <w:color w:val="605e5c"/>
      <w:shd w:color="auto" w:fill="e1dfdd" w:val="clear"/>
    </w:rPr>
  </w:style>
  <w:style w:type="table" w:styleId="ac" w:customStyle="1">
    <w:basedOn w:val="TableNormal1"/>
    <w:tblPr>
      <w:tblStyleRowBandSize w:val="1"/>
      <w:tblStyleColBandSize w:val="1"/>
      <w:tblCellMar>
        <w:left w:w="115.0" w:type="dxa"/>
        <w:right w:w="115.0" w:type="dxa"/>
      </w:tblCellMar>
    </w:tbl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character" w:styleId="Mencinsinresolver7" w:customStyle="1">
    <w:name w:val="Mención sin resolver7"/>
    <w:basedOn w:val="Fuentedeprrafopredeter"/>
    <w:uiPriority w:val="99"/>
    <w:semiHidden w:val="1"/>
    <w:unhideWhenUsed w:val="1"/>
    <w:rsid w:val="003A4FC8"/>
    <w:rPr>
      <w:color w:val="605e5c"/>
      <w:shd w:color="auto" w:fill="e1dfdd" w:val="clear"/>
    </w:rPr>
  </w:style>
  <w:style w:type="character" w:styleId="UnresolvedMention" w:customStyle="1">
    <w:name w:val="Unresolved Mention"/>
    <w:basedOn w:val="Fuentedeprrafopredeter"/>
    <w:uiPriority w:val="99"/>
    <w:semiHidden w:val="1"/>
    <w:unhideWhenUsed w:val="1"/>
    <w:rsid w:val="00050B68"/>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uFf5iKM6xvh6MIRnUtMizkLWjw==">CgMxLjAyDmgucWhhMmo5ZGM2NDd3MghoLmdqZGd4czIJaC4zZHk2dmttMgloLjMwajB6bGwyCWguMmV0OTJwMDIJaC4yczhleW8xMghoLnR5amN3dDIJaC4zcmRjcmpuMgloLjI2aW4xcmcyCWguMXQzaDVzZjgAciExV1ZXUjd3MEtSMEFIMUw5OFhBVnNKMWdEcWdrd25ETXY=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2026-09-04T17:22:00Z</dcterms:created>
  <dc:creator>iMac</dc:creator>
</cp:coreProperties>
</file>