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jc w:val="both"/>
        <w:rPr>
          <w:rFonts w:ascii="Palatino Linotype" w:cs="Palatino Linotype" w:eastAsia="Palatino Linotype" w:hAnsi="Palatino Linotype"/>
          <w:sz w:val="22"/>
          <w:szCs w:val="22"/>
        </w:rPr>
      </w:pPr>
      <w:bookmarkStart w:colFirst="0" w:colLast="0" w:name="_heading=h.3rdcrjn" w:id="0"/>
      <w:bookmarkEnd w:id="0"/>
      <w:r w:rsidDel="00000000" w:rsidR="00000000" w:rsidRPr="00000000">
        <w:rPr>
          <w:rFonts w:ascii="Palatino Linotype" w:cs="Palatino Linotype" w:eastAsia="Palatino Linotype" w:hAnsi="Palatino Linotype"/>
          <w:sz w:val="22"/>
          <w:szCs w:val="22"/>
          <w:rtl w:val="0"/>
        </w:rPr>
        <w:t xml:space="preserve">Resolución del Pleno del Instituto de Transparencia, Acceso a la Información Pública y Protección de Datos Personales del Estado de México y Municipios, con domicilio en Metepec, Estado de México, a diecinueve de agosto de dos mil veintiséis. </w:t>
      </w:r>
    </w:p>
    <w:p w:rsidR="00000000" w:rsidDel="00000000" w:rsidP="00000000" w:rsidRDefault="00000000" w:rsidRPr="00000000" w14:paraId="00000002">
      <w:pPr>
        <w:tabs>
          <w:tab w:val="left" w:leader="none" w:pos="5812"/>
        </w:tabs>
        <w:spacing w:after="240" w:before="240" w:line="360" w:lineRule="auto"/>
        <w:jc w:val="both"/>
        <w:rPr>
          <w:rFonts w:ascii="Palatino Linotype" w:cs="Palatino Linotype" w:eastAsia="Palatino Linotype" w:hAnsi="Palatino Linotype"/>
          <w:sz w:val="22"/>
          <w:szCs w:val="22"/>
        </w:rPr>
      </w:pPr>
      <w:bookmarkStart w:colFirst="0" w:colLast="0" w:name="_heading=h.daj3j2xo6q66" w:id="1"/>
      <w:bookmarkEnd w:id="1"/>
      <w:r w:rsidDel="00000000" w:rsidR="00000000" w:rsidRPr="00000000">
        <w:rPr>
          <w:rFonts w:ascii="Palatino Linotype" w:cs="Palatino Linotype" w:eastAsia="Palatino Linotype" w:hAnsi="Palatino Linotype"/>
          <w:b w:val="1"/>
          <w:bCs w:val="1"/>
          <w:sz w:val="22"/>
          <w:szCs w:val="22"/>
          <w:rtl w:val="0"/>
        </w:rPr>
        <w:t xml:space="preserve">VISTO</w:t>
      </w:r>
      <w:r w:rsidDel="00000000" w:rsidR="00000000" w:rsidRPr="00000000">
        <w:rPr>
          <w:rFonts w:ascii="Palatino Linotype" w:cs="Palatino Linotype" w:eastAsia="Palatino Linotype" w:hAnsi="Palatino Linotype"/>
          <w:sz w:val="22"/>
          <w:szCs w:val="22"/>
          <w:rtl w:val="0"/>
        </w:rPr>
        <w:t xml:space="preserve"> el expediente formado con motivo del recurso de revisión </w:t>
      </w:r>
      <w:r w:rsidDel="00000000" w:rsidR="00000000" w:rsidRPr="00000000">
        <w:rPr>
          <w:rFonts w:ascii="Palatino Linotype" w:cs="Palatino Linotype" w:eastAsia="Palatino Linotype" w:hAnsi="Palatino Linotype"/>
          <w:b w:val="1"/>
          <w:bCs w:val="1"/>
          <w:sz w:val="22"/>
          <w:szCs w:val="22"/>
          <w:rtl w:val="0"/>
        </w:rPr>
        <w:t xml:space="preserve">06479/INFOEM/IP/RR/2026</w:t>
      </w:r>
      <w:r w:rsidDel="00000000" w:rsidR="00000000" w:rsidRPr="00000000">
        <w:rPr>
          <w:rFonts w:ascii="Palatino Linotype" w:cs="Palatino Linotype" w:eastAsia="Palatino Linotype" w:hAnsi="Palatino Linotype"/>
          <w:sz w:val="22"/>
          <w:szCs w:val="22"/>
          <w:rtl w:val="0"/>
        </w:rPr>
        <w:t xml:space="preserve">, interpuesto </w:t>
      </w:r>
      <w:r w:rsidDel="00000000" w:rsidR="00000000" w:rsidRPr="00000000">
        <w:rPr>
          <w:rFonts w:ascii="Palatino Linotype" w:cs="Palatino Linotype" w:eastAsia="Palatino Linotype" w:hAnsi="Palatino Linotype"/>
          <w:b w:val="1"/>
          <w:bCs w:val="1"/>
          <w:sz w:val="22"/>
          <w:szCs w:val="22"/>
          <w:rtl w:val="0"/>
        </w:rPr>
        <w:t xml:space="preserve">por un particular que no proporcionó nombre,</w:t>
      </w:r>
      <w:r w:rsidDel="00000000" w:rsidR="00000000" w:rsidRPr="00000000">
        <w:rPr>
          <w:rFonts w:ascii="Palatino Linotype" w:cs="Palatino Linotype" w:eastAsia="Palatino Linotype" w:hAnsi="Palatino Linotype"/>
          <w:sz w:val="22"/>
          <w:szCs w:val="22"/>
          <w:rtl w:val="0"/>
        </w:rPr>
        <w:t xml:space="preserve"> en lo sucesivo</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contra de la respuesta a la solicitud de información con número de folio </w:t>
      </w:r>
      <w:r w:rsidDel="00000000" w:rsidR="00000000" w:rsidRPr="00000000">
        <w:rPr>
          <w:rFonts w:ascii="Palatino Linotype" w:cs="Palatino Linotype" w:eastAsia="Palatino Linotype" w:hAnsi="Palatino Linotype"/>
          <w:b w:val="1"/>
          <w:bCs w:val="1"/>
          <w:sz w:val="22"/>
          <w:szCs w:val="22"/>
          <w:rtl w:val="0"/>
        </w:rPr>
        <w:t xml:space="preserve">00124/MEXICAL/IP/2026, </w:t>
      </w:r>
      <w:r w:rsidDel="00000000" w:rsidR="00000000" w:rsidRPr="00000000">
        <w:rPr>
          <w:rFonts w:ascii="Palatino Linotype" w:cs="Palatino Linotype" w:eastAsia="Palatino Linotype" w:hAnsi="Palatino Linotype"/>
          <w:sz w:val="22"/>
          <w:szCs w:val="22"/>
          <w:rtl w:val="0"/>
        </w:rPr>
        <w:t xml:space="preserve">por parte del </w:t>
      </w:r>
      <w:r w:rsidDel="00000000" w:rsidR="00000000" w:rsidRPr="00000000">
        <w:rPr>
          <w:rFonts w:ascii="Palatino Linotype" w:cs="Palatino Linotype" w:eastAsia="Palatino Linotype" w:hAnsi="Palatino Linotype"/>
          <w:b w:val="1"/>
          <w:bCs w:val="1"/>
          <w:sz w:val="22"/>
          <w:szCs w:val="22"/>
          <w:rtl w:val="0"/>
        </w:rPr>
        <w:t xml:space="preserve">Ayuntamiento de Mexicaltzingo, </w:t>
      </w:r>
      <w:r w:rsidDel="00000000" w:rsidR="00000000" w:rsidRPr="00000000">
        <w:rPr>
          <w:rFonts w:ascii="Palatino Linotype" w:cs="Palatino Linotype" w:eastAsia="Palatino Linotype" w:hAnsi="Palatino Linotype"/>
          <w:sz w:val="22"/>
          <w:szCs w:val="22"/>
          <w:rtl w:val="0"/>
        </w:rPr>
        <w:t xml:space="preserve">en lo sucesivo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se procede a dictar la presente resolución con base en los siguientes: </w:t>
      </w:r>
    </w:p>
    <w:p w:rsidR="00000000" w:rsidDel="00000000" w:rsidP="00000000" w:rsidRDefault="00000000" w:rsidRPr="00000000" w14:paraId="00000003">
      <w:pPr>
        <w:spacing w:after="240" w:before="240"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 A N T E C E D E N T E S</w:t>
      </w:r>
    </w:p>
    <w:p w:rsidR="00000000" w:rsidDel="00000000" w:rsidP="00000000" w:rsidRDefault="00000000" w:rsidRPr="00000000" w14:paraId="00000004">
      <w:pPr>
        <w:spacing w:after="240" w:before="240" w:line="360" w:lineRule="auto"/>
        <w:jc w:val="both"/>
        <w:rPr>
          <w:rFonts w:ascii="Palatino Linotype" w:cs="Palatino Linotype" w:eastAsia="Palatino Linotype" w:hAnsi="Palatino Linotype"/>
          <w:sz w:val="22"/>
          <w:szCs w:val="22"/>
        </w:rPr>
      </w:pPr>
      <w:bookmarkStart w:colFirst="0" w:colLast="0" w:name="_heading=h.gjdgxs" w:id="2"/>
      <w:bookmarkEnd w:id="2"/>
      <w:r w:rsidDel="00000000" w:rsidR="00000000" w:rsidRPr="00000000">
        <w:rPr>
          <w:rFonts w:ascii="Palatino Linotype" w:cs="Palatino Linotype" w:eastAsia="Palatino Linotype" w:hAnsi="Palatino Linotype"/>
          <w:b w:val="1"/>
          <w:bCs w:val="1"/>
          <w:sz w:val="22"/>
          <w:szCs w:val="22"/>
          <w:rtl w:val="0"/>
        </w:rPr>
        <w:t xml:space="preserve">1. Solicitud de acceso a la información.</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catorce de mayo de dos mil veintiséis,</w:t>
      </w:r>
      <w:r w:rsidDel="00000000" w:rsidR="00000000" w:rsidRPr="00000000">
        <w:rPr>
          <w:rFonts w:ascii="Palatino Linotype" w:cs="Palatino Linotype" w:eastAsia="Palatino Linotype" w:hAnsi="Palatino Linotype"/>
          <w:sz w:val="22"/>
          <w:szCs w:val="22"/>
          <w:rtl w:val="0"/>
        </w:rPr>
        <w:t xml:space="preserve">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presentó la solicitud de acceso a la información pública ante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 través del Sistema de Acceso a la Información Mexiquense, en lo subsecuente el </w:t>
      </w:r>
      <w:r w:rsidDel="00000000" w:rsidR="00000000" w:rsidRPr="00000000">
        <w:rPr>
          <w:rFonts w:ascii="Palatino Linotype" w:cs="Palatino Linotype" w:eastAsia="Palatino Linotype" w:hAnsi="Palatino Linotype"/>
          <w:b w:val="1"/>
          <w:bCs w:val="1"/>
          <w:sz w:val="22"/>
          <w:szCs w:val="22"/>
          <w:rtl w:val="0"/>
        </w:rPr>
        <w:t xml:space="preserve">SAIMEX; </w:t>
      </w:r>
      <w:r w:rsidDel="00000000" w:rsidR="00000000" w:rsidRPr="00000000">
        <w:rPr>
          <w:rFonts w:ascii="Palatino Linotype" w:cs="Palatino Linotype" w:eastAsia="Palatino Linotype" w:hAnsi="Palatino Linotype"/>
          <w:sz w:val="22"/>
          <w:szCs w:val="22"/>
          <w:rtl w:val="0"/>
        </w:rPr>
        <w:t xml:space="preserve">mediante la cual requirió lo siguiente:</w:t>
      </w:r>
    </w:p>
    <w:p w:rsidR="00000000" w:rsidDel="00000000" w:rsidP="00000000" w:rsidRDefault="00000000" w:rsidRPr="00000000" w14:paraId="00000005">
      <w:pPr>
        <w:tabs>
          <w:tab w:val="left" w:leader="none" w:pos="4678"/>
        </w:tabs>
        <w:spacing w:after="120" w:before="120" w:line="360" w:lineRule="auto"/>
        <w:ind w:left="851" w:right="902"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“SE SOLICITA TODOS LOS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RECIBOS DE NOMIDA DE LA 21 QUINCENA DE 2025 DE TODOS EL PESONAL DEL AYUNTAMIENTO</w:t>
      </w: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Fonts w:ascii="Palatino Linotype" w:cs="Palatino Linotype" w:eastAsia="Palatino Linotype" w:hAnsi="Palatino Linotype"/>
          <w:i w:val="1"/>
          <w:iCs w:val="1"/>
          <w:sz w:val="22"/>
          <w:szCs w:val="22"/>
          <w:rtl w:val="0"/>
        </w:rPr>
        <w:t xml:space="preserve"> (sic) </w:t>
      </w:r>
      <w:r w:rsidDel="00000000" w:rsidR="00000000" w:rsidRPr="00000000">
        <w:rPr>
          <w:rtl w:val="0"/>
        </w:rPr>
      </w:r>
    </w:p>
    <w:p w:rsidR="00000000" w:rsidDel="00000000" w:rsidP="00000000" w:rsidRDefault="00000000" w:rsidRPr="00000000" w14:paraId="00000006">
      <w:pPr>
        <w:spacing w:after="240" w:before="240" w:line="360" w:lineRule="auto"/>
        <w:jc w:val="both"/>
        <w:rPr>
          <w:rFonts w:ascii="Palatino Linotype" w:cs="Palatino Linotype" w:eastAsia="Palatino Linotype" w:hAnsi="Palatino Linotype"/>
          <w:sz w:val="22"/>
          <w:szCs w:val="22"/>
        </w:rPr>
      </w:pPr>
      <w:bookmarkStart w:colFirst="0" w:colLast="0" w:name="_heading=h.3dy6vkm" w:id="3"/>
      <w:bookmarkEnd w:id="3"/>
      <w:r w:rsidDel="00000000" w:rsidR="00000000" w:rsidRPr="00000000">
        <w:rPr>
          <w:rFonts w:ascii="Palatino Linotype" w:cs="Palatino Linotype" w:eastAsia="Palatino Linotype" w:hAnsi="Palatino Linotype"/>
          <w:b w:val="1"/>
          <w:bCs w:val="1"/>
          <w:sz w:val="22"/>
          <w:szCs w:val="22"/>
          <w:rtl w:val="0"/>
        </w:rPr>
        <w:t xml:space="preserve">Modalidad de Entrega:</w:t>
      </w:r>
      <w:r w:rsidDel="00000000" w:rsidR="00000000" w:rsidRPr="00000000">
        <w:rPr>
          <w:rFonts w:ascii="Palatino Linotype" w:cs="Palatino Linotype" w:eastAsia="Palatino Linotype" w:hAnsi="Palatino Linotype"/>
          <w:sz w:val="22"/>
          <w:szCs w:val="22"/>
          <w:rtl w:val="0"/>
        </w:rPr>
        <w:t xml:space="preserve"> a través del</w:t>
      </w:r>
      <w:r w:rsidDel="00000000" w:rsidR="00000000" w:rsidRPr="00000000">
        <w:rPr>
          <w:rFonts w:ascii="Palatino Linotype" w:cs="Palatino Linotype" w:eastAsia="Palatino Linotype" w:hAnsi="Palatino Linotype"/>
          <w:b w:val="1"/>
          <w:bCs w:val="1"/>
          <w:sz w:val="22"/>
          <w:szCs w:val="22"/>
          <w:rtl w:val="0"/>
        </w:rPr>
        <w:t xml:space="preserve"> SAIMEX.</w:t>
      </w:r>
      <w:r w:rsidDel="00000000" w:rsidR="00000000" w:rsidRPr="00000000">
        <w:rPr>
          <w:rtl w:val="0"/>
        </w:rPr>
      </w:r>
    </w:p>
    <w:p w:rsidR="00000000" w:rsidDel="00000000" w:rsidP="00000000" w:rsidRDefault="00000000" w:rsidRPr="00000000" w14:paraId="00000007">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2.</w:t>
      </w:r>
      <w:r w:rsidDel="00000000" w:rsidR="00000000" w:rsidRPr="00000000">
        <w:rPr>
          <w:rFonts w:ascii="Palatino Linotype" w:cs="Palatino Linotype" w:eastAsia="Palatino Linotype" w:hAnsi="Palatino Linotype"/>
          <w:sz w:val="22"/>
          <w:szCs w:val="22"/>
          <w:rtl w:val="0"/>
        </w:rPr>
        <w:t xml:space="preserve"> </w:t>
      </w:r>
      <w:hyperlink r:id="rId8">
        <w:r w:rsidDel="00000000" w:rsidR="00000000" w:rsidRPr="00000000">
          <w:rPr>
            <w:rFonts w:ascii="Palatino Linotype" w:cs="Palatino Linotype" w:eastAsia="Palatino Linotype" w:hAnsi="Palatino Linotype"/>
            <w:b w:val="1"/>
            <w:bCs w:val="1"/>
            <w:color w:val="000000"/>
            <w:sz w:val="22"/>
            <w:szCs w:val="22"/>
            <w:u w:val="none"/>
            <w:rtl w:val="0"/>
          </w:rPr>
          <w:t xml:space="preserve">Respuesta</w:t>
        </w:r>
      </w:hyperlink>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cuatro de junio de dos mil veintiséis,</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envió su respuesta a la solicitud de acceso a la información a través del SAIMEX, sustancialmente en los términos siguientes:   </w:t>
      </w:r>
    </w:p>
    <w:p w:rsidR="00000000" w:rsidDel="00000000" w:rsidP="00000000" w:rsidRDefault="00000000" w:rsidRPr="00000000" w14:paraId="00000008">
      <w:pPr>
        <w:spacing w:after="240" w:before="240" w:line="360" w:lineRule="auto"/>
        <w:ind w:left="851" w:right="902" w:firstLine="0"/>
        <w:jc w:val="right"/>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“Folio de la solicitud: 00064/VABRAVO/IP/2026</w:t>
      </w:r>
    </w:p>
    <w:p w:rsidR="00000000" w:rsidDel="00000000" w:rsidP="00000000" w:rsidRDefault="00000000" w:rsidRPr="00000000" w14:paraId="00000009">
      <w:pPr>
        <w:spacing w:after="240" w:before="240" w:line="360" w:lineRule="auto"/>
        <w:ind w:left="851" w:right="902" w:firstLine="0"/>
        <w:jc w:val="right"/>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“Folio de la solicitud: 00124/MEXICAL/IP/2026</w:t>
      </w:r>
    </w:p>
    <w:p w:rsidR="00000000" w:rsidDel="00000000" w:rsidP="00000000" w:rsidRDefault="00000000" w:rsidRPr="00000000" w14:paraId="0000000A">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respuesta a la solicitud recibida, nos permitimos hacer de su conocimiento que con fundamento en el artículo 53, Fracciones: II, V y VI de la Ley de Transparencia y Acceso a la Información Pública del Estado de México y Municipios, le contestamos que:</w:t>
      </w:r>
    </w:p>
    <w:p w:rsidR="00000000" w:rsidDel="00000000" w:rsidP="00000000" w:rsidRDefault="00000000" w:rsidRPr="00000000" w14:paraId="0000000B">
      <w:pPr>
        <w:spacing w:after="240" w:before="240" w:line="360" w:lineRule="auto"/>
        <w:ind w:left="851" w:right="902" w:firstLine="0"/>
        <w:jc w:val="both"/>
        <w:rPr>
          <w:rFonts w:ascii="Palatino Linotype" w:cs="Palatino Linotype" w:eastAsia="Palatino Linotype" w:hAnsi="Palatino Linotype"/>
          <w:b w:val="1"/>
          <w:bCs w:val="1"/>
          <w:i w:val="1"/>
          <w:iCs w:val="1"/>
          <w:sz w:val="22"/>
          <w:szCs w:val="22"/>
          <w:u w:val="single"/>
        </w:rPr>
      </w:pPr>
      <w:r w:rsidDel="00000000" w:rsidR="00000000" w:rsidRPr="00000000">
        <w:rPr>
          <w:rFonts w:ascii="Palatino Linotype" w:cs="Palatino Linotype" w:eastAsia="Palatino Linotype" w:hAnsi="Palatino Linotype"/>
          <w:i w:val="1"/>
          <w:iCs w:val="1"/>
          <w:sz w:val="22"/>
          <w:szCs w:val="22"/>
          <w:rtl w:val="0"/>
        </w:rPr>
        <w:t xml:space="preserve">Desconozco el significado de la palabra NOMIDA, así como también la palabra PESONAL, puede ser usted mas exacto.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RESPUESTA REALIZADA POR LA TESORERIA MUNICIPAL.</w:t>
      </w:r>
    </w:p>
    <w:p w:rsidR="00000000" w:rsidDel="00000000" w:rsidP="00000000" w:rsidRDefault="00000000" w:rsidRPr="00000000" w14:paraId="0000000C">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ATENTAMENTE</w:t>
      </w:r>
    </w:p>
    <w:p w:rsidR="00000000" w:rsidDel="00000000" w:rsidP="00000000" w:rsidRDefault="00000000" w:rsidRPr="00000000" w14:paraId="0000000D">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BERTHA LOPEZ SANCHEZ” (sic)</w:t>
      </w:r>
    </w:p>
    <w:p w:rsidR="00000000" w:rsidDel="00000000" w:rsidP="00000000" w:rsidRDefault="00000000" w:rsidRPr="00000000" w14:paraId="0000000E">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3. Interposición del recurso de revisión. </w:t>
      </w:r>
      <w:r w:rsidDel="00000000" w:rsidR="00000000" w:rsidRPr="00000000">
        <w:rPr>
          <w:rFonts w:ascii="Palatino Linotype" w:cs="Palatino Linotype" w:eastAsia="Palatino Linotype" w:hAnsi="Palatino Linotype"/>
          <w:sz w:val="22"/>
          <w:szCs w:val="22"/>
          <w:rtl w:val="0"/>
        </w:rPr>
        <w:t xml:space="preserve">Inconforme con los términos de la respuesta emitida por parte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dieciocho de junio de dos mil veintiséis, </w:t>
      </w:r>
      <w:r w:rsidDel="00000000" w:rsidR="00000000" w:rsidRPr="00000000">
        <w:rPr>
          <w:rFonts w:ascii="Palatino Linotype" w:cs="Palatino Linotype" w:eastAsia="Palatino Linotype" w:hAnsi="Palatino Linotype"/>
          <w:sz w:val="22"/>
          <w:szCs w:val="22"/>
          <w:rtl w:val="0"/>
        </w:rPr>
        <w:t xml:space="preserv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interpuso el recurso de revisión a través de </w:t>
      </w:r>
      <w:r w:rsidDel="00000000" w:rsidR="00000000" w:rsidRPr="00000000">
        <w:rPr>
          <w:rFonts w:ascii="Palatino Linotype" w:cs="Palatino Linotype" w:eastAsia="Palatino Linotype" w:hAnsi="Palatino Linotype"/>
          <w:b w:val="1"/>
          <w:bCs w:val="1"/>
          <w:sz w:val="22"/>
          <w:szCs w:val="22"/>
          <w:rtl w:val="0"/>
        </w:rPr>
        <w:t xml:space="preserve">SAIMEX, </w:t>
      </w:r>
      <w:r w:rsidDel="00000000" w:rsidR="00000000" w:rsidRPr="00000000">
        <w:rPr>
          <w:rFonts w:ascii="Palatino Linotype" w:cs="Palatino Linotype" w:eastAsia="Palatino Linotype" w:hAnsi="Palatino Linotype"/>
          <w:sz w:val="22"/>
          <w:szCs w:val="22"/>
          <w:rtl w:val="0"/>
        </w:rPr>
        <w:t xml:space="preserve">en donde se manifestó de la siguiente manera:</w:t>
      </w:r>
    </w:p>
    <w:p w:rsidR="00000000" w:rsidDel="00000000" w:rsidP="00000000" w:rsidRDefault="00000000" w:rsidRPr="00000000" w14:paraId="0000000F">
      <w:pPr>
        <w:spacing w:after="240" w:before="240" w:line="360" w:lineRule="auto"/>
        <w:ind w:right="49"/>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Acto impugnado: </w:t>
      </w:r>
    </w:p>
    <w:p w:rsidR="00000000" w:rsidDel="00000000" w:rsidP="00000000" w:rsidRDefault="00000000" w:rsidRPr="00000000" w14:paraId="00000010">
      <w:pPr>
        <w:tabs>
          <w:tab w:val="left" w:leader="none" w:pos="2745"/>
        </w:tabs>
        <w:spacing w:after="240" w:before="240" w:line="36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"no es lo que se solicito no garantiza el acceso a la información solicito se entregue lo que solicite" (sic)</w:t>
      </w:r>
    </w:p>
    <w:p w:rsidR="00000000" w:rsidDel="00000000" w:rsidP="00000000" w:rsidRDefault="00000000" w:rsidRPr="00000000" w14:paraId="00000011">
      <w:pPr>
        <w:spacing w:line="360" w:lineRule="auto"/>
        <w:jc w:val="both"/>
        <w:rPr>
          <w:rFonts w:ascii="Palatino Linotype" w:cs="Palatino Linotype" w:eastAsia="Palatino Linotype" w:hAnsi="Palatino Linotype"/>
          <w:sz w:val="22"/>
          <w:szCs w:val="22"/>
        </w:rPr>
      </w:pPr>
      <w:bookmarkStart w:colFirst="0" w:colLast="0" w:name="_heading=h.30j0zll" w:id="4"/>
      <w:bookmarkEnd w:id="4"/>
      <w:r w:rsidDel="00000000" w:rsidR="00000000" w:rsidRPr="00000000">
        <w:rPr>
          <w:rFonts w:ascii="Palatino Linotype" w:cs="Palatino Linotype" w:eastAsia="Palatino Linotype" w:hAnsi="Palatino Linotype"/>
          <w:b w:val="1"/>
          <w:bCs w:val="1"/>
          <w:sz w:val="22"/>
          <w:szCs w:val="22"/>
          <w:rtl w:val="0"/>
        </w:rPr>
        <w:t xml:space="preserve">Y, Razones o motivos de inconformidad</w:t>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012">
      <w:pPr>
        <w:tabs>
          <w:tab w:val="left" w:leader="none" w:pos="2745"/>
        </w:tabs>
        <w:spacing w:after="240" w:before="240" w:line="36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“no es lo que se solicito no garantiza el acceso a la información solicito se entregue lo que solicit” (sic)</w:t>
      </w:r>
    </w:p>
    <w:p w:rsidR="00000000" w:rsidDel="00000000" w:rsidP="00000000" w:rsidRDefault="00000000" w:rsidRPr="00000000" w14:paraId="00000013">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4. Turno. </w:t>
      </w:r>
      <w:r w:rsidDel="00000000" w:rsidR="00000000" w:rsidRPr="00000000">
        <w:rPr>
          <w:rFonts w:ascii="Palatino Linotype" w:cs="Palatino Linotype" w:eastAsia="Palatino Linotype" w:hAnsi="Palatino Linotype"/>
          <w:sz w:val="22"/>
          <w:szCs w:val="22"/>
          <w:rtl w:val="0"/>
        </w:rPr>
        <w:t xml:space="preserve">De conformidad con el artículo 185 fracción I de la Ley de Transparencia y Acceso a la Información Pública del Estado de México y Municipios vigente, el presente recurso de revisión se turnó por el sistema electrónico del Instituto de Transparencia, Acceso a la Información Pública y Protección de Datos Personales del Estado de México y Municipios, a la Comisionada </w:t>
      </w:r>
      <w:r w:rsidDel="00000000" w:rsidR="00000000" w:rsidRPr="00000000">
        <w:rPr>
          <w:rFonts w:ascii="Palatino Linotype" w:cs="Palatino Linotype" w:eastAsia="Palatino Linotype" w:hAnsi="Palatino Linotype"/>
          <w:b w:val="1"/>
          <w:bCs w:val="1"/>
          <w:sz w:val="22"/>
          <w:szCs w:val="22"/>
          <w:rtl w:val="0"/>
        </w:rPr>
        <w:t xml:space="preserve">Guadalupe Ramírez Peña, </w:t>
      </w:r>
      <w:r w:rsidDel="00000000" w:rsidR="00000000" w:rsidRPr="00000000">
        <w:rPr>
          <w:rFonts w:ascii="Palatino Linotype" w:cs="Palatino Linotype" w:eastAsia="Palatino Linotype" w:hAnsi="Palatino Linotype"/>
          <w:sz w:val="22"/>
          <w:szCs w:val="22"/>
          <w:rtl w:val="0"/>
        </w:rPr>
        <w:t xml:space="preserve">a efecto de que analizara sobre su admisión o su desechamiento.</w:t>
      </w:r>
    </w:p>
    <w:p w:rsidR="00000000" w:rsidDel="00000000" w:rsidP="00000000" w:rsidRDefault="00000000" w:rsidRPr="00000000" w14:paraId="00000014">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5. Admisión del Recurso de revisión.</w:t>
      </w:r>
      <w:r w:rsidDel="00000000" w:rsidR="00000000" w:rsidRPr="00000000">
        <w:rPr>
          <w:rFonts w:ascii="Palatino Linotype" w:cs="Palatino Linotype" w:eastAsia="Palatino Linotype" w:hAnsi="Palatino Linotype"/>
          <w:sz w:val="22"/>
          <w:szCs w:val="22"/>
          <w:rtl w:val="0"/>
        </w:rPr>
        <w:t xml:space="preserve"> El</w:t>
      </w:r>
      <w:r w:rsidDel="00000000" w:rsidR="00000000" w:rsidRPr="00000000">
        <w:rPr>
          <w:rFonts w:ascii="Palatino Linotype" w:cs="Palatino Linotype" w:eastAsia="Palatino Linotype" w:hAnsi="Palatino Linotype"/>
          <w:b w:val="1"/>
          <w:bCs w:val="1"/>
          <w:sz w:val="22"/>
          <w:szCs w:val="22"/>
          <w:rtl w:val="0"/>
        </w:rPr>
        <w:t xml:space="preserve"> diecinueve de junio de dos mil veintiséis, </w:t>
      </w:r>
      <w:r w:rsidDel="00000000" w:rsidR="00000000" w:rsidRPr="00000000">
        <w:rPr>
          <w:rFonts w:ascii="Palatino Linotype" w:cs="Palatino Linotype" w:eastAsia="Palatino Linotype" w:hAnsi="Palatino Linotype"/>
          <w:sz w:val="22"/>
          <w:szCs w:val="22"/>
          <w:rtl w:val="0"/>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presentara su informe justificado.</w:t>
      </w:r>
      <w:r w:rsidDel="00000000" w:rsidR="00000000" w:rsidRPr="00000000">
        <w:rPr>
          <w:rtl w:val="0"/>
        </w:rPr>
      </w:r>
    </w:p>
    <w:p w:rsidR="00000000" w:rsidDel="00000000" w:rsidP="00000000" w:rsidRDefault="00000000" w:rsidRPr="00000000" w14:paraId="00000015">
      <w:pPr>
        <w:spacing w:after="240" w:before="240" w:line="360" w:lineRule="auto"/>
        <w:ind w:right="49"/>
        <w:jc w:val="both"/>
        <w:rPr>
          <w:rFonts w:ascii="Palatino Linotype" w:cs="Palatino Linotype" w:eastAsia="Palatino Linotype" w:hAnsi="Palatino Linotype"/>
          <w:sz w:val="22"/>
          <w:szCs w:val="22"/>
        </w:rPr>
      </w:pPr>
      <w:bookmarkStart w:colFirst="0" w:colLast="0" w:name="_heading=h.2s8eyo1" w:id="5"/>
      <w:bookmarkEnd w:id="5"/>
      <w:r w:rsidDel="00000000" w:rsidR="00000000" w:rsidRPr="00000000">
        <w:rPr>
          <w:rFonts w:ascii="Palatino Linotype" w:cs="Palatino Linotype" w:eastAsia="Palatino Linotype" w:hAnsi="Palatino Linotype"/>
          <w:b w:val="1"/>
          <w:bCs w:val="1"/>
          <w:sz w:val="22"/>
          <w:szCs w:val="22"/>
          <w:rtl w:val="0"/>
        </w:rPr>
        <w:t xml:space="preserve">6. Manifestaciones</w:t>
      </w:r>
      <w:r w:rsidDel="00000000" w:rsidR="00000000" w:rsidRPr="00000000">
        <w:rPr>
          <w:rFonts w:ascii="Palatino Linotype" w:cs="Palatino Linotype" w:eastAsia="Palatino Linotype" w:hAnsi="Palatino Linotype"/>
          <w:sz w:val="22"/>
          <w:szCs w:val="22"/>
          <w:rtl w:val="0"/>
        </w:rPr>
        <w:t xml:space="preserve">. De las constancias que integran el expediente en que se actúa se advierte que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rindió su informe justificado el </w:t>
      </w:r>
      <w:r w:rsidDel="00000000" w:rsidR="00000000" w:rsidRPr="00000000">
        <w:rPr>
          <w:rFonts w:ascii="Palatino Linotype" w:cs="Palatino Linotype" w:eastAsia="Palatino Linotype" w:hAnsi="Palatino Linotype"/>
          <w:b w:val="1"/>
          <w:bCs w:val="1"/>
          <w:sz w:val="22"/>
          <w:szCs w:val="22"/>
          <w:rtl w:val="0"/>
        </w:rPr>
        <w:t xml:space="preserve">treinta de junio de dos mil veintiséis, </w:t>
      </w:r>
      <w:r w:rsidDel="00000000" w:rsidR="00000000" w:rsidRPr="00000000">
        <w:rPr>
          <w:rFonts w:ascii="Palatino Linotype" w:cs="Palatino Linotype" w:eastAsia="Palatino Linotype" w:hAnsi="Palatino Linotype"/>
          <w:sz w:val="22"/>
          <w:szCs w:val="22"/>
          <w:rtl w:val="0"/>
        </w:rPr>
        <w:t xml:space="preserve">a través del archivo electrónico denominado “</w:t>
      </w:r>
      <w:r w:rsidDel="00000000" w:rsidR="00000000" w:rsidRPr="00000000">
        <w:rPr>
          <w:rFonts w:ascii="Palatino Linotype" w:cs="Palatino Linotype" w:eastAsia="Palatino Linotype" w:hAnsi="Palatino Linotype"/>
          <w:b w:val="1"/>
          <w:bCs w:val="1"/>
          <w:i w:val="1"/>
          <w:iCs w:val="1"/>
          <w:sz w:val="22"/>
          <w:szCs w:val="22"/>
          <w:rtl w:val="0"/>
        </w:rPr>
        <w:t xml:space="preserve">manifestaciones sol. 214.pdf</w:t>
      </w:r>
      <w:r w:rsidDel="00000000" w:rsidR="00000000" w:rsidRPr="00000000">
        <w:rPr>
          <w:rFonts w:ascii="Palatino Linotype" w:cs="Palatino Linotype" w:eastAsia="Palatino Linotype" w:hAnsi="Palatino Linotype"/>
          <w:sz w:val="22"/>
          <w:szCs w:val="22"/>
          <w:rtl w:val="0"/>
        </w:rPr>
        <w:t xml:space="preserve">” que contiene el oficio de fecha treinta de junio de dos mil veintiséis, a través del cual el Tesorero Municipal ratifica en todos los términos la respuesta toda vez que se desconoce de la palabra nomida y personal, por lo que permanece vigente en todos sus alcances. </w:t>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284"/>
        </w:tabs>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Documento que fue puesto a la vista de la </w:t>
      </w:r>
      <w:r w:rsidDel="00000000" w:rsidR="00000000" w:rsidRPr="00000000">
        <w:rPr>
          <w:rFonts w:ascii="Palatino Linotype" w:cs="Palatino Linotype" w:eastAsia="Palatino Linotype" w:hAnsi="Palatino Linotype"/>
          <w:b w:val="1"/>
          <w:bCs w:val="1"/>
          <w:sz w:val="22"/>
          <w:szCs w:val="22"/>
          <w:rtl w:val="0"/>
        </w:rPr>
        <w:t xml:space="preserve">parte Recurrente</w:t>
      </w:r>
      <w:r w:rsidDel="00000000" w:rsidR="00000000" w:rsidRPr="00000000">
        <w:rPr>
          <w:rFonts w:ascii="Palatino Linotype" w:cs="Palatino Linotype" w:eastAsia="Palatino Linotype" w:hAnsi="Palatino Linotype"/>
          <w:sz w:val="22"/>
          <w:szCs w:val="22"/>
          <w:rtl w:val="0"/>
        </w:rPr>
        <w:t xml:space="preserve">, a fin de que hiciera valer sus manifestaciones o rindiera alegatos que conforme a derecho resultaran procedentes; no obstante, fue omisa en ejercer dicha prerrogativa.</w:t>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360"/>
        </w:tabs>
        <w:spacing w:line="360" w:lineRule="auto"/>
        <w:ind w:right="49"/>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1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7. Ampliación del término para resolver</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trece de agosto de dos mil veintiséis</w:t>
      </w:r>
      <w:r w:rsidDel="00000000" w:rsidR="00000000" w:rsidRPr="00000000">
        <w:rPr>
          <w:rFonts w:ascii="Palatino Linotype" w:cs="Palatino Linotype" w:eastAsia="Palatino Linotype" w:hAnsi="Palatino Linotype"/>
          <w:sz w:val="22"/>
          <w:szCs w:val="22"/>
          <w:rtl w:val="0"/>
        </w:rPr>
        <w:t xml:space="preserve">, se notificó a las partes el Acuerdo de Ampliación de Plazo para resolver el medio de impugnación que nos ocupa, en términos de lo dispuesto por el artículo 181, párrafo tercero de la Ley de Transparencia y Acceso a la Información Pública del Estado de México y Municipios.</w:t>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360"/>
        </w:tabs>
        <w:spacing w:line="360" w:lineRule="auto"/>
        <w:ind w:right="49"/>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360"/>
        </w:tabs>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8. Cierre de instrucción. </w:t>
      </w:r>
      <w:r w:rsidDel="00000000" w:rsidR="00000000" w:rsidRPr="00000000">
        <w:rPr>
          <w:rFonts w:ascii="Palatino Linotype" w:cs="Palatino Linotype" w:eastAsia="Palatino Linotype" w:hAnsi="Palatino Linotype"/>
          <w:sz w:val="22"/>
          <w:szCs w:val="22"/>
          <w:rtl w:val="0"/>
        </w:rPr>
        <w:t xml:space="preserve">Una vez transcurrido el periodo otorgado a las partes para realizar sus manifestaciones y no habiendo documentos que integrar al expediente, el </w:t>
      </w:r>
      <w:r w:rsidDel="00000000" w:rsidR="00000000" w:rsidRPr="00000000">
        <w:rPr>
          <w:rFonts w:ascii="Palatino Linotype" w:cs="Palatino Linotype" w:eastAsia="Palatino Linotype" w:hAnsi="Palatino Linotype"/>
          <w:b w:val="1"/>
          <w:bCs w:val="1"/>
          <w:sz w:val="22"/>
          <w:szCs w:val="22"/>
          <w:rtl w:val="0"/>
        </w:rPr>
        <w:t xml:space="preserve">diecinueve de agosto de dos mil veintiséis</w:t>
      </w:r>
      <w:r w:rsidDel="00000000" w:rsidR="00000000" w:rsidRPr="00000000">
        <w:rPr>
          <w:rFonts w:ascii="Palatino Linotype" w:cs="Palatino Linotype" w:eastAsia="Palatino Linotype" w:hAnsi="Palatino Linotype"/>
          <w:sz w:val="22"/>
          <w:szCs w:val="22"/>
          <w:rtl w:val="0"/>
        </w:rPr>
        <w:t xml:space="preserve">, la Comisionada Ponente determinó el cierre de instrucción en términos de la fracción VI del artículo 185 de la Ley de Transparencia y Acceso a la Información Pública del Estado de México y Municipios.</w:t>
      </w:r>
    </w:p>
    <w:p w:rsidR="00000000" w:rsidDel="00000000" w:rsidP="00000000" w:rsidRDefault="00000000" w:rsidRPr="00000000" w14:paraId="0000001B">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razón de que fue debidamente sustanciado el expediente electrónico y no existe diligencia pendiente de desahogo, se emite la Resolución que conforme a Derecho proceda, de acuerdo con los siguientes: </w:t>
      </w:r>
    </w:p>
    <w:p w:rsidR="00000000" w:rsidDel="00000000" w:rsidP="00000000" w:rsidRDefault="00000000" w:rsidRPr="00000000" w14:paraId="0000001C">
      <w:pPr>
        <w:widowControl w:val="0"/>
        <w:spacing w:after="240" w:before="240"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II. C O N S I D E R A N D O S</w:t>
      </w:r>
    </w:p>
    <w:p w:rsidR="00000000" w:rsidDel="00000000" w:rsidP="00000000" w:rsidRDefault="00000000" w:rsidRPr="00000000" w14:paraId="0000001D">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Primero. Competencia.</w:t>
      </w:r>
      <w:r w:rsidDel="00000000" w:rsidR="00000000" w:rsidRPr="00000000">
        <w:rPr>
          <w:rFonts w:ascii="Palatino Linotype" w:cs="Palatino Linotype" w:eastAsia="Palatino Linotype" w:hAnsi="Palatino Linotype"/>
          <w:sz w:val="22"/>
          <w:szCs w:val="22"/>
          <w:rtl w:val="0"/>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rsidR="00000000" w:rsidDel="00000000" w:rsidP="00000000" w:rsidRDefault="00000000" w:rsidRPr="00000000" w14:paraId="0000001E">
      <w:pPr>
        <w:spacing w:after="240" w:before="240" w:line="360" w:lineRule="auto"/>
        <w:jc w:val="both"/>
        <w:rPr>
          <w:rFonts w:ascii="Palatino Linotype" w:cs="Palatino Linotype" w:eastAsia="Palatino Linotype" w:hAnsi="Palatino Linotype"/>
          <w:sz w:val="22"/>
          <w:szCs w:val="22"/>
        </w:rPr>
      </w:pPr>
      <w:bookmarkStart w:colFirst="0" w:colLast="0" w:name="_heading=h.tyjcwt" w:id="6"/>
      <w:bookmarkEnd w:id="6"/>
      <w:r w:rsidDel="00000000" w:rsidR="00000000" w:rsidRPr="00000000">
        <w:rPr>
          <w:rFonts w:ascii="Palatino Linotype" w:cs="Palatino Linotype" w:eastAsia="Palatino Linotype" w:hAnsi="Palatino Linotype"/>
          <w:b w:val="1"/>
          <w:bCs w:val="1"/>
          <w:sz w:val="22"/>
          <w:szCs w:val="22"/>
          <w:rtl w:val="0"/>
        </w:rPr>
        <w:t xml:space="preserve">Segundo. Oportunidad y Procedibilidad del Recurso de Revisión</w:t>
      </w:r>
      <w:r w:rsidDel="00000000" w:rsidR="00000000" w:rsidRPr="00000000">
        <w:rPr>
          <w:rFonts w:ascii="Palatino Linotype" w:cs="Palatino Linotype" w:eastAsia="Palatino Linotype" w:hAnsi="Palatino Linotype"/>
          <w:sz w:val="22"/>
          <w:szCs w:val="22"/>
          <w:rtl w:val="0"/>
        </w:rPr>
        <w:t xml:space="preserve">.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rsidR="00000000" w:rsidDel="00000000" w:rsidP="00000000" w:rsidRDefault="00000000" w:rsidRPr="00000000" w14:paraId="0000001F">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recurso de revisión fue interpuesto dentro del plazo de quince días hábiles, previsto en el artículo 178 de la Ley de Transparencia y Acceso a la Información Pública del Estado de México y Municipios, toda vez que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remitió la respuesta a la solicitud de información el día </w:t>
      </w:r>
      <w:r w:rsidDel="00000000" w:rsidR="00000000" w:rsidRPr="00000000">
        <w:rPr>
          <w:rFonts w:ascii="Palatino Linotype" w:cs="Palatino Linotype" w:eastAsia="Palatino Linotype" w:hAnsi="Palatino Linotype"/>
          <w:b w:val="1"/>
          <w:bCs w:val="1"/>
          <w:sz w:val="22"/>
          <w:szCs w:val="22"/>
          <w:rtl w:val="0"/>
        </w:rPr>
        <w:t xml:space="preserve">cuatro de junio de dos mil veintiséis, </w:t>
      </w:r>
      <w:r w:rsidDel="00000000" w:rsidR="00000000" w:rsidRPr="00000000">
        <w:rPr>
          <w:rFonts w:ascii="Palatino Linotype" w:cs="Palatino Linotype" w:eastAsia="Palatino Linotype" w:hAnsi="Palatino Linotype"/>
          <w:sz w:val="22"/>
          <w:szCs w:val="22"/>
          <w:rtl w:val="0"/>
        </w:rPr>
        <w:t xml:space="preserve">mientras que el recurso de revisión interpuesto por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se tuvo por presentado el día</w:t>
      </w:r>
      <w:r w:rsidDel="00000000" w:rsidR="00000000" w:rsidRPr="00000000">
        <w:rPr>
          <w:rFonts w:ascii="Palatino Linotype" w:cs="Palatino Linotype" w:eastAsia="Palatino Linotype" w:hAnsi="Palatino Linotype"/>
          <w:b w:val="1"/>
          <w:bCs w:val="1"/>
          <w:sz w:val="22"/>
          <w:szCs w:val="22"/>
          <w:rtl w:val="0"/>
        </w:rPr>
        <w:t xml:space="preserve"> dieciocho de junio de dos mil veintiséis, </w:t>
      </w:r>
      <w:r w:rsidDel="00000000" w:rsidR="00000000" w:rsidRPr="00000000">
        <w:rPr>
          <w:rFonts w:ascii="Palatino Linotype" w:cs="Palatino Linotype" w:eastAsia="Palatino Linotype" w:hAnsi="Palatino Linotype"/>
          <w:sz w:val="22"/>
          <w:szCs w:val="22"/>
          <w:rtl w:val="0"/>
        </w:rPr>
        <w:t xml:space="preserve">esto es, al décimo</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día hábil posterior a aquel en el que tuvo conocimiento de la respuesta impugnada. En este sentido, se concluye que el presente recurso de revisión se encuentra dentro de los márgenes temporales previstos en las disposiciones legales referidas.</w:t>
      </w:r>
    </w:p>
    <w:p w:rsidR="00000000" w:rsidDel="00000000" w:rsidP="00000000" w:rsidRDefault="00000000" w:rsidRPr="00000000" w14:paraId="00000020">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Además, por cuanto hace a la procedibilidad del recurso de revisión, es de suma importancia señalar que la parte</w:t>
      </w:r>
      <w:r w:rsidDel="00000000" w:rsidR="00000000" w:rsidRPr="00000000">
        <w:rPr>
          <w:rFonts w:ascii="Palatino Linotype" w:cs="Palatino Linotype" w:eastAsia="Palatino Linotype" w:hAnsi="Palatino Linotype"/>
          <w:b w:val="1"/>
          <w:bCs w:val="1"/>
          <w:sz w:val="22"/>
          <w:szCs w:val="22"/>
          <w:rtl w:val="0"/>
        </w:rPr>
        <w:t xml:space="preserve"> Recurrente</w:t>
      </w:r>
      <w:r w:rsidDel="00000000" w:rsidR="00000000" w:rsidRPr="00000000">
        <w:rPr>
          <w:rFonts w:ascii="Palatino Linotype" w:cs="Palatino Linotype" w:eastAsia="Palatino Linotype" w:hAnsi="Palatino Linotype"/>
          <w:sz w:val="22"/>
          <w:szCs w:val="22"/>
          <w:rtl w:val="0"/>
        </w:rPr>
        <w:t xml:space="preserve">, no señaló </w:t>
      </w:r>
      <w:r w:rsidDel="00000000" w:rsidR="00000000" w:rsidRPr="00000000">
        <w:rPr>
          <w:rFonts w:ascii="Palatino Linotype" w:cs="Palatino Linotype" w:eastAsia="Palatino Linotype" w:hAnsi="Palatino Linotype"/>
          <w:b w:val="1"/>
          <w:bCs w:val="1"/>
          <w:sz w:val="22"/>
          <w:szCs w:val="22"/>
          <w:rtl w:val="0"/>
        </w:rPr>
        <w:t xml:space="preserve">nombre </w:t>
      </w:r>
      <w:r w:rsidDel="00000000" w:rsidR="00000000" w:rsidRPr="00000000">
        <w:rPr>
          <w:rFonts w:ascii="Palatino Linotype" w:cs="Palatino Linotype" w:eastAsia="Palatino Linotype" w:hAnsi="Palatino Linotype"/>
          <w:sz w:val="22"/>
          <w:szCs w:val="22"/>
          <w:rtl w:val="0"/>
        </w:rPr>
        <w:t xml:space="preserve">con el cual desea ser identificado, como se advierte en el detalle de seguimiento del SAIMEX, no obstante no proporcionar un nombre no es motivo para archivar la solicitud de acceso a la información pública como concluida, conforme a lo previsto en el artículo 155, penúltimo párrafo de la Ley de Transparencia y Acceso a la Información Pública del Estado de México y Municipios que establece lo siguiente:</w:t>
      </w:r>
    </w:p>
    <w:p w:rsidR="00000000" w:rsidDel="00000000" w:rsidP="00000000" w:rsidRDefault="00000000" w:rsidRPr="00000000" w14:paraId="00000021">
      <w:pPr>
        <w:spacing w:after="240" w:before="24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Las solicitudes anónimas</w:t>
      </w:r>
      <w:r w:rsidDel="00000000" w:rsidR="00000000" w:rsidRPr="00000000">
        <w:rPr>
          <w:rFonts w:ascii="Palatino Linotype" w:cs="Palatino Linotype" w:eastAsia="Palatino Linotype" w:hAnsi="Palatino Linotype"/>
          <w:i w:val="1"/>
          <w:iCs w:val="1"/>
          <w:sz w:val="22"/>
          <w:szCs w:val="22"/>
          <w:rtl w:val="0"/>
        </w:rPr>
        <w:t xml:space="preserve">, con nombre incompleto o </w:t>
      </w:r>
      <w:r w:rsidDel="00000000" w:rsidR="00000000" w:rsidRPr="00000000">
        <w:rPr>
          <w:rFonts w:ascii="Palatino Linotype" w:cs="Palatino Linotype" w:eastAsia="Palatino Linotype" w:hAnsi="Palatino Linotype"/>
          <w:b w:val="1"/>
          <w:bCs w:val="1"/>
          <w:i w:val="1"/>
          <w:iCs w:val="1"/>
          <w:sz w:val="22"/>
          <w:szCs w:val="22"/>
          <w:rtl w:val="0"/>
        </w:rPr>
        <w:t xml:space="preserve">seudónimo</w:t>
      </w:r>
      <w:r w:rsidDel="00000000" w:rsidR="00000000" w:rsidRPr="00000000">
        <w:rPr>
          <w:rFonts w:ascii="Palatino Linotype" w:cs="Palatino Linotype" w:eastAsia="Palatino Linotype" w:hAnsi="Palatino Linotype"/>
          <w:i w:val="1"/>
          <w:iCs w:val="1"/>
          <w:sz w:val="22"/>
          <w:szCs w:val="22"/>
          <w:rtl w:val="0"/>
        </w:rPr>
        <w:t xml:space="preserve"> serán procedentes para su trámite por parte del sujeto obligado ante quien se presente. No podrá requerirse información adicional con motivo del nombre proporcionado por el solicitante."</w:t>
      </w:r>
    </w:p>
    <w:p w:rsidR="00000000" w:rsidDel="00000000" w:rsidP="00000000" w:rsidRDefault="00000000" w:rsidRPr="00000000" w14:paraId="00000022">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Finalmente, se advierte que resulta procedente la interposición del recurso, según lo manifestado por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sus motivos de inconformidad, de acuerdo al artículo 179, fracción I del ordenamiento legal citado, que a la letra dice: </w:t>
      </w:r>
    </w:p>
    <w:p w:rsidR="00000000" w:rsidDel="00000000" w:rsidP="00000000" w:rsidRDefault="00000000" w:rsidRPr="00000000" w14:paraId="00000023">
      <w:pPr>
        <w:tabs>
          <w:tab w:val="left" w:leader="none" w:pos="7655"/>
        </w:tabs>
        <w:spacing w:after="120" w:before="120" w:line="360" w:lineRule="auto"/>
        <w:ind w:left="709" w:right="474"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179.</w:t>
      </w:r>
      <w:r w:rsidDel="00000000" w:rsidR="00000000" w:rsidRPr="00000000">
        <w:rPr>
          <w:rFonts w:ascii="Palatino Linotype" w:cs="Palatino Linotype" w:eastAsia="Palatino Linotype" w:hAnsi="Palatino Linotype"/>
          <w:i w:val="1"/>
          <w:iCs w:val="1"/>
          <w:sz w:val="22"/>
          <w:szCs w:val="22"/>
          <w:rtl w:val="0"/>
        </w:rPr>
        <w:t xml:space="preserve"> El recurso de revisión es un medio de protección que la Ley otorga a los particulares, para hacer valer su derecho de acceso a la información pública, y procederá en contra de las siguientes causas:</w:t>
      </w:r>
    </w:p>
    <w:p w:rsidR="00000000" w:rsidDel="00000000" w:rsidP="00000000" w:rsidRDefault="00000000" w:rsidRPr="00000000" w14:paraId="00000024">
      <w:pPr>
        <w:tabs>
          <w:tab w:val="left" w:leader="none" w:pos="7655"/>
        </w:tabs>
        <w:spacing w:after="120" w:before="120" w:line="360" w:lineRule="auto"/>
        <w:ind w:left="709" w:right="474" w:firstLine="0"/>
        <w:rPr>
          <w:rFonts w:ascii="Palatino Linotype" w:cs="Palatino Linotype" w:eastAsia="Palatino Linotype" w:hAnsi="Palatino Linotype"/>
          <w:b w:val="1"/>
          <w:bCs w:val="1"/>
          <w:i w:val="1"/>
          <w:iCs w:val="1"/>
          <w:sz w:val="22"/>
          <w:szCs w:val="22"/>
          <w:u w:val="single"/>
        </w:rPr>
      </w:pPr>
      <w:r w:rsidDel="00000000" w:rsidR="00000000" w:rsidRPr="00000000">
        <w:rPr>
          <w:rFonts w:ascii="Palatino Linotype" w:cs="Palatino Linotype" w:eastAsia="Palatino Linotype" w:hAnsi="Palatino Linotype"/>
          <w:b w:val="1"/>
          <w:bCs w:val="1"/>
          <w:i w:val="1"/>
          <w:iCs w:val="1"/>
          <w:sz w:val="22"/>
          <w:szCs w:val="22"/>
          <w:u w:val="single"/>
          <w:rtl w:val="0"/>
        </w:rPr>
        <w:t xml:space="preserve">I. La negativa a la información solicitada; </w:t>
      </w:r>
    </w:p>
    <w:p w:rsidR="00000000" w:rsidDel="00000000" w:rsidP="00000000" w:rsidRDefault="00000000" w:rsidRPr="00000000" w14:paraId="00000025">
      <w:pPr>
        <w:tabs>
          <w:tab w:val="left" w:leader="none" w:pos="7655"/>
        </w:tabs>
        <w:spacing w:after="120" w:before="120" w:line="360" w:lineRule="auto"/>
        <w:ind w:left="709" w:right="474" w:firstLine="0"/>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26">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Tercero. Materia de la revisión. </w:t>
      </w:r>
      <w:r w:rsidDel="00000000" w:rsidR="00000000" w:rsidRPr="00000000">
        <w:rPr>
          <w:rFonts w:ascii="Palatino Linotype" w:cs="Palatino Linotype" w:eastAsia="Palatino Linotype" w:hAnsi="Palatino Linotype"/>
          <w:sz w:val="22"/>
          <w:szCs w:val="22"/>
          <w:rtl w:val="0"/>
        </w:rPr>
        <w:t xml:space="preserve">De la revisión a las constancias y documentos que obran en el expediente electrónico se advierte, que el tema sobre el que este Organismo Garante de Transparencia y Acceso a la Información se pronunciará será: </w:t>
      </w:r>
      <w:r w:rsidDel="00000000" w:rsidR="00000000" w:rsidRPr="00000000">
        <w:rPr>
          <w:rFonts w:ascii="Palatino Linotype" w:cs="Palatino Linotype" w:eastAsia="Palatino Linotype" w:hAnsi="Palatino Linotype"/>
          <w:b w:val="1"/>
          <w:bCs w:val="1"/>
          <w:sz w:val="22"/>
          <w:szCs w:val="22"/>
          <w:rtl w:val="0"/>
        </w:rPr>
        <w:t xml:space="preserve">verificar si la información proporcionada por el Sujeto Obligado es adecuada y suficiente para satisfacer el derecho de acceso a la información pública </w:t>
      </w:r>
      <w:r w:rsidDel="00000000" w:rsidR="00000000" w:rsidRPr="00000000">
        <w:rPr>
          <w:rFonts w:ascii="Palatino Linotype" w:cs="Palatino Linotype" w:eastAsia="Palatino Linotype" w:hAnsi="Palatino Linotype"/>
          <w:sz w:val="22"/>
          <w:szCs w:val="22"/>
          <w:rtl w:val="0"/>
        </w:rPr>
        <w:t xml:space="preserve">de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o en su defecto, en caso de ser procedente, ordenar la entrega de información.</w:t>
      </w:r>
      <w:r w:rsidDel="00000000" w:rsidR="00000000" w:rsidRPr="00000000">
        <w:rPr>
          <w:rtl w:val="0"/>
        </w:rPr>
      </w:r>
    </w:p>
    <w:p w:rsidR="00000000" w:rsidDel="00000000" w:rsidP="00000000" w:rsidRDefault="00000000" w:rsidRPr="00000000" w14:paraId="00000027">
      <w:pPr>
        <w:spacing w:after="240" w:before="240" w:line="360" w:lineRule="auto"/>
        <w:jc w:val="both"/>
        <w:rPr>
          <w:rFonts w:ascii="Palatino Linotype" w:cs="Palatino Linotype" w:eastAsia="Palatino Linotype" w:hAnsi="Palatino Linotype"/>
          <w:sz w:val="22"/>
          <w:szCs w:val="22"/>
        </w:rPr>
      </w:pPr>
      <w:bookmarkStart w:colFirst="0" w:colLast="0" w:name="_heading=h.2et92p0" w:id="7"/>
      <w:bookmarkEnd w:id="7"/>
      <w:r w:rsidDel="00000000" w:rsidR="00000000" w:rsidRPr="00000000">
        <w:rPr>
          <w:rFonts w:ascii="Palatino Linotype" w:cs="Palatino Linotype" w:eastAsia="Palatino Linotype" w:hAnsi="Palatino Linotype"/>
          <w:b w:val="1"/>
          <w:bCs w:val="1"/>
          <w:sz w:val="22"/>
          <w:szCs w:val="22"/>
          <w:rtl w:val="0"/>
        </w:rPr>
        <w:t xml:space="preserve">Cuarto. Estudio del asunto. </w:t>
      </w:r>
      <w:r w:rsidDel="00000000" w:rsidR="00000000" w:rsidRPr="00000000">
        <w:rPr>
          <w:rFonts w:ascii="Palatino Linotype" w:cs="Palatino Linotype" w:eastAsia="Palatino Linotype" w:hAnsi="Palatino Linotype"/>
          <w:sz w:val="22"/>
          <w:szCs w:val="22"/>
          <w:rtl w:val="0"/>
        </w:rPr>
        <w:t xml:space="preserve">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rsidR="00000000" w:rsidDel="00000000" w:rsidP="00000000" w:rsidRDefault="00000000" w:rsidRPr="00000000" w14:paraId="00000028">
      <w:pPr>
        <w:spacing w:after="120" w:before="12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4</w:t>
      </w:r>
      <w:r w:rsidDel="00000000" w:rsidR="00000000" w:rsidRPr="00000000">
        <w:rPr>
          <w:rFonts w:ascii="Palatino Linotype" w:cs="Palatino Linotype" w:eastAsia="Palatino Linotype" w:hAnsi="Palatino Linotype"/>
          <w:i w:val="1"/>
          <w:iCs w:val="1"/>
          <w:sz w:val="22"/>
          <w:szCs w:val="22"/>
          <w:rtl w:val="0"/>
        </w:rPr>
        <w:t xml:space="preserve">. El derecho humano de acceso a la información pública es la prerrogativa de las personas para buscar, difundir, investigar, recabar, recibir y solicitar información pública, sin necesidad de acreditar personalidad ni interés jurídico. </w:t>
      </w:r>
    </w:p>
    <w:p w:rsidR="00000000" w:rsidDel="00000000" w:rsidP="00000000" w:rsidRDefault="00000000" w:rsidRPr="00000000" w14:paraId="00000029">
      <w:pPr>
        <w:spacing w:after="120" w:before="12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Toda la información generada, obtenida, adquirida, transformada, administrada o en posesión de los sujetos obligados es pública y accesible de manera permanente a cualquier persona</w:t>
      </w:r>
      <w:r w:rsidDel="00000000" w:rsidR="00000000" w:rsidRPr="00000000">
        <w:rPr>
          <w:rFonts w:ascii="Palatino Linotype" w:cs="Palatino Linotype" w:eastAsia="Palatino Linotype" w:hAnsi="Palatino Linotype"/>
          <w:i w:val="1"/>
          <w:iCs w:val="1"/>
          <w:sz w:val="22"/>
          <w:szCs w:val="22"/>
          <w:rtl w:val="0"/>
        </w:rPr>
        <w:t xml:space="preserve">,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rsidR="00000000" w:rsidDel="00000000" w:rsidP="00000000" w:rsidRDefault="00000000" w:rsidRPr="00000000" w14:paraId="0000002A">
      <w:pPr>
        <w:spacing w:after="120" w:before="12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Los sujetos obligados deben poner en práctica, políticas y programas de acceso a la información que se apeguen a criterios de publicidad, veracidad, oportunidad, precisión y suficiencia en beneficio de los solicitantes</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2B">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rsidR="00000000" w:rsidDel="00000000" w:rsidP="00000000" w:rsidRDefault="00000000" w:rsidRPr="00000000" w14:paraId="0000002C">
      <w:pPr>
        <w:spacing w:after="120" w:before="12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12.-</w:t>
      </w:r>
      <w:r w:rsidDel="00000000" w:rsidR="00000000" w:rsidRPr="00000000">
        <w:rPr>
          <w:rFonts w:ascii="Palatino Linotype" w:cs="Palatino Linotype" w:eastAsia="Palatino Linotype" w:hAnsi="Palatino Linotype"/>
          <w:i w:val="1"/>
          <w:iCs w:val="1"/>
          <w:sz w:val="22"/>
          <w:szCs w:val="22"/>
          <w:rtl w:val="0"/>
        </w:rPr>
        <w:t xml:space="preserve"> Quienes generen, recopilen, administren, manejen, procesen, archiven o conserven información pública serán responsables de la misma en los términos de las disposiciones jurídicas aplicables. </w:t>
      </w:r>
    </w:p>
    <w:p w:rsidR="00000000" w:rsidDel="00000000" w:rsidP="00000000" w:rsidRDefault="00000000" w:rsidRPr="00000000" w14:paraId="0000002D">
      <w:pPr>
        <w:spacing w:after="120" w:before="12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Los sujetos obligados sólo proporcionarán la información pública que se les requiera y que obre en sus archivos y en el estado en que ésta se encuentre</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La obligación de proporcionar información no comprende el procesamiento de la misma, ni el presentarla conforme al interés del solicitante; no estarán obligados a generarla, resumirla, efectuar cálculos o practicar investigaciones.”</w:t>
      </w:r>
      <w:r w:rsidDel="00000000" w:rsidR="00000000" w:rsidRPr="00000000">
        <w:rPr>
          <w:rtl w:val="0"/>
        </w:rPr>
      </w:r>
    </w:p>
    <w:p w:rsidR="00000000" w:rsidDel="00000000" w:rsidP="00000000" w:rsidRDefault="00000000" w:rsidRPr="00000000" w14:paraId="0000002E">
      <w:pPr>
        <w:spacing w:after="240" w:before="240" w:line="360" w:lineRule="auto"/>
        <w:ind w:right="-93"/>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concretaran a proporcionar la información solicitada que tengan en su poder en el estado que se encuentran, sin necesidad de concretarse al interés o términos específicos del solicitante.</w:t>
      </w:r>
    </w:p>
    <w:p w:rsidR="00000000" w:rsidDel="00000000" w:rsidP="00000000" w:rsidRDefault="00000000" w:rsidRPr="00000000" w14:paraId="0000002F">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Sirve de apoyo a lo anterior, el criterio orientador con clave de control SO/003/2017, emitido por el entonces Instituto Nacional de Transparencia, Acceso a la Información y Protección de Datos Personales, que por rubro y texto, dispone lo siguiente:</w:t>
      </w:r>
      <w:r w:rsidDel="00000000" w:rsidR="00000000" w:rsidRPr="00000000">
        <w:rPr>
          <w:rFonts w:ascii="Palatino Linotype" w:cs="Palatino Linotype" w:eastAsia="Palatino Linotype" w:hAnsi="Palatino Linotype"/>
          <w:b w:val="1"/>
          <w:bCs w:val="1"/>
          <w:sz w:val="22"/>
          <w:szCs w:val="22"/>
          <w:rtl w:val="0"/>
        </w:rPr>
        <w:t xml:space="preserve"> </w:t>
      </w:r>
    </w:p>
    <w:p w:rsidR="00000000" w:rsidDel="00000000" w:rsidP="00000000" w:rsidRDefault="00000000" w:rsidRPr="00000000" w14:paraId="00000030">
      <w:pPr>
        <w:spacing w:after="120" w:before="12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No existe obligación de elaborar documentos ad hoc para atender las solicitudes de acceso a la información.</w:t>
      </w:r>
      <w:r w:rsidDel="00000000" w:rsidR="00000000" w:rsidRPr="00000000">
        <w:rPr>
          <w:rFonts w:ascii="Palatino Linotype" w:cs="Palatino Linotype" w:eastAsia="Palatino Linotype" w:hAnsi="Palatino Linotype"/>
          <w:i w:val="1"/>
          <w:iCs w:val="1"/>
          <w:sz w:val="22"/>
          <w:szCs w:val="22"/>
          <w:rtl w:val="0"/>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rsidR="00000000" w:rsidDel="00000000" w:rsidP="00000000" w:rsidRDefault="00000000" w:rsidRPr="00000000" w14:paraId="00000031">
      <w:pPr>
        <w:spacing w:after="120" w:before="12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rsidR="00000000" w:rsidDel="00000000" w:rsidP="00000000" w:rsidRDefault="00000000" w:rsidRPr="00000000" w14:paraId="00000032">
      <w:pPr>
        <w:spacing w:after="120" w:before="12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rsidR="00000000" w:rsidDel="00000000" w:rsidP="00000000" w:rsidRDefault="00000000" w:rsidRPr="00000000" w14:paraId="00000033">
      <w:pPr>
        <w:spacing w:after="120" w:before="12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3. </w:t>
      </w:r>
      <w:r w:rsidDel="00000000" w:rsidR="00000000" w:rsidRPr="00000000">
        <w:rPr>
          <w:rFonts w:ascii="Palatino Linotype" w:cs="Palatino Linotype" w:eastAsia="Palatino Linotype" w:hAnsi="Palatino Linotype"/>
          <w:i w:val="1"/>
          <w:iCs w:val="1"/>
          <w:sz w:val="22"/>
          <w:szCs w:val="22"/>
          <w:rtl w:val="0"/>
        </w:rPr>
        <w:t xml:space="preserve">Para los efectos de la presente Ley se entenderá por:</w:t>
      </w:r>
    </w:p>
    <w:p w:rsidR="00000000" w:rsidDel="00000000" w:rsidP="00000000" w:rsidRDefault="00000000" w:rsidRPr="00000000" w14:paraId="00000034">
      <w:pPr>
        <w:spacing w:after="120" w:before="12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35">
      <w:pPr>
        <w:spacing w:after="120" w:before="12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XI. Documento:</w:t>
      </w:r>
      <w:r w:rsidDel="00000000" w:rsidR="00000000" w:rsidRPr="00000000">
        <w:rPr>
          <w:rFonts w:ascii="Palatino Linotype" w:cs="Palatino Linotype" w:eastAsia="Palatino Linotype" w:hAnsi="Palatino Linotype"/>
          <w:i w:val="1"/>
          <w:iCs w:val="1"/>
          <w:sz w:val="22"/>
          <w:szCs w:val="22"/>
          <w:rtl w:val="0"/>
        </w:rPr>
        <w:t xml:space="preserve"> Los expedientes, reportes, estudios, actas</w:t>
      </w: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Fonts w:ascii="Palatino Linotype" w:cs="Palatino Linotype" w:eastAsia="Palatino Linotype" w:hAnsi="Palatino Linotype"/>
          <w:i w:val="1"/>
          <w:iCs w:val="1"/>
          <w:sz w:val="22"/>
          <w:szCs w:val="22"/>
          <w:rtl w:val="0"/>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rsidR="00000000" w:rsidDel="00000000" w:rsidP="00000000" w:rsidRDefault="00000000" w:rsidRPr="00000000" w14:paraId="00000036">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rsidR="00000000" w:rsidDel="00000000" w:rsidP="00000000" w:rsidRDefault="00000000" w:rsidRPr="00000000" w14:paraId="00000037">
      <w:pPr>
        <w:spacing w:after="120" w:before="12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INFORMACIÓN PÚBLICA, CONCEPTO DE, EN MATERIA DE TRANSPARENCIA. INTERPRETACIÓN SISTEMÁTICA DE LOS ARTÍCULOS 2°, FRACCIÓN V, XV, Y XVI, 3°, 4°, 11 Y 41.</w:t>
      </w:r>
      <w:r w:rsidDel="00000000" w:rsidR="00000000" w:rsidRPr="00000000">
        <w:rPr>
          <w:rFonts w:ascii="Palatino Linotype" w:cs="Palatino Linotype" w:eastAsia="Palatino Linotype" w:hAnsi="Palatino Linotype"/>
          <w:i w:val="1"/>
          <w:iCs w:val="1"/>
          <w:sz w:val="22"/>
          <w:szCs w:val="22"/>
          <w:rtl w:val="0"/>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rsidR="00000000" w:rsidDel="00000000" w:rsidP="00000000" w:rsidRDefault="00000000" w:rsidRPr="00000000" w14:paraId="00000038">
      <w:pPr>
        <w:spacing w:after="120" w:before="12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consecuencia el acceso a la información se refiere a que se cumplan cualquiera de los siguientes tres supuestos:</w:t>
      </w:r>
    </w:p>
    <w:p w:rsidR="00000000" w:rsidDel="00000000" w:rsidP="00000000" w:rsidRDefault="00000000" w:rsidRPr="00000000" w14:paraId="00000039">
      <w:pPr>
        <w:spacing w:after="120" w:before="12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1) Que se trate de información registrada en cualquier soporte documental, que en ejercicio de las atribuciones conferidas, sea generada por los Sujetos Obligados;</w:t>
      </w:r>
    </w:p>
    <w:p w:rsidR="00000000" w:rsidDel="00000000" w:rsidP="00000000" w:rsidRDefault="00000000" w:rsidRPr="00000000" w14:paraId="0000003A">
      <w:pPr>
        <w:spacing w:after="120" w:before="12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2) Que se trate de información registrada en cualquier soporte documental, que en ejercicio de las atribuciones conferidas, sea administrada por los Sujetos Obligados, y</w:t>
      </w:r>
    </w:p>
    <w:p w:rsidR="00000000" w:rsidDel="00000000" w:rsidP="00000000" w:rsidRDefault="00000000" w:rsidRPr="00000000" w14:paraId="0000003B">
      <w:pPr>
        <w:spacing w:after="120" w:before="12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3) Que se trate de información registrada en cualquier soporte documental, que en ejercicio de las atribuciones conferidas, se encuentre en posesión de los Sujetos Obligados.”</w:t>
      </w:r>
    </w:p>
    <w:p w:rsidR="00000000" w:rsidDel="00000000" w:rsidP="00000000" w:rsidRDefault="00000000" w:rsidRPr="00000000" w14:paraId="0000003C">
      <w:pP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 anterior, siempre y cuando no se trate de información clasificada como reservada o confidencial, cuya difusión pueda lesionar el interés jurídicamente protegido por la Ley, producir un daño mayor que el interés de conocerse, o bien, generar un daño en los derechos de las personas,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rsidR="00000000" w:rsidDel="00000000" w:rsidP="00000000" w:rsidRDefault="00000000" w:rsidRPr="00000000" w14:paraId="0000003D">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el mismo tenor, los artículos 6, apartado A, fracción I, de la Constitución Política de los Estados Unidos Mexicanos y 5, fracción I, de la Constitución Política del Estado Libre y Soberano de México, establecen que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las razones previstas en la Constitución Federal por interés público y seguridad, en los términos que fijen las leyes de la materia.</w:t>
      </w:r>
    </w:p>
    <w:p w:rsidR="00000000" w:rsidDel="00000000" w:rsidP="00000000" w:rsidRDefault="00000000" w:rsidRPr="00000000" w14:paraId="0000003E">
      <w:pP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bien, del análisis de la solicitud de información, se advierte que la parte </w:t>
      </w:r>
      <w:r w:rsidDel="00000000" w:rsidR="00000000" w:rsidRPr="00000000">
        <w:rPr>
          <w:rFonts w:ascii="Palatino Linotype" w:cs="Palatino Linotype" w:eastAsia="Palatino Linotype" w:hAnsi="Palatino Linotype"/>
          <w:b w:val="1"/>
          <w:bCs w:val="1"/>
          <w:sz w:val="22"/>
          <w:szCs w:val="22"/>
          <w:rtl w:val="0"/>
        </w:rPr>
        <w:t xml:space="preserve">solicitante </w:t>
      </w:r>
      <w:r w:rsidDel="00000000" w:rsidR="00000000" w:rsidRPr="00000000">
        <w:rPr>
          <w:rFonts w:ascii="Palatino Linotype" w:cs="Palatino Linotype" w:eastAsia="Palatino Linotype" w:hAnsi="Palatino Linotype"/>
          <w:sz w:val="22"/>
          <w:szCs w:val="22"/>
          <w:rtl w:val="0"/>
        </w:rPr>
        <w:t xml:space="preserve">requirió al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le proporcione medularmente lo siguiente:</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240" w:line="360" w:lineRule="auto"/>
        <w:ind w:left="360" w:right="51"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Los recibos de nómina de la quincena número 21 del año 2025 de todos los servidores públicos adscritos al Ayuntamiento </w:t>
      </w:r>
      <w:r w:rsidDel="00000000" w:rsidR="00000000" w:rsidRPr="00000000">
        <w:rPr>
          <w:rtl w:val="0"/>
        </w:rPr>
      </w:r>
    </w:p>
    <w:p w:rsidR="00000000" w:rsidDel="00000000" w:rsidP="00000000" w:rsidRDefault="00000000" w:rsidRPr="00000000" w14:paraId="00000040">
      <w:pPr>
        <w:spacing w:after="240" w:before="240" w:line="360" w:lineRule="auto"/>
        <w:ind w:right="51"/>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41">
      <w:pPr>
        <w:spacing w:after="240" w:before="240" w:line="360" w:lineRule="auto"/>
        <w:ind w:right="49"/>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42">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respuesta,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se pronunció por conducto del Tesorero Municipal quien refirió que desconoce el significado de la palabra NOMIDA, así como también la palabra PESONAL, por lo que solicitó ser más exacto. </w:t>
      </w:r>
    </w:p>
    <w:p w:rsidR="00000000" w:rsidDel="00000000" w:rsidP="00000000" w:rsidRDefault="00000000" w:rsidRPr="00000000" w14:paraId="00000043">
      <w:pPr>
        <w:spacing w:after="240" w:before="240" w:line="360" w:lineRule="auto"/>
        <w:ind w:right="49"/>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Consecuentemente,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interpuso el recurso de revisión que nos ocupa, donde señaló como motivo de inconformidad la negativa a la entrega de la información.</w:t>
      </w:r>
      <w:r w:rsidDel="00000000" w:rsidR="00000000" w:rsidRPr="00000000">
        <w:rPr>
          <w:rtl w:val="0"/>
        </w:rPr>
      </w:r>
    </w:p>
    <w:p w:rsidR="00000000" w:rsidDel="00000000" w:rsidP="00000000" w:rsidRDefault="00000000" w:rsidRPr="00000000" w14:paraId="0000004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Admitido el presente recurso de revisión, en términos del artículo 185 fracción II</w:t>
      </w:r>
      <w:r w:rsidDel="00000000" w:rsidR="00000000" w:rsidRPr="00000000">
        <w:rPr>
          <w:rFonts w:ascii="Palatino Linotype" w:cs="Palatino Linotype" w:eastAsia="Palatino Linotype" w:hAnsi="Palatino Linotype"/>
          <w:sz w:val="22"/>
          <w:szCs w:val="22"/>
          <w:vertAlign w:val="superscript"/>
        </w:rPr>
        <w:footnoteReference w:customMarkFollows="0" w:id="0"/>
      </w:r>
      <w:r w:rsidDel="00000000" w:rsidR="00000000" w:rsidRPr="00000000">
        <w:rPr>
          <w:rFonts w:ascii="Palatino Linotype" w:cs="Palatino Linotype" w:eastAsia="Palatino Linotype" w:hAnsi="Palatino Linotype"/>
          <w:sz w:val="22"/>
          <w:szCs w:val="22"/>
          <w:rtl w:val="0"/>
        </w:rPr>
        <w:t xml:space="preserve"> de la Ley de Transparencia y Acceso a la Información Pública del Estado de México y Municipios, se integró el expediente y se puso a disposición de las partes para que, en un plazo máximo de siete días hábiles, manifestaran lo que a su derecho resultara conveniente.</w:t>
      </w:r>
    </w:p>
    <w:p w:rsidR="00000000" w:rsidDel="00000000" w:rsidP="00000000" w:rsidRDefault="00000000" w:rsidRPr="00000000" w14:paraId="0000004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6">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las constancias que integran el expediente en que se actúa se advierte que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rindió su informe justificado en el que sustancialmente el Tesorero Municipal ratifica su respuesta. </w:t>
      </w:r>
    </w:p>
    <w:p w:rsidR="00000000" w:rsidDel="00000000" w:rsidP="00000000" w:rsidRDefault="00000000" w:rsidRPr="00000000" w14:paraId="0000004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su lado,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fue omisa en hacer valer manifestaciones o rendir alegatos que conforme a derecho resultaran procedentes.</w:t>
      </w:r>
    </w:p>
    <w:p w:rsidR="00000000" w:rsidDel="00000000" w:rsidP="00000000" w:rsidRDefault="00000000" w:rsidRPr="00000000" w14:paraId="0000004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principio, conviene señalar que, en lo relativo a los </w:t>
      </w:r>
      <w:r w:rsidDel="00000000" w:rsidR="00000000" w:rsidRPr="00000000">
        <w:rPr>
          <w:rFonts w:ascii="Palatino Linotype" w:cs="Palatino Linotype" w:eastAsia="Palatino Linotype" w:hAnsi="Palatino Linotype"/>
          <w:b w:val="1"/>
          <w:bCs w:val="1"/>
          <w:sz w:val="22"/>
          <w:szCs w:val="22"/>
          <w:rtl w:val="0"/>
        </w:rPr>
        <w:t xml:space="preserve">recibos de nómina</w:t>
      </w:r>
      <w:r w:rsidDel="00000000" w:rsidR="00000000" w:rsidRPr="00000000">
        <w:rPr>
          <w:rFonts w:ascii="Palatino Linotype" w:cs="Palatino Linotype" w:eastAsia="Palatino Linotype" w:hAnsi="Palatino Linotype"/>
          <w:sz w:val="22"/>
          <w:szCs w:val="22"/>
          <w:rtl w:val="0"/>
        </w:rPr>
        <w:t xml:space="preserve">, la Ley del Trabajo de los Servidores Públicos del Estado y Municipios hace referencia a los comprobantes que las instituciones públicas realizan </w:t>
      </w:r>
      <w:r w:rsidDel="00000000" w:rsidR="00000000" w:rsidRPr="00000000">
        <w:rPr>
          <w:rFonts w:ascii="Palatino Linotype" w:cs="Palatino Linotype" w:eastAsia="Palatino Linotype" w:hAnsi="Palatino Linotype"/>
          <w:b w:val="1"/>
          <w:bCs w:val="1"/>
          <w:sz w:val="22"/>
          <w:szCs w:val="22"/>
          <w:u w:val="single"/>
          <w:rtl w:val="0"/>
        </w:rPr>
        <w:t xml:space="preserve">para documentar el pago de salarios y demás prestaciones otorgadas a un servidor público</w:t>
      </w:r>
      <w:r w:rsidDel="00000000" w:rsidR="00000000" w:rsidRPr="00000000">
        <w:rPr>
          <w:rFonts w:ascii="Palatino Linotype" w:cs="Palatino Linotype" w:eastAsia="Palatino Linotype" w:hAnsi="Palatino Linotype"/>
          <w:sz w:val="22"/>
          <w:szCs w:val="22"/>
          <w:rtl w:val="0"/>
        </w:rPr>
        <w:t xml:space="preserve">, denominándose "</w:t>
      </w:r>
      <w:r w:rsidDel="00000000" w:rsidR="00000000" w:rsidRPr="00000000">
        <w:rPr>
          <w:rFonts w:ascii="Palatino Linotype" w:cs="Palatino Linotype" w:eastAsia="Palatino Linotype" w:hAnsi="Palatino Linotype"/>
          <w:i w:val="1"/>
          <w:iCs w:val="1"/>
          <w:sz w:val="22"/>
          <w:szCs w:val="22"/>
          <w:rtl w:val="0"/>
        </w:rPr>
        <w:t xml:space="preserve">recibos o comprobantes de pago</w:t>
      </w:r>
      <w:r w:rsidDel="00000000" w:rsidR="00000000" w:rsidRPr="00000000">
        <w:rPr>
          <w:rFonts w:ascii="Palatino Linotype" w:cs="Palatino Linotype" w:eastAsia="Palatino Linotype" w:hAnsi="Palatino Linotype"/>
          <w:sz w:val="22"/>
          <w:szCs w:val="22"/>
          <w:rtl w:val="0"/>
        </w:rPr>
        <w:t xml:space="preserve">", los cuales constituyen un instrumento mediante el cual el sujeto obligado acredita las remuneraciones al personal y, que de acuerdo al uso implantado en la colectividad se denominan "recibos de nómina".</w:t>
      </w:r>
    </w:p>
    <w:p w:rsidR="00000000" w:rsidDel="00000000" w:rsidP="00000000" w:rsidRDefault="00000000" w:rsidRPr="00000000" w14:paraId="0000004B">
      <w:pPr>
        <w:spacing w:line="360"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 efecto de robustecer lo anterior, es preciso hacer alusión, en primera instancia, a lo establecido en las normas de carácter general del </w:t>
      </w:r>
      <w:r w:rsidDel="00000000" w:rsidR="00000000" w:rsidRPr="00000000">
        <w:rPr>
          <w:rFonts w:ascii="Palatino Linotype" w:cs="Palatino Linotype" w:eastAsia="Palatino Linotype" w:hAnsi="Palatino Linotype"/>
          <w:b w:val="1"/>
          <w:bCs w:val="1"/>
          <w:sz w:val="22"/>
          <w:szCs w:val="22"/>
          <w:rtl w:val="0"/>
        </w:rPr>
        <w:t xml:space="preserve">Manual Único de Contabilidad Gubernamental para las Dependencias y Entidades Públicas del Gobierno y Municipios del Estado de México</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en donde se señala que el Régimen Fiscal para las entidades públicas es el correspondiente a </w:t>
      </w:r>
      <w:r w:rsidDel="00000000" w:rsidR="00000000" w:rsidRPr="00000000">
        <w:rPr>
          <w:rFonts w:ascii="Palatino Linotype" w:cs="Palatino Linotype" w:eastAsia="Palatino Linotype" w:hAnsi="Palatino Linotype"/>
          <w:i w:val="1"/>
          <w:iCs w:val="1"/>
          <w:sz w:val="22"/>
          <w:szCs w:val="22"/>
          <w:rtl w:val="0"/>
        </w:rPr>
        <w:t xml:space="preserve">personas morales con fines no lucrativos, </w:t>
      </w:r>
      <w:r w:rsidDel="00000000" w:rsidR="00000000" w:rsidRPr="00000000">
        <w:rPr>
          <w:rFonts w:ascii="Palatino Linotype" w:cs="Palatino Linotype" w:eastAsia="Palatino Linotype" w:hAnsi="Palatino Linotype"/>
          <w:sz w:val="22"/>
          <w:szCs w:val="22"/>
          <w:rtl w:val="0"/>
        </w:rPr>
        <w:t xml:space="preserve">y en segundo lugar remitirnos al párrafo séptimo del artículo 86 del Título III del Régimen de las Personas Morales con fines no lucrativos, de la </w:t>
      </w:r>
      <w:r w:rsidDel="00000000" w:rsidR="00000000" w:rsidRPr="00000000">
        <w:rPr>
          <w:rFonts w:ascii="Palatino Linotype" w:cs="Palatino Linotype" w:eastAsia="Palatino Linotype" w:hAnsi="Palatino Linotype"/>
          <w:b w:val="1"/>
          <w:bCs w:val="1"/>
          <w:sz w:val="22"/>
          <w:szCs w:val="22"/>
          <w:rtl w:val="0"/>
        </w:rPr>
        <w:t xml:space="preserve">Ley del Impuesto Sobre la Renta</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que a la letra señala lo siguiente:</w:t>
      </w:r>
    </w:p>
    <w:p w:rsidR="00000000" w:rsidDel="00000000" w:rsidP="00000000" w:rsidRDefault="00000000" w:rsidRPr="00000000" w14:paraId="0000004D">
      <w:pPr>
        <w:spacing w:line="360"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tl w:val="0"/>
        </w:rPr>
      </w:r>
    </w:p>
    <w:p w:rsidR="00000000" w:rsidDel="00000000" w:rsidP="00000000" w:rsidRDefault="00000000" w:rsidRPr="00000000" w14:paraId="0000004E">
      <w:pPr>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“Artículo.- 86 </w:t>
      </w:r>
      <w:r w:rsidDel="00000000" w:rsidR="00000000" w:rsidRPr="00000000">
        <w:rPr>
          <w:rtl w:val="0"/>
        </w:rPr>
      </w:r>
    </w:p>
    <w:p w:rsidR="00000000" w:rsidDel="00000000" w:rsidP="00000000" w:rsidRDefault="00000000" w:rsidRPr="00000000" w14:paraId="0000004F">
      <w:pPr>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tl w:val="0"/>
        </w:rPr>
      </w:r>
    </w:p>
    <w:p w:rsidR="00000000" w:rsidDel="00000000" w:rsidP="00000000" w:rsidRDefault="00000000" w:rsidRPr="00000000" w14:paraId="00000050">
      <w:pPr>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Los partidos y asociaciones políticas, legalmente reconocidos, la Federación, las entidades federativas, los municipios y las instituciones que por Ley estén obligadas a entregar al Gobierno Federal el importe íntegro de su remanente de operación y los organismos descentralizados que no tributen conforme al Título II de esta Ley </w:t>
      </w:r>
      <w:r w:rsidDel="00000000" w:rsidR="00000000" w:rsidRPr="00000000">
        <w:rPr>
          <w:rFonts w:ascii="Palatino Linotype" w:cs="Palatino Linotype" w:eastAsia="Palatino Linotype" w:hAnsi="Palatino Linotype"/>
          <w:b w:val="1"/>
          <w:bCs w:val="1"/>
          <w:i w:val="1"/>
          <w:iCs w:val="1"/>
          <w:sz w:val="22"/>
          <w:szCs w:val="22"/>
          <w:rtl w:val="0"/>
        </w:rPr>
        <w:t xml:space="preserve">están obligados a expedir y entregar comprobantes fiscales a las personas que reciban pagos por concepto de salarios y, en general, por la prestación de un servicio personal subordinado, en la fecha en que se realice la erogación correspondiente, los cuales podrán utilizarse como constancia o recibo de pago</w:t>
      </w:r>
      <w:r w:rsidDel="00000000" w:rsidR="00000000" w:rsidRPr="00000000">
        <w:rPr>
          <w:rFonts w:ascii="Palatino Linotype" w:cs="Palatino Linotype" w:eastAsia="Palatino Linotype" w:hAnsi="Palatino Linotype"/>
          <w:i w:val="1"/>
          <w:iCs w:val="1"/>
          <w:sz w:val="22"/>
          <w:szCs w:val="22"/>
          <w:rtl w:val="0"/>
        </w:rPr>
        <w:t xml:space="preserve"> para efectos de la legislación laboral a que se refieren los artículos 132 fracciones VII y VIII, y 804 primer párrafo fracciones II y IV de la Ley Federal del Trabajo…</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51">
      <w:pPr>
        <w:spacing w:line="360"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2">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Del precepto citado, se advierte que las entidades federativas al ser entes públicos se encuentran constreñidos a expedir y entregar los </w:t>
      </w:r>
      <w:r w:rsidDel="00000000" w:rsidR="00000000" w:rsidRPr="00000000">
        <w:rPr>
          <w:rFonts w:ascii="Palatino Linotype" w:cs="Palatino Linotype" w:eastAsia="Palatino Linotype" w:hAnsi="Palatino Linotype"/>
          <w:b w:val="1"/>
          <w:bCs w:val="1"/>
          <w:sz w:val="22"/>
          <w:szCs w:val="22"/>
          <w:rtl w:val="0"/>
        </w:rPr>
        <w:t xml:space="preserve">comprobantes fiscales correspondientes a las personas que reciban pagos por conceptos de salarios y demás prestaciones establecidas en la Ley, </w:t>
      </w:r>
      <w:r w:rsidDel="00000000" w:rsidR="00000000" w:rsidRPr="00000000">
        <w:rPr>
          <w:rFonts w:ascii="Palatino Linotype" w:cs="Palatino Linotype" w:eastAsia="Palatino Linotype" w:hAnsi="Palatino Linotype"/>
          <w:sz w:val="22"/>
          <w:szCs w:val="22"/>
          <w:rtl w:val="0"/>
        </w:rPr>
        <w:t xml:space="preserve">mismos que pueden ser utilizados como </w:t>
      </w:r>
      <w:r w:rsidDel="00000000" w:rsidR="00000000" w:rsidRPr="00000000">
        <w:rPr>
          <w:rFonts w:ascii="Palatino Linotype" w:cs="Palatino Linotype" w:eastAsia="Palatino Linotype" w:hAnsi="Palatino Linotype"/>
          <w:b w:val="1"/>
          <w:bCs w:val="1"/>
          <w:sz w:val="22"/>
          <w:szCs w:val="22"/>
          <w:rtl w:val="0"/>
        </w:rPr>
        <w:t xml:space="preserve">constancia o</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recibo de pago</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5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su parte la Ley del Trabajo de los Servidores Públicos del Estado y Municipios, en su artículo 220-K fracciones II y IV y último párrafo, establecen lo siguiente:</w:t>
      </w:r>
    </w:p>
    <w:p w:rsidR="00000000" w:rsidDel="00000000" w:rsidP="00000000" w:rsidRDefault="00000000" w:rsidRPr="00000000" w14:paraId="00000055">
      <w:pPr>
        <w:spacing w:line="360"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56">
      <w:pPr>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220 K.-</w:t>
      </w:r>
      <w:r w:rsidDel="00000000" w:rsidR="00000000" w:rsidRPr="00000000">
        <w:rPr>
          <w:rFonts w:ascii="Palatino Linotype" w:cs="Palatino Linotype" w:eastAsia="Palatino Linotype" w:hAnsi="Palatino Linotype"/>
          <w:i w:val="1"/>
          <w:iCs w:val="1"/>
          <w:sz w:val="22"/>
          <w:szCs w:val="22"/>
          <w:rtl w:val="0"/>
        </w:rPr>
        <w:t xml:space="preserve"> La institución o dependencia pública tiene la obligación de conservar y exhibir en el proceso los documentos que a continuación se precisan:</w:t>
      </w:r>
      <w:r w:rsidDel="00000000" w:rsidR="00000000" w:rsidRPr="00000000">
        <w:rPr>
          <w:rtl w:val="0"/>
        </w:rPr>
      </w:r>
    </w:p>
    <w:p w:rsidR="00000000" w:rsidDel="00000000" w:rsidP="00000000" w:rsidRDefault="00000000" w:rsidRPr="00000000" w14:paraId="00000057">
      <w:pPr>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tl w:val="0"/>
        </w:rPr>
      </w:r>
    </w:p>
    <w:p w:rsidR="00000000" w:rsidDel="00000000" w:rsidP="00000000" w:rsidRDefault="00000000" w:rsidRPr="00000000" w14:paraId="00000058">
      <w:pPr>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II. </w:t>
      </w:r>
      <w:r w:rsidDel="00000000" w:rsidR="00000000" w:rsidRPr="00000000">
        <w:rPr>
          <w:rFonts w:ascii="Palatino Linotype" w:cs="Palatino Linotype" w:eastAsia="Palatino Linotype" w:hAnsi="Palatino Linotype"/>
          <w:b w:val="1"/>
          <w:bCs w:val="1"/>
          <w:i w:val="1"/>
          <w:iCs w:val="1"/>
          <w:sz w:val="22"/>
          <w:szCs w:val="22"/>
          <w:rtl w:val="0"/>
        </w:rPr>
        <w:t xml:space="preserve">Recibos de pagos de salarios</w:t>
      </w:r>
      <w:r w:rsidDel="00000000" w:rsidR="00000000" w:rsidRPr="00000000">
        <w:rPr>
          <w:rFonts w:ascii="Palatino Linotype" w:cs="Palatino Linotype" w:eastAsia="Palatino Linotype" w:hAnsi="Palatino Linotype"/>
          <w:i w:val="1"/>
          <w:iCs w:val="1"/>
          <w:sz w:val="22"/>
          <w:szCs w:val="22"/>
          <w:rtl w:val="0"/>
        </w:rPr>
        <w:t xml:space="preserve"> o las constancias documentales del pago de salario cuando sea por depósito o mediante información electrónica;</w:t>
      </w:r>
      <w:r w:rsidDel="00000000" w:rsidR="00000000" w:rsidRPr="00000000">
        <w:rPr>
          <w:rtl w:val="0"/>
        </w:rPr>
      </w:r>
    </w:p>
    <w:p w:rsidR="00000000" w:rsidDel="00000000" w:rsidP="00000000" w:rsidRDefault="00000000" w:rsidRPr="00000000" w14:paraId="00000059">
      <w:pPr>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tl w:val="0"/>
        </w:rPr>
      </w:r>
    </w:p>
    <w:p w:rsidR="00000000" w:rsidDel="00000000" w:rsidP="00000000" w:rsidRDefault="00000000" w:rsidRPr="00000000" w14:paraId="0000005A">
      <w:pPr>
        <w:spacing w:line="360" w:lineRule="auto"/>
        <w:ind w:left="851" w:right="616" w:firstLine="0"/>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B">
      <w:pPr>
        <w:spacing w:line="360"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IV. Recibos</w:t>
      </w:r>
      <w:r w:rsidDel="00000000" w:rsidR="00000000" w:rsidRPr="00000000">
        <w:rPr>
          <w:rFonts w:ascii="Palatino Linotype" w:cs="Palatino Linotype" w:eastAsia="Palatino Linotype" w:hAnsi="Palatino Linotype"/>
          <w:i w:val="1"/>
          <w:iCs w:val="1"/>
          <w:sz w:val="22"/>
          <w:szCs w:val="22"/>
          <w:rtl w:val="0"/>
        </w:rPr>
        <w:t xml:space="preserve"> o las constancias de depósito o del medio de información magnética o electrónica que sean utilizadas </w:t>
      </w:r>
      <w:r w:rsidDel="00000000" w:rsidR="00000000" w:rsidRPr="00000000">
        <w:rPr>
          <w:rFonts w:ascii="Palatino Linotype" w:cs="Palatino Linotype" w:eastAsia="Palatino Linotype" w:hAnsi="Palatino Linotype"/>
          <w:b w:val="1"/>
          <w:bCs w:val="1"/>
          <w:i w:val="1"/>
          <w:iCs w:val="1"/>
          <w:sz w:val="22"/>
          <w:szCs w:val="22"/>
          <w:rtl w:val="0"/>
        </w:rPr>
        <w:t xml:space="preserve">para el pago de salarios, prima vacacional, aguinaldo y demás prestaciones establecidas en la presente ley</w:t>
      </w:r>
      <w:r w:rsidDel="00000000" w:rsidR="00000000" w:rsidRPr="00000000">
        <w:rPr>
          <w:rFonts w:ascii="Palatino Linotype" w:cs="Palatino Linotype" w:eastAsia="Palatino Linotype" w:hAnsi="Palatino Linotype"/>
          <w:i w:val="1"/>
          <w:iCs w:val="1"/>
          <w:sz w:val="22"/>
          <w:szCs w:val="22"/>
          <w:rtl w:val="0"/>
        </w:rPr>
        <w:t xml:space="preserve">; y…</w:t>
      </w:r>
    </w:p>
    <w:p w:rsidR="00000000" w:rsidDel="00000000" w:rsidP="00000000" w:rsidRDefault="00000000" w:rsidRPr="00000000" w14:paraId="0000005C">
      <w:pPr>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D">
      <w:pPr>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Los documentos señalados en la fracción I de este artículo, deberán conservarse mientras dure la relación laboral y hasta un año después; los señalados por las fracciones II, III, IV durante el último año y un año después de que se extinga la relación laboral, y los mencionados en la fracción V, conforme lo señalen las leyes que los rijan.</w:t>
      </w:r>
      <w:r w:rsidDel="00000000" w:rsidR="00000000" w:rsidRPr="00000000">
        <w:rPr>
          <w:rtl w:val="0"/>
        </w:rPr>
      </w:r>
    </w:p>
    <w:p w:rsidR="00000000" w:rsidDel="00000000" w:rsidP="00000000" w:rsidRDefault="00000000" w:rsidRPr="00000000" w14:paraId="0000005E">
      <w:pPr>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Los documentos y constancias aquí señalados, la institución o dependencia podrá conservarlos por medio de los sistemas de digitalización o de información magnética o electrónica o cualquier medio descubierto por la ciencia y las constancias expedidas por el encargado del área de personal de éstas, harán prueba plena.</w:t>
      </w:r>
      <w:r w:rsidDel="00000000" w:rsidR="00000000" w:rsidRPr="00000000">
        <w:rPr>
          <w:rtl w:val="0"/>
        </w:rPr>
      </w:r>
    </w:p>
    <w:p w:rsidR="00000000" w:rsidDel="00000000" w:rsidP="00000000" w:rsidRDefault="00000000" w:rsidRPr="00000000" w14:paraId="0000005F">
      <w:pPr>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El incumplimiento por lo dispuesto por este artículo, establecerá la presunción de ser ciertos los hechos que el actor exprese en su demanda, en relación con tales documentos, salvo prueba en contrario.”</w:t>
      </w:r>
      <w:r w:rsidDel="00000000" w:rsidR="00000000" w:rsidRPr="00000000">
        <w:rPr>
          <w:rtl w:val="0"/>
        </w:rPr>
      </w:r>
    </w:p>
    <w:p w:rsidR="00000000" w:rsidDel="00000000" w:rsidP="00000000" w:rsidRDefault="00000000" w:rsidRPr="00000000" w14:paraId="00000060">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1">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Sobre la base del precepto legal citado, se advierte que toda institución pública o dependencia pública del Estado de México </w:t>
      </w:r>
      <w:r w:rsidDel="00000000" w:rsidR="00000000" w:rsidRPr="00000000">
        <w:rPr>
          <w:rFonts w:ascii="Palatino Linotype" w:cs="Palatino Linotype" w:eastAsia="Palatino Linotype" w:hAnsi="Palatino Linotype"/>
          <w:b w:val="1"/>
          <w:bCs w:val="1"/>
          <w:sz w:val="22"/>
          <w:szCs w:val="22"/>
          <w:rtl w:val="0"/>
        </w:rPr>
        <w:t xml:space="preserve">debe conservar las constancias de pago de salarios y demás prestaciones legales de acuerdo con la forma en que se haya realizado el pago;</w:t>
      </w:r>
      <w:r w:rsidDel="00000000" w:rsidR="00000000" w:rsidRPr="00000000">
        <w:rPr>
          <w:rFonts w:ascii="Palatino Linotype" w:cs="Palatino Linotype" w:eastAsia="Palatino Linotype" w:hAnsi="Palatino Linotype"/>
          <w:sz w:val="22"/>
          <w:szCs w:val="22"/>
          <w:rtl w:val="0"/>
        </w:rPr>
        <w:t xml:space="preserve"> es decir, en efectivo, cheque, depósito, transferencia u otra, debiendo conservar dicha documentación durante el último año y un año después de que se extingue la relación laboral a través de los sistemas de digitalización o de información magnética o electrónica.</w:t>
      </w:r>
    </w:p>
    <w:p w:rsidR="00000000" w:rsidDel="00000000" w:rsidP="00000000" w:rsidRDefault="00000000" w:rsidRPr="00000000" w14:paraId="00000062">
      <w:pPr>
        <w:spacing w:line="360"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3">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estas condiciones, resulta claro que la información de mérito es generada en ejercicio de las atribuciones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 acuerdo a lo dispuesto por los artículos 4, segundo párrafo y 12, segundo párrafo de la Ley de Transparencia y Acceso a la Información Pública del Estado de México y Municipios; consecuentemente debe obrar en sus archivos de conformidad a lo que señala el artículo 19 de la Ley de Transparencia Local que establece que debe presumirse la existencia de la información, si se refiere a las facultades, competencias y funciones que los ordenamientos jurídicos aplicables otorgan a los Sujetos Obligados.</w:t>
      </w:r>
    </w:p>
    <w:p w:rsidR="00000000" w:rsidDel="00000000" w:rsidP="00000000" w:rsidRDefault="00000000" w:rsidRPr="00000000" w14:paraId="00000064">
      <w:pPr>
        <w:spacing w:line="360"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5">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lo tanto, se desprende que los recibos de nómina que amparen el pago de los sueldos, de los servidores públicos adscritos al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se encuentra dentro de las atribuciones del ente público.</w:t>
      </w:r>
    </w:p>
    <w:p w:rsidR="00000000" w:rsidDel="00000000" w:rsidP="00000000" w:rsidRDefault="00000000" w:rsidRPr="00000000" w14:paraId="00000066">
      <w:pPr>
        <w:spacing w:line="360"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Además, de que la información de análisis, es de interés general y de alcance público, puesto que la ciudadanía tiene derecho a saber cuál es el gasto ejercido para el pago de remuneraciones por servicios personales al realizar las funciones públicas; esto es, su acceso permite transparentar la aplicación de los recursos públicos que son otorgados para el cumplimiento de sus funciones, ello conforme a lo dispuesto por los artículos 7 y 23 de la Ley de Transparencia y Acceso a la Información Pública del Estado de México y Municipios, que establece como deber de los Sujetos Obligados el hacer pública toda la información respecto a los montos y nombres de las personas a quienes se entreguen recursos públicos y con ello transparentar la forma, términos, causas y finalidad en la disposición de esos recursos; precepto legal que es del tenor siguiente:</w:t>
      </w:r>
    </w:p>
    <w:p w:rsidR="00000000" w:rsidDel="00000000" w:rsidP="00000000" w:rsidRDefault="00000000" w:rsidRPr="00000000" w14:paraId="00000068">
      <w:pPr>
        <w:spacing w:line="360"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9">
      <w:pPr>
        <w:spacing w:line="360"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u w:val="single"/>
          <w:rtl w:val="0"/>
        </w:rPr>
        <w:t xml:space="preserve">“</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Artículo 7. El Estado de México garantizará el efectivo acceso de toda persona a la información en posesión de cualquier entidad,</w:t>
      </w:r>
      <w:r w:rsidDel="00000000" w:rsidR="00000000" w:rsidRPr="00000000">
        <w:rPr>
          <w:rFonts w:ascii="Palatino Linotype" w:cs="Palatino Linotype" w:eastAsia="Palatino Linotype" w:hAnsi="Palatino Linotype"/>
          <w:i w:val="1"/>
          <w:iCs w:val="1"/>
          <w:sz w:val="22"/>
          <w:szCs w:val="22"/>
          <w:rtl w:val="0"/>
        </w:rPr>
        <w:t xml:space="preserve"> autoridad, órgano y organismo de los poderes Ejecutivo, Legislativo y Judicial, órganos autónomos, partidos políticos, fideicomisos y fondos públicos, así como de cualquier persona física, jurídico colectiva o sindicato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que reciba y ejerza recursos públicos</w:t>
      </w:r>
      <w:r w:rsidDel="00000000" w:rsidR="00000000" w:rsidRPr="00000000">
        <w:rPr>
          <w:rFonts w:ascii="Palatino Linotype" w:cs="Palatino Linotype" w:eastAsia="Palatino Linotype" w:hAnsi="Palatino Linotype"/>
          <w:i w:val="1"/>
          <w:iCs w:val="1"/>
          <w:sz w:val="22"/>
          <w:szCs w:val="22"/>
          <w:rtl w:val="0"/>
        </w:rPr>
        <w:t xml:space="preserve"> o realice actos de autoridad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en el ámbito de competencia del Estado de México </w:t>
      </w:r>
      <w:r w:rsidDel="00000000" w:rsidR="00000000" w:rsidRPr="00000000">
        <w:rPr>
          <w:rFonts w:ascii="Palatino Linotype" w:cs="Palatino Linotype" w:eastAsia="Palatino Linotype" w:hAnsi="Palatino Linotype"/>
          <w:i w:val="1"/>
          <w:iCs w:val="1"/>
          <w:sz w:val="22"/>
          <w:szCs w:val="22"/>
          <w:rtl w:val="0"/>
        </w:rPr>
        <w:t xml:space="preserve">y sus municipios.</w:t>
      </w:r>
    </w:p>
    <w:p w:rsidR="00000000" w:rsidDel="00000000" w:rsidP="00000000" w:rsidRDefault="00000000" w:rsidRPr="00000000" w14:paraId="0000006A">
      <w:pPr>
        <w:spacing w:line="360"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23</w:t>
      </w:r>
      <w:r w:rsidDel="00000000" w:rsidR="00000000" w:rsidRPr="00000000">
        <w:rPr>
          <w:rFonts w:ascii="Palatino Linotype" w:cs="Palatino Linotype" w:eastAsia="Palatino Linotype" w:hAnsi="Palatino Linotype"/>
          <w:i w:val="1"/>
          <w:iCs w:val="1"/>
          <w:sz w:val="22"/>
          <w:szCs w:val="22"/>
          <w:rtl w:val="0"/>
        </w:rPr>
        <w:t xml:space="preserve">. Son sujetos obligados a transparentar y permitir el acceso a su información y proteger los datos personales que obren en su poder:</w:t>
      </w:r>
    </w:p>
    <w:p w:rsidR="00000000" w:rsidDel="00000000" w:rsidP="00000000" w:rsidRDefault="00000000" w:rsidRPr="00000000" w14:paraId="0000006B">
      <w:pPr>
        <w:spacing w:line="360"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6C">
      <w:pPr>
        <w:spacing w:line="360" w:lineRule="auto"/>
        <w:ind w:left="851" w:right="616" w:firstLine="0"/>
        <w:jc w:val="both"/>
        <w:rPr>
          <w:rFonts w:ascii="Palatino Linotype" w:cs="Palatino Linotype" w:eastAsia="Palatino Linotype" w:hAnsi="Palatino Linotype"/>
          <w:b w:val="1"/>
          <w:bCs w:val="1"/>
          <w:i w:val="1"/>
          <w:iCs w:val="1"/>
          <w:sz w:val="22"/>
          <w:szCs w:val="22"/>
          <w:u w:val="single"/>
        </w:rPr>
      </w:pPr>
      <w:r w:rsidDel="00000000" w:rsidR="00000000" w:rsidRPr="00000000">
        <w:rPr>
          <w:rFonts w:ascii="Palatino Linotype" w:cs="Palatino Linotype" w:eastAsia="Palatino Linotype" w:hAnsi="Palatino Linotype"/>
          <w:b w:val="1"/>
          <w:bCs w:val="1"/>
          <w:i w:val="1"/>
          <w:iCs w:val="1"/>
          <w:sz w:val="22"/>
          <w:szCs w:val="22"/>
          <w:u w:val="single"/>
          <w:rtl w:val="0"/>
        </w:rPr>
        <w:t xml:space="preserve">IV. Los ayuntamientos y las dependencias, organismos, órganos y entidades de la administración municipal;</w:t>
      </w:r>
    </w:p>
    <w:p w:rsidR="00000000" w:rsidDel="00000000" w:rsidP="00000000" w:rsidRDefault="00000000" w:rsidRPr="00000000" w14:paraId="0000006D">
      <w:pPr>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tl w:val="0"/>
        </w:rPr>
      </w:r>
    </w:p>
    <w:p w:rsidR="00000000" w:rsidDel="00000000" w:rsidP="00000000" w:rsidRDefault="00000000" w:rsidRPr="00000000" w14:paraId="0000006E">
      <w:pPr>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i w:val="1"/>
          <w:iCs w:val="1"/>
          <w:sz w:val="22"/>
          <w:szCs w:val="22"/>
          <w:u w:val="single"/>
          <w:rtl w:val="0"/>
        </w:rPr>
        <w:t xml:space="preserve">Los sujetos obligados deberán hacer pública toda aquella información relativa a los montos y las personas a quienes entreguen, por cualquier motivo, recursos públicos, así como los informes que dichas personas les entreguen sobre el uso y destino de dichos recursos.</w:t>
      </w:r>
      <w:r w:rsidDel="00000000" w:rsidR="00000000" w:rsidRPr="00000000">
        <w:rPr>
          <w:rtl w:val="0"/>
        </w:rPr>
      </w:r>
    </w:p>
    <w:p w:rsidR="00000000" w:rsidDel="00000000" w:rsidP="00000000" w:rsidRDefault="00000000" w:rsidRPr="00000000" w14:paraId="0000006F">
      <w:pPr>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Los servidores públicos deberán transparentar sus acciones así como garantizar y respetar el derecho de acceso a la información pública.”</w:t>
      </w:r>
      <w:r w:rsidDel="00000000" w:rsidR="00000000" w:rsidRPr="00000000">
        <w:rPr>
          <w:rFonts w:ascii="Palatino Linotype" w:cs="Palatino Linotype" w:eastAsia="Palatino Linotype" w:hAnsi="Palatino Linotype"/>
          <w:b w:val="1"/>
          <w:bCs w:val="1"/>
          <w:i w:val="1"/>
          <w:iCs w:val="1"/>
          <w:sz w:val="22"/>
          <w:szCs w:val="22"/>
          <w:rtl w:val="0"/>
        </w:rPr>
        <w:t xml:space="preserve"> </w:t>
      </w:r>
      <w:r w:rsidDel="00000000" w:rsidR="00000000" w:rsidRPr="00000000">
        <w:rPr>
          <w:rtl w:val="0"/>
        </w:rPr>
      </w:r>
    </w:p>
    <w:p w:rsidR="00000000" w:rsidDel="00000000" w:rsidP="00000000" w:rsidRDefault="00000000" w:rsidRPr="00000000" w14:paraId="00000070">
      <w:pPr>
        <w:spacing w:line="360"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1">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Sirve de sustento por analogía, para justificar la publicidad sobre los datos relativos a los montos por concepto de pago de las remuneraciones, los criterios </w:t>
      </w:r>
      <w:r w:rsidDel="00000000" w:rsidR="00000000" w:rsidRPr="00000000">
        <w:rPr>
          <w:rFonts w:ascii="Palatino Linotype" w:cs="Palatino Linotype" w:eastAsia="Palatino Linotype" w:hAnsi="Palatino Linotype"/>
          <w:b w:val="1"/>
          <w:bCs w:val="1"/>
          <w:sz w:val="22"/>
          <w:szCs w:val="22"/>
          <w:rtl w:val="0"/>
        </w:rPr>
        <w:t xml:space="preserve">01/2003</w:t>
      </w:r>
      <w:r w:rsidDel="00000000" w:rsidR="00000000" w:rsidRPr="00000000">
        <w:rPr>
          <w:rFonts w:ascii="Palatino Linotype" w:cs="Palatino Linotype" w:eastAsia="Palatino Linotype" w:hAnsi="Palatino Linotype"/>
          <w:sz w:val="22"/>
          <w:szCs w:val="22"/>
          <w:rtl w:val="0"/>
        </w:rPr>
        <w:t xml:space="preserve"> y </w:t>
      </w:r>
      <w:r w:rsidDel="00000000" w:rsidR="00000000" w:rsidRPr="00000000">
        <w:rPr>
          <w:rFonts w:ascii="Palatino Linotype" w:cs="Palatino Linotype" w:eastAsia="Palatino Linotype" w:hAnsi="Palatino Linotype"/>
          <w:b w:val="1"/>
          <w:bCs w:val="1"/>
          <w:sz w:val="22"/>
          <w:szCs w:val="22"/>
          <w:rtl w:val="0"/>
        </w:rPr>
        <w:t xml:space="preserve">02/2003</w:t>
      </w:r>
      <w:r w:rsidDel="00000000" w:rsidR="00000000" w:rsidRPr="00000000">
        <w:rPr>
          <w:rFonts w:ascii="Palatino Linotype" w:cs="Palatino Linotype" w:eastAsia="Palatino Linotype" w:hAnsi="Palatino Linotype"/>
          <w:sz w:val="22"/>
          <w:szCs w:val="22"/>
          <w:rtl w:val="0"/>
        </w:rPr>
        <w:t xml:space="preserve"> emitidos por el Comité de Acceso a la Información Pública y Protección de Datos Personales de la Suprema Corte de Justicia de la Nación que a continuación se citan: </w:t>
      </w:r>
    </w:p>
    <w:p w:rsidR="00000000" w:rsidDel="00000000" w:rsidP="00000000" w:rsidRDefault="00000000" w:rsidRPr="00000000" w14:paraId="0000007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3">
      <w:pPr>
        <w:tabs>
          <w:tab w:val="left" w:leader="none" w:pos="7513"/>
        </w:tabs>
        <w:spacing w:line="360" w:lineRule="auto"/>
        <w:ind w:left="851" w:right="616" w:firstLine="0"/>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Criterio 01/2003.</w:t>
      </w:r>
      <w:r w:rsidDel="00000000" w:rsidR="00000000" w:rsidRPr="00000000">
        <w:rPr>
          <w:rtl w:val="0"/>
        </w:rPr>
      </w:r>
    </w:p>
    <w:p w:rsidR="00000000" w:rsidDel="00000000" w:rsidP="00000000" w:rsidRDefault="00000000" w:rsidRPr="00000000" w14:paraId="00000074">
      <w:pPr>
        <w:tabs>
          <w:tab w:val="left" w:leader="none" w:pos="7513"/>
        </w:tabs>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INGRESOS DE LOS SERVIDORES PÚBLICOS. CONSTITUYEN INFORMACIÓN PÚBLICA AÚN Y CUANDO SU DIFUSIÓN PUEDE AFECTAR LA VIDA O LA SEGURIDAD DE AQUELLOS.</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tl w:val="0"/>
        </w:rPr>
      </w:r>
    </w:p>
    <w:p w:rsidR="00000000" w:rsidDel="00000000" w:rsidP="00000000" w:rsidRDefault="00000000" w:rsidRPr="00000000" w14:paraId="00000075">
      <w:pPr>
        <w:tabs>
          <w:tab w:val="left" w:leader="none" w:pos="7513"/>
        </w:tabs>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Si bien el artículo 13, fracción IV, de la Ley Federal de Transparencia y  Acceso  a la información Pública Gubernamental establece que debe clasificarse como información confidencial la que conste en expedientes administrativos cuya difusión  pueda poner en riesgo la vida, la seguridad o la salud de cualquier persona, debe reconocerse que aun y  cuando en ese supuesto podría encuadrar la relativa a las percepciones ordinarias y extraordinaria de los servidores públicos, ello no obsta para reconocer que el legislador estableció en el artículo 7 de ese mismo ordenamiento que la referida información, como una obligación de trasparencia,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deben publicarse en medios remotos o locales de comunicación electrónica, lo que se sustenta en el hecho de que el monto de todos los ingresos que recibe un servidor público por desarrollar las labores que les son encomendadas con motivo del desempeño del cargo respecto. Constituyen información pública, en tanto que se trata de erogaciones que realiza un órgano del Estado en base con los recursos que encuentran su origen en mayor medida en las contribuciones aportados por los gobernados</w:t>
      </w:r>
      <w:r w:rsidDel="00000000" w:rsidR="00000000" w:rsidRPr="00000000">
        <w:rPr>
          <w:rFonts w:ascii="Palatino Linotype" w:cs="Palatino Linotype" w:eastAsia="Palatino Linotype" w:hAnsi="Palatino Linotype"/>
          <w:i w:val="1"/>
          <w:iCs w:val="1"/>
          <w:sz w:val="22"/>
          <w:szCs w:val="22"/>
          <w:u w:val="single"/>
          <w:rtl w:val="0"/>
        </w:rPr>
        <w:t xml:space="preserve">…”</w:t>
      </w:r>
      <w:r w:rsidDel="00000000" w:rsidR="00000000" w:rsidRPr="00000000">
        <w:rPr>
          <w:rtl w:val="0"/>
        </w:rPr>
      </w:r>
    </w:p>
    <w:p w:rsidR="00000000" w:rsidDel="00000000" w:rsidP="00000000" w:rsidRDefault="00000000" w:rsidRPr="00000000" w14:paraId="00000076">
      <w:pPr>
        <w:tabs>
          <w:tab w:val="left" w:leader="none" w:pos="7513"/>
        </w:tabs>
        <w:spacing w:line="360" w:lineRule="auto"/>
        <w:ind w:left="851" w:right="616" w:firstLine="0"/>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7">
      <w:pPr>
        <w:tabs>
          <w:tab w:val="left" w:leader="none" w:pos="7513"/>
        </w:tabs>
        <w:spacing w:line="360" w:lineRule="auto"/>
        <w:ind w:left="851" w:right="616" w:firstLine="0"/>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“Criterio 02/2003.</w:t>
      </w:r>
      <w:r w:rsidDel="00000000" w:rsidR="00000000" w:rsidRPr="00000000">
        <w:rPr>
          <w:rtl w:val="0"/>
        </w:rPr>
      </w:r>
    </w:p>
    <w:p w:rsidR="00000000" w:rsidDel="00000000" w:rsidP="00000000" w:rsidRDefault="00000000" w:rsidRPr="00000000" w14:paraId="00000078">
      <w:pPr>
        <w:tabs>
          <w:tab w:val="left" w:leader="none" w:pos="7513"/>
        </w:tabs>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INGRESOS DE LOS SERVIDORES PÚBLICOS, SON INFORMACIÓN PÚBLICA AÚN Y CUANDO CONSTITUYEN DATOS PERSONALES QUE SE REFIEREN AL PATRIMONIO DE AQUÉLLOS.</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tl w:val="0"/>
        </w:rPr>
      </w:r>
    </w:p>
    <w:p w:rsidR="00000000" w:rsidDel="00000000" w:rsidP="00000000" w:rsidRDefault="00000000" w:rsidRPr="00000000" w14:paraId="00000079">
      <w:pPr>
        <w:tabs>
          <w:tab w:val="left" w:leader="none" w:pos="7513"/>
        </w:tabs>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De la interpretación sistemática de lo previsto en los artículos 3º, fracción II; 7º, 9º y 18, fracción II, de la Ley Federal de Transparencia y Acceso a la Información Pública Gubernamental se advierte que no constituye información confidencial la relativa a los ingresos que reciben los servidores públicos, ya que aun y cuando se trata de datos personales relativos a su patrimonio, para su difusión no se requiere consentimiento de aquellos,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lo que deriva del hecho de que en términos de los previsto en el citado ordenamiento deben ponerse a disposición del público a través de medios remotos o locales de comunicación electrónica, tanto el directorio de servidores públicos como las remuneraciones mensuales por puesto incluso</w:t>
      </w:r>
      <w:r w:rsidDel="00000000" w:rsidR="00000000" w:rsidRPr="00000000">
        <w:rPr>
          <w:rFonts w:ascii="Palatino Linotype" w:cs="Palatino Linotype" w:eastAsia="Palatino Linotype" w:hAnsi="Palatino Linotype"/>
          <w:i w:val="1"/>
          <w:iCs w:val="1"/>
          <w:sz w:val="22"/>
          <w:szCs w:val="22"/>
          <w:rtl w:val="0"/>
        </w:rPr>
        <w:t xml:space="preserve"> el sistema de compensación…”</w:t>
      </w:r>
      <w:r w:rsidDel="00000000" w:rsidR="00000000" w:rsidRPr="00000000">
        <w:rPr>
          <w:rtl w:val="0"/>
        </w:rPr>
      </w:r>
    </w:p>
    <w:p w:rsidR="00000000" w:rsidDel="00000000" w:rsidP="00000000" w:rsidRDefault="00000000" w:rsidRPr="00000000" w14:paraId="0000007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B">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Máxime que lo solicitado está relacionado con la obligación de transparencia común prevista en el artículo 92, fracción VIII de la Ley de Transparencia y Acceso a la Información Pública del Estado de México y Municipios, </w:t>
      </w:r>
      <w:r w:rsidDel="00000000" w:rsidR="00000000" w:rsidRPr="00000000">
        <w:rPr>
          <w:rFonts w:ascii="Palatino Linotype" w:cs="Palatino Linotype" w:eastAsia="Palatino Linotype" w:hAnsi="Palatino Linotype"/>
          <w:b w:val="1"/>
          <w:bCs w:val="1"/>
          <w:sz w:val="22"/>
          <w:szCs w:val="22"/>
          <w:rtl w:val="0"/>
        </w:rPr>
        <w:t xml:space="preserve">relativa a las remuneraciones de los servidores públicos, que incluye, entre otros, sueldos y demás prestaciones</w:t>
      </w:r>
      <w:r w:rsidDel="00000000" w:rsidR="00000000" w:rsidRPr="00000000">
        <w:rPr>
          <w:rFonts w:ascii="Palatino Linotype" w:cs="Palatino Linotype" w:eastAsia="Palatino Linotype" w:hAnsi="Palatino Linotype"/>
          <w:sz w:val="22"/>
          <w:szCs w:val="22"/>
          <w:rtl w:val="0"/>
        </w:rPr>
        <w:t xml:space="preserve">, como se sigue: </w:t>
      </w:r>
    </w:p>
    <w:p w:rsidR="00000000" w:rsidDel="00000000" w:rsidP="00000000" w:rsidRDefault="00000000" w:rsidRPr="00000000" w14:paraId="0000007C">
      <w:pPr>
        <w:spacing w:line="360"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D">
      <w:pPr>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92.</w:t>
      </w:r>
      <w:r w:rsidDel="00000000" w:rsidR="00000000" w:rsidRPr="00000000">
        <w:rPr>
          <w:rFonts w:ascii="Palatino Linotype" w:cs="Palatino Linotype" w:eastAsia="Palatino Linotype" w:hAnsi="Palatino Linotype"/>
          <w:i w:val="1"/>
          <w:iCs w:val="1"/>
          <w:sz w:val="22"/>
          <w:szCs w:val="22"/>
          <w:rtl w:val="0"/>
        </w:rPr>
        <w:t xml:space="preserve"> Los sujetos obligados deberán poner a disposición del público de manera permanente y actualizada de forma sencilla, precisa y entendible, en los respectivos medios electrónicos, de acuerdo con sus facultades, atribuciones, funciones u objeto social, según corresponda, la información, por lo menos, de los temas, documentos y políticas que a continuación se señalan: </w:t>
      </w:r>
      <w:r w:rsidDel="00000000" w:rsidR="00000000" w:rsidRPr="00000000">
        <w:rPr>
          <w:rtl w:val="0"/>
        </w:rPr>
      </w:r>
    </w:p>
    <w:p w:rsidR="00000000" w:rsidDel="00000000" w:rsidP="00000000" w:rsidRDefault="00000000" w:rsidRPr="00000000" w14:paraId="0000007E">
      <w:pPr>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tl w:val="0"/>
        </w:rPr>
      </w:r>
    </w:p>
    <w:p w:rsidR="00000000" w:rsidDel="00000000" w:rsidP="00000000" w:rsidRDefault="00000000" w:rsidRPr="00000000" w14:paraId="0000007F">
      <w:pPr>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VIII.</w:t>
      </w:r>
      <w:r w:rsidDel="00000000" w:rsidR="00000000" w:rsidRPr="00000000">
        <w:rPr>
          <w:rFonts w:ascii="Palatino Linotype" w:cs="Palatino Linotype" w:eastAsia="Palatino Linotype" w:hAnsi="Palatino Linotype"/>
          <w:i w:val="1"/>
          <w:iCs w:val="1"/>
          <w:sz w:val="22"/>
          <w:szCs w:val="22"/>
          <w:rtl w:val="0"/>
        </w:rPr>
        <w:t xml:space="preserve"> La remuneración bruta y neta de todos los servidores públicos de base o de confianza, de todas las percepciones, incluyendo sueldos, prestaciones, gratificaciones, primas, comisiones, dietas, bonos, estímulos, ingresos y sistemas de compensación, señalando la periodicidad de dicha remuneración;”</w:t>
      </w:r>
      <w:r w:rsidDel="00000000" w:rsidR="00000000" w:rsidRPr="00000000">
        <w:rPr>
          <w:rtl w:val="0"/>
        </w:rPr>
      </w:r>
    </w:p>
    <w:p w:rsidR="00000000" w:rsidDel="00000000" w:rsidP="00000000" w:rsidRDefault="00000000" w:rsidRPr="00000000" w14:paraId="00000080">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1">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dentro del ámbito competencial del ente obligado, se desprende que este cuenta con una Tesorería Municipal, misma que conforme los artículos 93 y 95 de la Ley Orgánica Municipal del Estado de México, tiene dentro de sus atribuciones las siguientes:</w:t>
      </w:r>
    </w:p>
    <w:p w:rsidR="00000000" w:rsidDel="00000000" w:rsidP="00000000" w:rsidRDefault="00000000" w:rsidRPr="00000000" w14:paraId="0000008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Administrar la hacienda pública municipal, de conformidad con las disposiciones legales aplicables.</w:t>
      </w:r>
    </w:p>
    <w:p w:rsidR="00000000" w:rsidDel="00000000" w:rsidP="00000000" w:rsidRDefault="00000000" w:rsidRPr="00000000" w14:paraId="0000008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Llevar los registros contables, financieros y administrativos de los ingresos, egresos, e inventarios.</w:t>
      </w:r>
    </w:p>
    <w:p w:rsidR="00000000" w:rsidDel="00000000" w:rsidP="00000000" w:rsidRDefault="00000000" w:rsidRPr="00000000" w14:paraId="00000086">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ahí que la Tesorería Municipal es la competente para conocer, en lo relativo a los recibos de nómina peticionados, al ser la encargada de llevar el registro de los egresos del Ayuntamiento.</w:t>
      </w:r>
    </w:p>
    <w:p w:rsidR="00000000" w:rsidDel="00000000" w:rsidP="00000000" w:rsidRDefault="00000000" w:rsidRPr="00000000" w14:paraId="0000008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9">
      <w:pPr>
        <w:spacing w:line="360" w:lineRule="auto"/>
        <w:ind w:right="49"/>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Por tanto, se colige que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cuenta con las competencias, facultades y atribuciones para conocer, administrar y generar la información relacionada con los </w:t>
      </w:r>
      <w:r w:rsidDel="00000000" w:rsidR="00000000" w:rsidRPr="00000000">
        <w:rPr>
          <w:rFonts w:ascii="Palatino Linotype" w:cs="Palatino Linotype" w:eastAsia="Palatino Linotype" w:hAnsi="Palatino Linotype"/>
          <w:b w:val="1"/>
          <w:bCs w:val="1"/>
          <w:sz w:val="22"/>
          <w:szCs w:val="22"/>
          <w:rtl w:val="0"/>
        </w:rPr>
        <w:t xml:space="preserve">recibos de nómina del personal solicitado.</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49"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Por otra parte, es imprescindible mencionar que las Unidades de Transparencia, son el área responsable en cada Sujeto Obligado para dar atención a las solicitudes de información que se realicen al amparo de la Ley, el responsable de dicha área funge como enlace entre el Sujeto Obligado y los solicitantes, y tiene bajo su responsabilidad el tramitar internamente la solicitud de información.</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De tal manera que, si bien el Titular de la Unidad de Transparencia no tiene bajo su resguardo el archivo que contiene la documentación en donde consta la información solicitada, esta puede obrar en las distintas áreas que conforman la estructura orgánica del Sujeto Obligado, es por ello que debe turnar la solicitud al servidor público habilitado que tiene bajo su resguardo la misma, de conformidad con los artículos 53, fracciones II y IV y 162 de la Ley de Transparencia y Acceso a la Información Pública del Estado de México y Municipios.</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51"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Por su parte,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single"/>
          <w:shd w:fill="auto" w:val="clear"/>
          <w:vertAlign w:val="baseline"/>
          <w:rtl w:val="0"/>
        </w:rPr>
        <w:t xml:space="preserve">los servidores públicos habilitados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quienes son designados por el titular de cada Sujeto Obligado derivado de la propuesta del responsable de la Unidad de Transparencia,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single"/>
          <w:shd w:fill="auto" w:val="clear"/>
          <w:vertAlign w:val="baseline"/>
          <w:rtl w:val="0"/>
        </w:rPr>
        <w:t xml:space="preserve">son las personas encargadas dentro de las diversas unidades administrativas o áreas de los Sujeto Obligado, de apoyar, gestionar y entregar la información o datos personales que se ubiquen en la misma, a sus respectivas unidades de transparencia</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respecto de las solicitudes presentadas, y aportar en primera instancia el fundamento y motivación de la clasificación de la información,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single"/>
          <w:shd w:fill="auto" w:val="clear"/>
          <w:vertAlign w:val="baseline"/>
          <w:rtl w:val="0"/>
        </w:rPr>
        <w:t xml:space="preserve">teniendo como función buscar, localizar y en su caso entregar la información solicitada</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así como integrar y presentar al responsable de la Unidad de Transparencia la propuesta de clasificación de información, la cual tendrá los fundamentos y argumentos en que se basa dicha propuesta y verificar, una vez analizado el contenido de la información, que no se encuentre en los supuestos de información clasificada, de conformidad con los artículos 3, fracción XXXIX, 58 y 59, de la Ley de Transparencia y Acceso a la Información Pública del Estado de México y Municipios.</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De lo manifestado con antelación se advierte que la persona Titular de la Unidad de Transparencia debe garantizar que las solicitudes se turnen a todas las áreas competentes que puedan contar con la información, con el objeto de que los servidores públicos habilitados realicen la búsqueda exhaustiva y razonable de la información solicitada, y que una vez localizada, la misma sea proporcionada a las personas solicitantes atendiendo a la naturaleza jurídica de la misma.</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49"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 esta línea de pensamiento, derivado del análisis de las constancias que obran en el expediente electrónico en el que se actúa, se advirtió que si bien el Titular de la Unidad de Transparencia siguió puntualmente el procedimiento establecido por el artículo 162 de la Ley de Transparencia y Acceso a la Información Pública del Estado de México y Municipios, ya que turnó la solicitud al área que puede conocer de la información requerida de conformidad con la fracción XXXIX del artículo tercero de la legislación local vigente en materia de transparencia: </w:t>
      </w:r>
    </w:p>
    <w:p w:rsidR="00000000" w:rsidDel="00000000" w:rsidP="00000000" w:rsidRDefault="00000000" w:rsidRPr="00000000" w14:paraId="0000008F">
      <w:pPr>
        <w:spacing w:line="360"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line="360" w:lineRule="auto"/>
        <w:ind w:left="864" w:right="864"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XXXIX. Servidor público habilitado: Persona encargada dentro de las diversas unidades administrativas o áreas del sujeto obligado, de apoyar, gestionar y entregar la información o datos personales que se ubiquen en la misma, a sus respectivas unidades de transparencia; respecto de las solicitudes presentadas y aportar en primera instancia el fundamento y motivación de la clasificación de la información. </w:t>
      </w:r>
      <w:r w:rsidDel="00000000" w:rsidR="00000000" w:rsidRPr="00000000">
        <w:rPr>
          <w:rtl w:val="0"/>
        </w:rPr>
      </w:r>
    </w:p>
    <w:p w:rsidR="00000000" w:rsidDel="00000000" w:rsidP="00000000" w:rsidRDefault="00000000" w:rsidRPr="00000000" w14:paraId="00000091">
      <w:pPr>
        <w:spacing w:line="360"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ffffff" w:val="clea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Cumpliendo con lo expresado en el artículo 162 de la Ley de Transparencia y Acceso a la Información Pública del Estado de México y Municipios, el cual menciona lo siguiente:</w:t>
      </w:r>
    </w:p>
    <w:p w:rsidR="00000000" w:rsidDel="00000000" w:rsidP="00000000" w:rsidRDefault="00000000" w:rsidRPr="00000000" w14:paraId="00000093">
      <w:pPr>
        <w:spacing w:line="360"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line="360" w:lineRule="auto"/>
        <w:ind w:left="864" w:right="864"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“Artículo 162. Las unidades de transparencia deberán garantizar que las solicitudes </w:t>
      </w:r>
      <w:r w:rsidDel="00000000" w:rsidR="00000000" w:rsidRPr="00000000">
        <w:rPr>
          <w:rFonts w:ascii="Palatino Linotype" w:cs="Palatino Linotype" w:eastAsia="Palatino Linotype" w:hAnsi="Palatino Linotype"/>
          <w:b w:val="1"/>
          <w:bCs w:val="1"/>
          <w:i w:val="1"/>
          <w:iCs w:val="1"/>
          <w:sz w:val="22"/>
          <w:szCs w:val="22"/>
          <w:rtl w:val="0"/>
        </w:rPr>
        <w:t xml:space="preserve">se turnen a todas las Áreas competentes </w:t>
      </w:r>
      <w:r w:rsidDel="00000000" w:rsidR="00000000" w:rsidRPr="00000000">
        <w:rPr>
          <w:rFonts w:ascii="Palatino Linotype" w:cs="Palatino Linotype" w:eastAsia="Palatino Linotype" w:hAnsi="Palatino Linotype"/>
          <w:i w:val="1"/>
          <w:iCs w:val="1"/>
          <w:sz w:val="22"/>
          <w:szCs w:val="22"/>
          <w:rtl w:val="0"/>
        </w:rPr>
        <w:t xml:space="preserve">que cuenten con la información o deban tenerla de acuerdo a sus facultades, competencias y funciones, con el objeto de que realicen una búsqueda exhaustiva y razonable de la información solicitada.”</w:t>
      </w: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No obstante, si bien en el caso se turnó la solicitud de información a la unidad administrativa competente, de las constancias que obran en el expediente aperturado con motivo del medio de impugnación que nos ocupa, se desprende que el Tesorero del Ayuntamiento se limitó a señalar que </w:t>
      </w:r>
      <w:r w:rsidDel="00000000" w:rsidR="00000000" w:rsidRPr="00000000">
        <w:rPr>
          <w:rFonts w:ascii="Palatino Linotype" w:cs="Palatino Linotype" w:eastAsia="Palatino Linotype" w:hAnsi="Palatino Linotype"/>
          <w:i w:val="1"/>
          <w:iCs w:val="1"/>
          <w:sz w:val="22"/>
          <w:szCs w:val="22"/>
          <w:rtl w:val="0"/>
        </w:rPr>
        <w:t xml:space="preserve">“Desconozco el significado de la palabra NOMIDA, así como también la palabra PESONAL..”</w:t>
      </w:r>
      <w:r w:rsidDel="00000000" w:rsidR="00000000" w:rsidRPr="00000000">
        <w:rPr>
          <w:rFonts w:ascii="Palatino Linotype" w:cs="Palatino Linotype" w:eastAsia="Palatino Linotype" w:hAnsi="Palatino Linotype"/>
          <w:sz w:val="22"/>
          <w:szCs w:val="22"/>
          <w:rtl w:val="0"/>
        </w:rPr>
        <w:t xml:space="preserve"> por lo que solicitó ser más exacto, respuesta que fue ratificada en informe justificado. </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este sentido, si bien se omite errores materiales en la redacción de la solicitud, dichos errores  de ninguna manera exime al servidor público habilitado de realizar una búsqueda razonable y congruente con los datos proporcionados en la solicitud, más aún si se considera que la hoy Recurrente sí aportó elementos mínimos de localización, y tales datos permitían al sujeto obligado desplegar una búsqueda en las áreas competentes. </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Además, si el servidor público habilitado estimaba que la solicitud carecía de datos suficientes para identificar con precisión la información solicitada, debió actuar conforme al procedimiento previsto en la Ley de Transparencia y Acceso a la Información Pública del Estado de México y Municipios, requiriendo la aclaración correspondiente a la persona solicitante, dentro del plazo legal, y no limitarse en la respuesta a señalar, de manera unilateral, que “..</w:t>
      </w:r>
      <w:r w:rsidDel="00000000" w:rsidR="00000000" w:rsidRPr="00000000">
        <w:rPr>
          <w:rFonts w:ascii="Palatino Linotype" w:cs="Palatino Linotype" w:eastAsia="Palatino Linotype" w:hAnsi="Palatino Linotype"/>
          <w:i w:val="1"/>
          <w:iCs w:val="1"/>
          <w:sz w:val="22"/>
          <w:szCs w:val="22"/>
          <w:rtl w:val="0"/>
        </w:rPr>
        <w:t xml:space="preserve">Desconozco el significado de la palabra NOMIDA, así como también la palabra PESONAL..” </w:t>
      </w:r>
      <w:r w:rsidDel="00000000" w:rsidR="00000000" w:rsidRPr="00000000">
        <w:rPr>
          <w:rFonts w:ascii="Palatino Linotype" w:cs="Palatino Linotype" w:eastAsia="Palatino Linotype" w:hAnsi="Palatino Linotype"/>
          <w:sz w:val="22"/>
          <w:szCs w:val="22"/>
          <w:rtl w:val="0"/>
        </w:rPr>
        <w:t xml:space="preserve">y solicitar ser más exacto. </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 ese contexto, los errores materiales u ortográficos en la redacción de la solicitud de información, por sí solos, no son una imposibilidad absoluta de búsqueda, máxime cuando la materia de la solicitud se relaciona remuneraciones de servidores públicos. </w:t>
      </w: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lo que, sirva la presente para exhortar al servidor público habilitado de la Tesorería Municipal a que, en futuras ocasiones, de cumplimiento a las solicitudes de acceso a la información que le son turnadas, a efecto de que la Unidad de Transparencia se encuentre en oportunidad de brindar la respuesta correspondiente en tiempo y forma.</w:t>
      </w:r>
    </w:p>
    <w:p w:rsidR="00000000" w:rsidDel="00000000" w:rsidP="00000000" w:rsidRDefault="00000000" w:rsidRPr="00000000" w14:paraId="0000009F">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0">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esta manera, el motivo de inconformidad hecho valer por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se considera que el mismo deviene fundado, en razón de que respecto de los recibos de nómina la Tesorería Municipal quien resulta ser el área competente, sin embargo su respuesta no satisface el derecho de acceso a la información del particular. </w:t>
      </w:r>
    </w:p>
    <w:p w:rsidR="00000000" w:rsidDel="00000000" w:rsidP="00000000" w:rsidRDefault="00000000" w:rsidRPr="00000000" w14:paraId="000000A1">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2">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Por tanto, a fin de restituir al particular en el ejercicio de su derecho de acceso a la información pública, resulta procedente </w:t>
      </w:r>
      <w:r w:rsidDel="00000000" w:rsidR="00000000" w:rsidRPr="00000000">
        <w:rPr>
          <w:rFonts w:ascii="Palatino Linotype" w:cs="Palatino Linotype" w:eastAsia="Palatino Linotype" w:hAnsi="Palatino Linotype"/>
          <w:b w:val="1"/>
          <w:bCs w:val="1"/>
          <w:sz w:val="22"/>
          <w:szCs w:val="22"/>
          <w:rtl w:val="0"/>
        </w:rPr>
        <w:t xml:space="preserve">Revocar </w:t>
      </w:r>
      <w:r w:rsidDel="00000000" w:rsidR="00000000" w:rsidRPr="00000000">
        <w:rPr>
          <w:rFonts w:ascii="Palatino Linotype" w:cs="Palatino Linotype" w:eastAsia="Palatino Linotype" w:hAnsi="Palatino Linotype"/>
          <w:sz w:val="22"/>
          <w:szCs w:val="22"/>
          <w:rtl w:val="0"/>
        </w:rPr>
        <w:t xml:space="preserve">la respuesta del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y ordenar que en cumplimiento a la presente se haga entrega, en versión pública: </w:t>
      </w: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770"/>
        </w:tabs>
        <w:spacing w:after="240" w:before="240" w:line="360" w:lineRule="auto"/>
        <w:ind w:left="360" w:right="51"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Los recibos de nómina correspondientes a la quincena número 21 (primera quincena de noviembre) del año 2025 de todos los servidores públicos adscritos al Ayuntamiento de Mexicatzingo.</w:t>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51"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Quinto. Versión Pública.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Como fue debidamente apuntado, 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debe satisfacer la solicitud de acceso a la información; sin embargo, dada la naturaleza de la información de la cual se ordena su entrega, deberá hacerse en versión pública, toda vez que en los documentos que se ordenan, existe la posibilidad de que obren datos que son considerados confidenciales, cuyo acceso debe ser restringido que deben testarse al momento de la versión pública, atento a lo siguiente:</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49"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El derecho de acceso a la información pública tiene como limitante el respeto a la intimidad y a la vida privada de las personas, es por ello que este Instituto debe cuidar que los datos personales que obren en poder de los Sujetos Obligados sean protegidos y únicamente se den a conocer aquéllos que garanticen la rendición de cuentas y la transparencia en el ejercicio de las atribuciones que tienen conferidas.</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49"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De este modo, en armonía entre los principios constitucionales de máxima publicidad y de protección de datos personales, la ley permite la elaboración de versiones públicas en las que se suprima aquella información relacionada con la vida privada de las personas.</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49"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Al respecto, los artículos 3, fracciones IX, XX, XXI, XXXII, XLV; 6, 91, 132, 137, 143, fracción I, de la Ley de Transparencia y Acceso a la Información Pública del Estado de México y Municipios vigente establecen:</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Artículo 3.</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Para los efectos de la presente Ley se entenderá por:</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IX. Datos personales</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La información concerniente a una persona, identificada o identificable según lo dispuesto por la Ley de Protección de Datos Personales del Estado de México;</w:t>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XX. Información clasificada</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Aquella considerada por la presente Ley como reservada o confidencial;</w:t>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XXI. Información confidencial</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XXXII. Protección de Datos Personales</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Derecho humano que tutela la privacidad de datos personales en poder de los sujetos obligados y sujetos particulares;</w:t>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XLV. Versión pública</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Documento en el que se elimine, suprime o borra la información clasificada como reservada o confidencial para permitir su acceso.</w: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 Artículo 6</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Los datos personales son irrenunciables, intransferibles e indelegables, por lo que los sujetos obligados no deberán proporcionar o hacer pública la información que contenga, con excepción de aquellos casos en que deban hacerlo en observancia de las disposiciones aplicables. En el caso de los derechos de acceso, rectificación, cancelación u oposición; los principios, procedimientos, medidas de seguridad en el tratamiento y demás disposiciones en materia de datos personales, se deberá estar a lo dispuesto en las leyes de la materia.</w: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Artículo 91.</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El acceso a la información pública será restringido excepcionalmente, cuando ésta sea clasificada como reservada o confidencial.</w:t>
        <w:br w:type="textWrapping"/>
        <w:t xml:space="preserve">…</w:t>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Artículo 132.</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La clasificación de la información se llevará a cabo en el momento en que:</w:t>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Se reciba una solicitud de acceso a la información;</w:t>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Se determine mediante resolución de autoridad competente; o</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Se generen versiones públicas para dar cumplimiento a las obligaciones de transparencia previstas en esta Ley.</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Artículo 137.</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Cuando un mismo medio, impreso o electrónico, contenga información pública y reservada o confidencial, la Unidad de Transparencia para efectos de atender una solicitud de información, deberán elaborar una versión pública en la que se testen las partes o secciones clasificadas, indicando su contenido de manera genérica y fundando y motivando su clasificación.</w:t>
      </w: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 Artículo 143.</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Para los efectos de esta Ley se considera información confidencial, la clasificada como tal, de manera permanente, por su naturaleza, cuando:</w:t>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Se refiera a la información privada y los datos personales concernientes a una persona física o jurídico colectiva identificada o identificable...”</w:t>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5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De los preceptos anteriores se desprende que cuando un documento que vaya a ser entregado vía acceso a la información pública, contenga tanto información de interés público como información que debe ser clasificada, se hará la entrega del mismo, testando las secciones o datos que deban ser clasificados; por ende 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deberá proceder a testar los datos personales que se encuentre contenidos en los documentos a entregar para satisfacer el derecho de acceso a la información pública de la parte Recurrente, esto es, los datos concernientes a una persona identificada o identificable, o aquellos datos que tengan el carácter de sensibles, es decir los que afectan  la esfera más íntima de su titular o cuya utilización indebida pueda dar origen a discriminación o conlleven un riesgo grave para aquel de acuerdo a los que señala la fracción XII del artículo 4 de la Ley de Protección de Datos Personales en posesión de Sujeto Obligados del Estado de México.</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5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 el caso específico, la información que se ordena si bien tiene el carácter información pública en razón de que se trata de documentos que se encuentran en posesión del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derivado del ejercicio de sus atribuciones, tal como quedo acotado en el cuerpo de la presente Resolución, también contienen los datos personales de servidores públicos, que de hacerse públicos afectarían su intimidad y vida privada; es por ello que es criterio reiterado en las resoluciones de este Pleno que, además de los datos especificados en la Ley de Transparencia y Acceso a la Información Pública del Estado de México y Municipios, se consideran confidenciales y por tanto deben testarse al momento de la elaboración de versiones públicas 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Registro Federal de Contribuyentes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(RFC), la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Clave Única de Registro de Población</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(CURP), la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Clave de cualquier tipo de seguridad social</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(ISSEMYM, u otros), los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números de cuentas bancarias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claves estandarizadas – interbancarias - (CLABES) y de tarjetas, los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préstamos o descuentos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que se le hagan a la persona y que no tengan relación con los impuestos o la cuota por seguridad social, el</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 número de empleado,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y, de ser el caso, 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folio fiscal</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la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cadena original,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los</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 códigos bidimensionales o códigos QR,</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y cualquier información de carácter fiscal.</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5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Por cuanto hace al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Registro Federal de Contribuyentes, RFC,</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de las personas físicas, constituye un dato personal, pues se genera con caracteres alfanuméricos a partir del nombre y la fecha de nacimiento de cada persona, y finalmente la homoclave, por lo que para su obtención es necesario acreditar ante la autoridad fiscal previamente la identidad de la persona, su fecha de nacimiento, entre otros aspectos.</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Ahora bien, las personas físicas tramitan su inscripción en el registro con el propósito de realizar —mediante esa clave de identificación— operaciones o actividades de naturaleza fiscal, la cual, les permite hacerse identificables respecto de una situación fiscal determinada.</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Sirve de apoyo a lo anterior, el criterio orientador con clave de control SO/019/2017, emitido por el entonces Instituto Nacional de Transparencia, Acceso a la Información y Protección de Datos Personales, que por rubro y texto, dispone lo siguiente:</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90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“Registro Federal de Contribuyentes (RFC) de personas físicas</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El RFC es una clave de carácter fiscal, única e irrepetible, que permite identificar al titular, su edad y fecha de nacimiento, por lo que es un dato personal de carácter confidencial.”</w:t>
      </w: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Así, el Registro Federal de Contribuyentes, RFC, se vincula al nombre de su titular y permite identificar la edad de la persona, su fecha de nacimiento, así como su homoclave, la cual es única e irrepetible y determina la identificación de dicha persona para efectos fiscales, por lo que constituye un dato personal que concierne a una persona física identificada e identificable en términos de los artículos 3, fracción IX de la Ley de Transparencia y Acceso a la Información Pública del Estado de México y Municipios, y  4 fracciones XI y XII de la Ley de Protección de Datos Personales en Posesión de los Sujetos Obligados del Estado de México y Municipios.</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De igual manera la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Clave Única de Registro de Población</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CURP,</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constituye un dato personal, ya que tiene como finalidad registrar a cada una de las personas que integran la población del país, con datos que permitan certificar y acreditar fehacientemente su identidad, en virtud de que se integra por datos personales que únicamente le conciernen a un particular como son su fecha de nacimiento, su nombre, sus apellidos y su lugar de nacimiento; información que permite distinguirlo del resto de los habitantes, por tal motivo, se considera que es de carácter confidencial.</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Argumento que se sustenta con el criterio orientador con clave de control SO/018/2017 emitido por el entonces Instituto Nacional de Transparencia, Acceso a la Información y Protección de Datos Personales, INAI, el cual refiere:</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851"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 “Clave Única de Registro de Población (CURP).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La Clave Única de Registro de Población se integra por datos personales que sólo conciernen al particular titular de la misma, como lo son su nombre, apellidos, fecha de nacimiento, lugar de nacimiento y sexo. Dichos datos, constituyen información que distingue plenamente a una persona física del resto de los habitantes del país, por lo que la CURP está considerada como información confidencial.”</w: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Por lo que respecta a la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clave de seguridad social</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en virtud de que su divulgación no aporta a la transparencia o a la rendición de cuentas y sí provoca una transgresión a la vida privada e intimidad de la persona, esta información también resulta ser de carácter confidencial.</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Respecto de los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números de cuentas bancari</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as,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claves estandarizadas –interbancarias- (CLABES) y de tarjetas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el Pleno de este Instituto ha determinado que esa información debe clasificarse como confidencial, y elaborarse una versión pública en la que se teste la misma.</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Igualmente, resulta importante destacar que el número de cuenta bancaria de las personas físicas es información que sólo su titular o personas autorizadas poseen para el acceso o consulta de información patrimonial, o para la realización de operaciones bancarias de diversa naturaleza, por lo que la difusión pública del mismo facilitaría la afectación al patrimonio del titular de la cuenta.</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Por lo anterior, el número de cuenta bancaria debe ser clasificado como confidencial con fundamento en las fracciones I y II del artículo 143 de la Ley de la Materia vigente en la Entidad; en razón de que con su difusión se estaría poniendo en riesgo la seguridad de su titular.</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 esa virtud, este Pleno determina que dicha información no puede ser del dominio público, toda vez que se podría dar un uso inadecuado a la misma o cometer algún ilícito o fraude como ya ha sido expuesto. </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Lo anterior no es así tratándose de las cuentas bancarias o claves interbancarias de los Sujetos Obligados ya que su publicidad cede a la rendición de cuentas al transparentar la forma en que son administrados los recursos públicos.</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Lo argumentado encuentra sustento en los Criterios orientadores con  Clave de control SO/010/2017 y SO/011/2017, emitidos por el entonces Instituto Nacional de Transparencia, Acceso a la Información y Protección de Datos Personales, INAI, que llevan por rubro y texto los siguientes:</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851" w:right="90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Cuentas bancarias y/o CLABE interbancaria de personas físicas y morales privadas.</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El número de cuenta bancaria y/o CLABE interbancaria de particulares es información confidencial, al tratarse de un conjunto de caracteres numéricos utilizados por los grupos financieros para identificar las cuentas de sus clientes, a través de los cuales se puede acceder a información relacionada con su patrimonio y realizar diversas transacciones; por tanto, constituye información clasificada con fundamento en los artículos 116 de la Ley General de Transparencia y Acceso a la Información Pública y 113 de la Ley Federal de Transparencia y Acceso a la Información Pública.”</w: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851" w:right="90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“Cuentas bancarias y/o CLABE interbancaria de sujetos obligados que reciben y/o transfieren recursos públicos, son información pública.</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La difusión de las cuentas bancarias y claves interbancarias pertenecientes a un sujeto obligado favorece la rendición de cuentas al transparentar la forma en que se administran los recursos públicos, razón por la cual no pueden considerarse como información clasificada.”</w:t>
      </w: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Por cuanto hace a los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préstamos o descuentos de carácter personal</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en virtud de no tener relación con la prestación del servicio y al no involucrar instituciones públicas, se consideran datos confidenciales.</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Para entender los límites y alcances de esta restricción, es oportuno recurrir al artículo 84 de la Ley del Trabajo de los Servidores Públicos del Estado y Municipios:</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“ARTÍCULO 84.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Sólo podrán hacerse retenciones, descuentos o deducciones al sueldo de los servidores públicos por concepto de:</w:t>
      </w: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Gravámenes fiscales relacionados con el sueldo;</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Deudas contraídas con las instituciones públicas o dependencias por concepto de anticipos de sueldo, pagos hechos con exceso, errores o pérdidas debidamente comprobados;</w:t>
      </w: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Cuotas sindicales</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IV.</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Cuotas de aportación a fondos para la constitución de cooperativas y de cajas de ahorro, siempre que el servidor público hubiese manifestado previamente, de manera expresa, su conformidad;</w:t>
      </w: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V.</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Descuentos ordenados por el Instituto de Seguridad Social del Estado de México y Municipios, con motivo de cuotas y obligaciones contraídas con éste por los servidores públicos;</w:t>
      </w: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VI.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Obligaciones a cargo del servidor público con las que haya consentido, derivadas de la adquisición o del uso de habitaciones consideradas como de interés social;</w:t>
      </w: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VII.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Faltas de puntualidad o de asistencia injustificadas;</w:t>
      </w: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VIII. Pensiones alimenticias ordenadas por la autoridad judicial;</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o</w:t>
      </w: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IX. Cualquier otro convenido con instituciones de servicios y aceptado por el servidor público.</w:t>
      </w: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El monto total de las retenciones, descuentos o deducciones no podrá exceder del 30% de la remuneración total, excepto en los casos a que se refieren las fracciones IV, V y VI de este artículo, en que podrán ser de hasta el 50%, salvo en los casos en que se demuestre que el crédito se concedió con base en los ingresos familiares para hacer posible el derecho constitucional a una vivienda digna, o se refieran a lo establecido en la fracción VIII de este artículo, en que se ajustará a lo determinado por la autoridad judicial.” </w:t>
      </w: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Como se puede observar, el precepto citado establece claramente cuáles son esos descuentos o gravámenes que directamente se relacionan con las obligaciones adquiridas como servidores públicos y aquéllos que únicamente inciden en su vida privada. </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De este modo, los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descuentos o deducciones por cuotas sindicales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pensiones alimenticias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o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créditos adquiridos con instituciones privadas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entre otros que no se relacionen con el gasto público, al revelar parte de las decisiones que adopta una persona respecto del uso y destino de su remuneración salarial, lo cual incide en la manera en que se integra su patrimonio,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es información que no es de carácter público, sino que constituye información confidencial</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en virtud de que corresponde con decisiones personales, y por tanto, se debe clasificar.</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Las claves y conceptos de los descuentos personales guardan también la misma naturaleza que los importes, ya que al hacerse públicas, es posible inferir que cierto servidor público tiene determinada deducción personal, misma que se relaciona con su esfera más íntima de privacidad, asimismo, en aquellos casos en los que sólo se tenga una deducción, inclusive es posible deducir el importe de la misma, derivado de los cálculos que se hagan respecto al sueldo bruto y sueldo neto.</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 conclusión, la información relacionada con los préstamos o descuentos de carácter personal, en virtud de no tener relación con la prestación del servicio y al no involucrar instituciones públicas, se consideran datos confidenciales.</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Con relación al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número de empleado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debe precisarse que este constituye un código, en virtud del cual, los trabajadores pueden acceder a un sistema de datos o información de la dependencia o entidad a la que pertenecen, a fin de presentar consultas relacionadas con su situación laboral particular, siendo un número único, permanente e intransferible que se asigna para llevar un registro de los trabajadores.</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Bajo esos argumentos, se entendería que la información relativa al número de empleado constituye información confidencial al tratarse de un número de identificación personal a través del cual se puede consultar la situación laboral personal, empero el Pleno del entonces Instituto Nacional de Transparencia, Acceso a la Información, y Protección de Datos Personales, INAI  se ha pronunciado sobre su publicidad, a través del Criterio orientador con clave de control SO/006/2019, que indica lo siguiente:</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993" w:right="99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“Número de empleado.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Cuando el número de empleado o su equivalente, se integra con datos personales de los trabajadores o funciona como una clave de acceso que no requiere adicionalmente de una contraseña para ingresar a sistemas o bases de datos personales, procede su clasificación como información confidencial.”</w:t>
      </w: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 atención al criterio de interpretación, se advierten dos supuestos para catalogar la información concerniente al número de empleado o equivalente, el primero es considerar la información como confidencial, siempre y cuando se integre con datos personales o que permita acceder a ellos sin necesidad de alguna contraseña, y el segundo supuesto es considerar que la información es susceptible de entregarse siempre que requiera una contraseña para acceder a los datos personales o cuando su conformación no revele los mismos, por consiguiente, en el caso concreto, 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deberá acatar lo establecido y de ser procedente, entregará el número de empleado o equivalente de los servidores públicos materia de la solicitud, o en su caso, los clasificará como información confidencial, a través del Acuerdo emitido por su Comité de Transparencia conforme a la Ley de la Materia.</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De la información fiscal</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La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Cadena Original</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es la secuencia de datos formada con la información contenida dentro de los comprobantes fiscales, entre los que podría encontrarse de manera enunciativa, más no limitativa, el RFC del receptor, es decir del servidor público. En dicho supuesto, la cadena original constituiría información que únicamente atañe al contribuyente, siendo tarea del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analizar dicha circunstancia con la finalidad de proteger, de ser el caso, la información a través de su clasificación por actualizarse el supuesto de confidencialidad.</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Los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códigos bidimensionales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o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códigos QR,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al corresponder a barras en dos dimensiones que, al igual que los códigos de barras o códigos unidimensionales, son utilizados para almacenar diversos tipos de datos de manera codificada, los cuales a través de lectores que pueden ser obtenidos por cualquier persona, pueden contener datos personales, no susceptibles de conocimiento público, debiendo 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analizar dicha circunstancia con la finalidad de determinar si se actualiza algún supuesto de confidencialidad.</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 tal sentido, si derivado del análisis efectuado por 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en el presente caso, se desprende que, de la información fiscal contenida en los comprobantes fiscales digitales por internet, tales como cadenas, sellos digitales y/o códigos bidimensionales, se pueden obtener datos personales como el Registro Federal de Contribuyentes, la Clave Única del Registro de Población, entre otros no susceptibles de conocimiento público que, de difundirse, pudieran vulnerar la esfera más íntima de privacidad de su titular, deberá clasificarla como confidencial, de manera fundada y motivada en términos del artículo 143, fracción I de la Ley de Transparencia y Acceso a la Información Pública del Estado de México y Municipios.</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Sobre la firma de servidores públicos, es de señalar que se trata de un dato de naturaleza pública cuando se vincula al ejercicio de la función pública, pues documenta y rinde cuentas sobre el debido ejercicio de sus atribuciones.</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49"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Sirve de apoyo a lo anterior el criterio orientador con clave de control SO/002/2019, emitido por el entonces Instituto Nacional de Transparencia, Acceso a la Información y Protección de Datos Personales, cuyo rubro y texto establecen lo siguiente:</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Firma y rúbrica de servidores públicos.</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Si bien la firma y la rúbrica son datos personales confidenciales, cuando un servidor público emite un acto como autoridad, en ejercicio de las funciones que tiene conferidas, la firma o rúbrica mediante la cual se valida dicho acto es pública.”</w:t>
      </w: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Por otro lado, derivado de la información que se ordena entregar pudiera existir información de la Dirección de Seguridad Pública del Ayuntamiento o su equivalente, la cual ponga en riesgo los integrantes de las corporaciones policiacas, esto es así derivado de las funciones encomendadas en términos del artículo 21 párrafo noveno de la Constitución Política de los Estados Unidos Mexicanos, de las cuales comprende la prevención de los delitos, investigación y persecución para hacerla efectiva, lo cual permite a esta Ponencia proteger los datos de los servidores públicos que integran dicha Dirección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single"/>
          <w:shd w:fill="auto" w:val="clear"/>
          <w:vertAlign w:val="baseline"/>
          <w:rtl w:val="0"/>
        </w:rPr>
        <w:t xml:space="preserve">sólo por cuanto hace al nombre</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dejando intocable el rubro de percepciones que por su naturaleza conciernen a la ciudadanía por referirse a recursos de carácter público; circunstancia que en nada afecta al derecho tutelado por este Organismo Garante sino por el contrario también reafirma su compromiso con la rendición de cuentas del Estado y la protección a grupos vulnerables de acuerdo al cargo de seguridad Municipal, por lo que deberá testarse de igual manera sólo el nombre de los servidores públicos de la Policía Municipal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que desempeñen funciones operativas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Al respecto, la información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de los elementos que realizan funciones operativas, entre ellos su nombre, deben ser protegidos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con la finalidad de evitar la identificación de las personas al amparo de la protección a la vida, salud y seguridad; porque los miembros de las instituciones policiales o que realizan actividades operativas en materia de seguridad pública, se encuentran en un régimen de excepción a diferencia de los servidores públicos con funciones administrativas, ello obedece a que el sólo ejercicio de las funciones que tienen encomendadas lleva implícito el riesgo a su integridad, toda vez que son responsables de procurar el orden, la estabilidad y la defensa de la sociedad a la que pertenecen, lo que se traduce en la prevención de delitos y combate a los delincuentes.</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Es importante mencionar que la causal de reserva antes señalada, puede ubicarse en los supuestos previstos por los artículos 140 fracción IV de la Ley de Transparencia y  Acceso a la Información Pública del Estado de México y Municipios, que a su vez se vincula con la diversa del artículo 113 fracción V de la Ley General de Transparencia y Acceso a la Información Pública vigente a la fecha de presentación de la solicitud, así como los requisitos previstos por los numerales Vigésimo tercero y Trigésimo tercero, de los Lineamientos generales en materia de clasificación y desclasificación de la información, así como para la elaboración de versiones públicas, vigentes a la fecha de presentación de la solicitud, al aplicar la prueba de daño correspondiente.</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Como sustento de lo anterior, es preciso mencionar que 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actual Pleno de este Instituto ha sostenido el criterio de no dar a conocer los nombres de aquellos servidores públicos que realizan funciones operativas en materia de seguridad pública,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pues los vuelve identificables y posiblemente reconocibles para grupos delictivos, que pudieran relacionarlos directamente con actividades u operativos pasados, presentes o ubicarlos simplemente por el hecho de pertenecer a una organización que lleva a cabo actividades de prevención y salvaguarda de la integridad de las personas en el combate a la delincuencia; así, dicha información puede ser utilizada para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vulnerar la vida, seguridad o salud de dichos elementos, incluso la de sus familias o entorno social. </w:t>
      </w: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 tal contexto, es procedente la clasificación del nombre de los elementos operativos como información reservada, con el fin de no poner en riesgo su vida, salud y seguridad, dado que los hace identificables, y para no comprometer el cumplimiento de los objetivos en materia de seguridad pública, o bien, la consecución de la investigación de probables hechos delictivos y/o faltas administrativas; así como evitar que células delictivas neutralizar las acciones en materia de seguridad pública para la preservación del orden y la paz pública, por lo que, no se trata de una medida desproporcional, ni excesiva.</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 ese entendido, la leyenda de clasificación que se genere, deberá establecer ambos supuestos de clasificación: reserva y confidencialidad, en congruencia con los requisitos establecidos en los lineamientos citados.</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 este marco, cabe señalar que, si bien es cierto este Instituto de Transparencia, Acceso a la Información Pública y Protección de Datos Personales del Estado de México y Municipios tiene la misión de garantizar el derecho de acceso a la información pública de los particulares; también lo es que debe cuidar la protección de datos personales y sobre todo cuando traen implícito que se ponga en riesgo la vida o integridad de una persona, resulta necesario traer por analogía, el criterio orientador histórico 06/09, emitido por el entonces Instituto Federal de Acceso a la Información y Protección de Datos, que establece lo siguiente:</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“Nombres de servidores públicos dedicados a actividades en materia de seguridad, por excepción pueden considerarse información reservada.</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De conformidad con el artículo 7, fracciones I y III de la Ley Federal de Transparencia y Acceso a la Información Pública Gubernamental el nombre de los servidores públicos es información de naturaleza pública. No obstante lo anterior, el mismo precepto establece la posibilidad de que existan excepciones a las obligaciones ahí establecidas cuando la información actualice algunos de los supuestos de reserva o confidencialidad previstos en los artículos 13, 14 y 18 de la citada ley. En este sentido, se debe señalar que existen funciones a cargo de servidores públicos, tendientes a garantizar de manera directa la seguridad nacional y pública, a través de acciones preventivas y correctivas encaminadas a combatir a la delincuencia en sus diferentes manifestaciones. Así, es pertinente señalar que en el artículo 13, fracción I de la ley de referencia se establece que podrá clasificarse aquella información cuya difusión pueda comprometer la seguridad nacional y pública. En este orden de ideas, una de las formas en que la delincuencia puede llegar a poner en riesgo la seguridad del país es precisamente anulando, impidiendo u obstaculizando la actuación de los servidores públicos que realizan funciones de carácter operativo, mediante el conocimiento de dicha situación, por lo que la reserva de la relación de los nombres y las funciones que desempeñan los servidores públicos que prestan sus servicios en áreas de seguridad nacional o pública, puede llegar a constituirse en un componente fundamental en el esfuerzo que realiza el Estado Mexicano para garantizar la seguridad del país en sus diferentes vertientes.”</w:t>
      </w: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De dicho criterio, se desprende que existen funciones a cargo de servidores públicos, tendentes a garantizar de manera directa la seguridad pública, a través de acciones preventivas y correctivas, encaminadas a combatir a la delincuencia en sus diferentes manifestaciones; por lo que, una forma en que la delincuencia puede llegar a poner en riesgo la seguridad del País, Estado y Municipio, anulando, impidiendo u obstaculizando la actuación de los servidores públicos que realizan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funciones de carácter operativo.</w:t>
      </w: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Sirven de sustento a lo anterior las tesis jurisprudenciales emitidas por la Suprema corte de Justicia de la Nación, que son del literal siguiente:</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76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“DERECHO A LA INFORMACIÓN. SU EJERCICIO SE ENCUENTRA LIMITADO TANTO POR LOS INTERESES NACIONALES Y DE LA SOCIEDAD, COMO POR LOS DERECHOS DE TERCEROS.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El derecho a la información consagrado en la última parte del artículo 6o. de la Constitución Federal no es absoluto, sino que, como toda garantía, se halla sujeto a limitaciones o excepciones que se sustentan, fundamentalmente, en la protección de la seguridad nacional y en el respeto tanto a los intereses de la sociedad como a los derechos de los gobernados, limitaciones que, incluso, han dado origen a la figura jurídica del secreto de información que se conoce en la doctrina como "reserva de información" o "secreto burocrático". En estas condiciones, al encontrarse obligado el Estado, como sujeto pasivo de la citada garantía, a velar por dichos intereses, con apego a las normas constitucionales y legales, el mencionado derecho no puede ser garantizado indiscriminadamente, sino que el respeto a su ejercicio encuentra excepciones que lo regulan y a su vez lo garantizan, en atención a la materia a que se refiera; así, en cuanto a la seguridad nacional, se tienen normas que, por un lado, </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restringen el acceso a la información en esta materia, en razón de que su conocimiento público puede generar daños a los intereses nacionales y, por el otro, sancionan la inobservancia de esa reserva;</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por lo que hace al interés social, se cuenta con normas que tienden a proteger la averiguación de los delitos, la salud y la moral públicas, </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mientras que por lo que respecta a la protección de la persona existen normas que protegen el derecho a la vida o a la privacidad de los gobernados.</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76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“TRANSPARENCIA Y ACCESO A LA INFORMACIÓN PÚBLICA GUBERNAMENTAL. EL ARTÍCULO 14, FRACCIÓN I, DE LA LEY FEDERAL RELATIVA, NO VIOLA LA GARANTÍA DE ACCESO A LA INFORMACIÓN.</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El Tribunal en Pleno de la Suprema Corte de Justicia de la Nación en la tesis P. LX/2000 de rubro: "DERECHO A LA INFORMACIÓN. SU EJERCICIO SE ENCUENTRA LIMITADO TANTO POR LOS INTERESES NACIONALES Y DE LA SOCIEDAD, COMO POR LOS DERECHOS DE TERCEROS.", publicada en el Semanario Judicial de la Federación y su Gaceta, Novena Época, Tomo XI, abril de 2000, página 74, estableció que el ejercicio del derecho a la información no es irrestricto, sino que tiene límites que se sustentan en la protección de la seguridad nacional y en el respeto a los intereses de la sociedad y a los derechos de los gobernados, en atención a la materia de que se trate. En ese sentido, el citado precepto, al remitir a diversas normas ordinarias que establezcan restricciones a la información, no viola la garantía de acceso a la información contenida en el artículo 6o. de la Constitución Política de los Estados Unidos Mexicanos, porque es jurídicamente adecuado que en las leyes reguladoras de cada materia, </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el legislador federal o local establezca las restricciones correspondientes y clasifique a determinados datos como confidenciales o reservados, con la condición de que tales límites atiendan a intereses públicos o de los particulares y encuentren justificación racional en función del bien jurídico a proteger, es decir, que exista proporcionalidad y congruencia entre el derecho fundamental de que se trata y la razón que motive la restricción legislativa correspondiente</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la cual debe ser adecuada y necesaria para alcanzar el fin perseguido, de manera que las ventajas obtenidas con la reserva compensen el sacrificio que ésta implique para los titulares de la garantía individual mencionada o para la sociedad en general.”</w:t>
      </w: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El Acuerdo de Clasificación de Información, se emitirá en términos de lo dispuesto tanto como en los en los artículos 128 y 129 de la Ley de Transparencia y Acceso a la Información Pública del Estado de México y Municipios, como en los Lineamientos Generales en Materia de Clasificación y Desclasificación de la Información, así como para la elaboración de Versiones Públicas, publicados en el Diario Oficial de la Federación en fecha quince de abril de la presente anualidad, mediante ACUERDO del Consejo Nacional del Sistema Nacional de Transparencia, Acceso a la Información Pública y Protección de Datos Personales, motivando la referida clasificación al señalar las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single"/>
          <w:shd w:fill="auto" w:val="clear"/>
          <w:vertAlign w:val="baseline"/>
          <w:rtl w:val="0"/>
        </w:rPr>
        <w:t xml:space="preserve">razones, motivos o circunstancias especiales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que lo llevaron a concluir que el caso concreto, se ajustó a los supuestos previstos en la normatividad legal invocada como fundamento, para dichos efectos, debe proceder a su vez a realizar una prueba de daño, en la que se justificaran las razones, motivos y circunstancias que avalen que la divulgación de la información representa un riesgo real, demostrable e identificable de perjuicio significativo al interés público o a la seguridad nacional; que el riesgo de perjuicio que supondría la divulgación supera el interés público general de que se difunda, y que la limitación sea adecuada al principio de proporcionalidad y representa el medio menos restrictivo disponible para evitar el perjuicio.</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5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 tal contexto, es de señalar que la clasificación de la información no opera con la simple supresión de datos que se haga en los documentos de que se trate o con la simple decisión que tome el Servidor Público Habilitado o el Responsable de la Unidad de Transparencia del Sujeto Obligado, sino que ello deberá realizarse en términos de lo que disponen los artículos 49 fracción VIII, 53, fracción X y 59, fracción V, de la Ley en consulta, cuyo sentido literal es el siguiente:</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“Artículo 49.</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Los Comités de Transparencia</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tendrán las siguientes atribuciones:</w:t>
      </w: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VIII. Aprobar, modificar o revocar la clasificación de la información</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Artículo 53.</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Las </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Unidades de Transparencia</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tendrán las siguientes </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funciones</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X. Presentar ante el Comité, el proyecto de clasificación de información</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“Artículo 59.</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Los </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servidores públicos habilitados</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tendrán las </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funciones</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siguientes:</w:t>
      </w: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V. Integrar y presentar al responsable de la Unidad de Transparencia la propuesta de clasificación de información</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la cual tendrá los fundamentos y argumentos en que se basa dicha propuesta…”</w:t>
      </w: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Denotándose de dichos elementos normativos que el determinar la clasificación de la información es un trabajo en conjunto tanto de los Servidores Públicos Habilitados, de las Unidades de Transparencia y del Comité de Transparencia del Sujeto Obligado, teniendo el deber los primeros de ellos de presentar ante la Unidad de Transparencia la propuesta de la clasificación de la información, para que luego ésta presente ante al Comité de Transparencia de así resultar procedente el proyecto de clasificación de la información y finalmente sea éste último quien apruebe, modifique o revoque la clasificación de la información solicitada.</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Para lo cual, a su vez en el caso de información de carácter confidencial, se debe atender a lo que señala el artículo 149 de la Ley de Transparencia Local vigente, que se lee como sigue:</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Artículo 149.</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El </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acuerdo que clasifique la información como confidencial</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deberá contener un razonamiento lógico en el que demuestre que la información se encuentra en alguna o algunas de las hipótesis previstas en la presente Ley.” </w:t>
      </w: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51"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Es decir, 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a través de su Comité de Transparencia, deberá elaborar acuerdo que contenga un razonamiento lógico con el que se demuestre que la información que se testa de las versiones públicas que se sirva elaborar, encuadra en alguna de las hipótesis que contempla la Ley de la Materia en su artículo 143; ya que de lo contrario, se crearía la incertidumbre jurídica en relación a si lo entregado es formalmente una versión pública, o un documento ilegible, incompleto o tachado; en otras palabras si no se exponen de manera puntual las razones de la versión pública de la documentación entregada se estaría violentando el derecho de acceso a la información de la persona solicitante.</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51"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Asimismo, respecto a las formalidades que deberá llevar el acuerdo de clasificación que deberá emitir 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a través de su Comité de Transparencia, los Lineamientos Quincuagésimo y Quincuagésimo primero de los Lineamientos Generales en Materia de Clasificación y Desclasificación de la Información, así como para la Elaboración de Versiones Públicas, señalan lo siguiente:</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 “Quincuagésimo.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Los titulares de las áreas de los sujetos obligados podrán establecer sus propios modelos o formatos para la elaboración de versiones públicas de documentos o expedientes, siempre y cuando cumplan lo establecido en los presentes Lineamientos, así como en las correspondientes Leyes Generales. </w:t>
      </w: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Quincuagésimo primero.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Toda acta del Comité de Transparencia deberá contener: </w:t>
      </w: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El número de sesión y fecha; </w:t>
      </w: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El nombre del área que solicitó la clasificación de información; </w:t>
      </w: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La fundamentación legal y motivación correspondiente; </w:t>
      </w: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IV</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La resolución o resoluciones aprobadas; y </w:t>
      </w: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V</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La rúbrica o firma digital de cada integrante del Comité de Transparencia. </w:t>
      </w: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Las resoluciones del Comité en las que se haya determinado confirmar o modificar la clasificación de información pública como reservada, deberán incluir, cuando menos: </w:t>
      </w: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Los motivos y razonamientos que sustenten la confirmación o modificación de la prueba de daño;</w:t>
      </w: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Descripción de las partes o secciones reservadas, en caso de clasificación parcial</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El periodo por el que mantendrá su clasificación y fecha de expiración; y </w:t>
      </w: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IV.</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El nombre del titular y área encargada de realizar la versión pública del documento, en su caso. </w:t>
      </w: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En los casos en que se clasifique la información como reservada siempre se entregará o anexará la prueba de daño con la respuesta al solicitante. </w:t>
      </w: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En los casos de resoluciones del Comité de Transparencia en las que se confirme la clasificación de información confidencial solo se deberán de identificar los tipos de datos protegidos, de conformidad con el lineamiento trigésimo octavo.</w:t>
      </w: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Para la elaboración de las versiones públicas, además, se deberán observar las formalidades establecidas en los Lineamientos Quincuagésimo segundo, Quincuagésimo cuarto, Quincuagésimo quinto, Quincuagésimo séptimo y Quincuagésimo octavo, que establecen lo siguiente:</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Quincuagésimo segundo</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Para la clasificación y elaboración de versiones públicas de documentos que contengan información clasificada como reservada o confidencial, las áreas de los sujetos obligados deberán tomar las medidas pertinentes tendientes a asegurar que el espacio utilizado para testar la información no podrá ser empleado para la sobreposición de contenido distinto al autorizado por el Comité.</w:t>
      </w: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En el caso específico de la clasificación y elaboración de versiones públicas de documentos que contengan información confidencial, las áreas de los sujetos obligados deberán: </w:t>
      </w: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Fijar la fecha en que se elaboró la versión pública y la fecha en la cual el Comité de Transparencia confirmó dicha versión;</w:t>
      </w: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Señalar dentro del documento el tipo de información confidencial que fue testada en cada caso específico, de conformidad con el lineamiento trigésimo octavo; y</w:t>
      </w: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Señalar las personas o instancias autorizadas a acceder a la información clasificada.</w:t>
      </w: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En los documentos de difusión electrónica, señalar en la primera hoja y en el nombre del archivo, que la versión pública corresponde a un documento que contiene información confidencial.”</w:t>
      </w: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Quincuagésimo cuarto.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Cuando el Comité de Transparencia confirme la clasificación de documentos reservados y/o confidenciales, sea total o parcialmente; se deberá anexar al expediente la resolución que determinó la clasificación o, en su defecto, identificar en la carátula del expediente del cual formen parte, la fecha y sesión del Comité de Transparencia en la que se confirmó dicha clasificación.</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Quincuagésimo quinto.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Cada área del sujeto obligado podrá designar formalmente a una o más personas como responsables del testado,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w:t>
      </w: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Quincuagésimo séptimo</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Se considera, en principio, como información pública y no podrá omitirse de las versiones públicas la siguiente: </w:t>
      </w: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La relativa a las Obligaciones de Transparencia que contempla el Título V de la Ley General y las demás disposiciones legales aplicables; </w:t>
      </w: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El nombre de los integrantes de los sujetos obligados en los documentos, y sus firmas autógrafas o digitales, cuando sean utilizados en el ejercicio de las facultades conferidas para el desempeño del servicio público, y</w:t>
      </w: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La información que documente decisiones y los actos de autoridad concluidos de los sujetos obligados, así como el ejercicio de las facultades o actividades de los servidores públicos, de manera que se pueda valorar el desempeño de los mismos. </w:t>
      </w: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Lo anterior, siempre y cuando no se acredite alguna causal de clasificación, prevista en las leyes o en los tratados internacionales suscritas por el Estado mexicano.  </w:t>
      </w: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Quincuagésimo octavo</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Los sujetos obligados garantizarán que los sistemas o medios empleados para eliminar la información en las versiones públicas sean irreversibles, de tal forma que no permitan su recuperación o la visualización de la misma.”</w:t>
      </w: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Por lo anteriormente expuesto y con fundamento en lo prescrito en los artículos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y 186 fracción III de la Ley de Transparencia y Acceso a la Información Pública del Estado de México y Municipios, este Pleno: </w:t>
      </w:r>
    </w:p>
    <w:p w:rsidR="00000000" w:rsidDel="00000000" w:rsidP="00000000" w:rsidRDefault="00000000" w:rsidRPr="00000000" w14:paraId="00000127">
      <w:pPr>
        <w:pBdr>
          <w:top w:space="0" w:sz="0" w:val="nil"/>
          <w:left w:space="0" w:sz="0" w:val="nil"/>
          <w:bottom w:space="0" w:sz="0" w:val="nil"/>
          <w:right w:space="0" w:sz="0" w:val="nil"/>
          <w:between w:space="0" w:sz="0" w:val="nil"/>
        </w:pBdr>
        <w:tabs>
          <w:tab w:val="center" w:leader="none" w:pos="4252"/>
          <w:tab w:val="right" w:leader="none" w:pos="8504"/>
          <w:tab w:val="left" w:leader="none" w:pos="7770"/>
          <w:tab w:val="right" w:leader="none" w:pos="8838"/>
        </w:tabs>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28">
      <w:pPr>
        <w:pBdr>
          <w:top w:space="0" w:sz="0" w:val="nil"/>
          <w:left w:space="0" w:sz="0" w:val="nil"/>
          <w:bottom w:space="0" w:sz="0" w:val="nil"/>
          <w:right w:space="0" w:sz="0" w:val="nil"/>
          <w:between w:space="0" w:sz="0" w:val="nil"/>
        </w:pBdr>
        <w:spacing w:line="360" w:lineRule="auto"/>
        <w:jc w:val="center"/>
        <w:rPr>
          <w:rFonts w:ascii="Palatino Linotype" w:cs="Palatino Linotype" w:eastAsia="Palatino Linotype" w:hAnsi="Palatino Linotype"/>
          <w:b w:val="1"/>
          <w:bCs w:val="1"/>
          <w:sz w:val="22"/>
          <w:szCs w:val="22"/>
        </w:rPr>
      </w:pPr>
      <w:bookmarkStart w:colFirst="0" w:colLast="0" w:name="_heading=h.ijv98pntcd5s" w:id="8"/>
      <w:bookmarkEnd w:id="8"/>
      <w:r w:rsidDel="00000000" w:rsidR="00000000" w:rsidRPr="00000000">
        <w:rPr>
          <w:rFonts w:ascii="Palatino Linotype" w:cs="Palatino Linotype" w:eastAsia="Palatino Linotype" w:hAnsi="Palatino Linotype"/>
          <w:b w:val="1"/>
          <w:bCs w:val="1"/>
          <w:sz w:val="22"/>
          <w:szCs w:val="22"/>
          <w:rtl w:val="0"/>
        </w:rPr>
        <w:t xml:space="preserve">III. R E S U E L V E</w:t>
      </w:r>
    </w:p>
    <w:p w:rsidR="00000000" w:rsidDel="00000000" w:rsidP="00000000" w:rsidRDefault="00000000" w:rsidRPr="00000000" w14:paraId="00000129">
      <w:pPr>
        <w:spacing w:line="360" w:lineRule="auto"/>
        <w:jc w:val="both"/>
        <w:rPr>
          <w:rFonts w:ascii="Palatino Linotype" w:cs="Palatino Linotype" w:eastAsia="Palatino Linotype" w:hAnsi="Palatino Linotype"/>
          <w:b w:val="1"/>
          <w:bCs w:val="1"/>
          <w:sz w:val="22"/>
          <w:szCs w:val="22"/>
        </w:rPr>
      </w:pPr>
      <w:bookmarkStart w:colFirst="0" w:colLast="0" w:name="_heading=h.26in1rg" w:id="9"/>
      <w:bookmarkEnd w:id="9"/>
      <w:r w:rsidDel="00000000" w:rsidR="00000000" w:rsidRPr="00000000">
        <w:rPr>
          <w:rtl w:val="0"/>
        </w:rPr>
      </w:r>
    </w:p>
    <w:p w:rsidR="00000000" w:rsidDel="00000000" w:rsidP="00000000" w:rsidRDefault="00000000" w:rsidRPr="00000000" w14:paraId="0000012A">
      <w:pPr>
        <w:spacing w:line="360" w:lineRule="auto"/>
        <w:jc w:val="both"/>
        <w:rPr>
          <w:rFonts w:ascii="Palatino Linotype" w:cs="Palatino Linotype" w:eastAsia="Palatino Linotype" w:hAnsi="Palatino Linotype"/>
          <w:b w:val="1"/>
          <w:bCs w:val="1"/>
          <w:sz w:val="22"/>
          <w:szCs w:val="22"/>
        </w:rPr>
      </w:pPr>
      <w:bookmarkStart w:colFirst="0" w:colLast="0" w:name="_heading=h.h7nzb79wlra" w:id="10"/>
      <w:bookmarkEnd w:id="10"/>
      <w:r w:rsidDel="00000000" w:rsidR="00000000" w:rsidRPr="00000000">
        <w:rPr>
          <w:rFonts w:ascii="Palatino Linotype" w:cs="Palatino Linotype" w:eastAsia="Palatino Linotype" w:hAnsi="Palatino Linotype"/>
          <w:b w:val="1"/>
          <w:bCs w:val="1"/>
          <w:sz w:val="22"/>
          <w:szCs w:val="22"/>
          <w:rtl w:val="0"/>
        </w:rPr>
        <w:t xml:space="preserve">Primero. </w:t>
      </w:r>
      <w:r w:rsidDel="00000000" w:rsidR="00000000" w:rsidRPr="00000000">
        <w:rPr>
          <w:rFonts w:ascii="Palatino Linotype" w:cs="Palatino Linotype" w:eastAsia="Palatino Linotype" w:hAnsi="Palatino Linotype"/>
          <w:sz w:val="22"/>
          <w:szCs w:val="22"/>
          <w:rtl w:val="0"/>
        </w:rPr>
        <w:t xml:space="preserve">Resultan </w:t>
      </w:r>
      <w:r w:rsidDel="00000000" w:rsidR="00000000" w:rsidRPr="00000000">
        <w:rPr>
          <w:rFonts w:ascii="Palatino Linotype" w:cs="Palatino Linotype" w:eastAsia="Palatino Linotype" w:hAnsi="Palatino Linotype"/>
          <w:b w:val="1"/>
          <w:bCs w:val="1"/>
          <w:sz w:val="22"/>
          <w:szCs w:val="22"/>
          <w:rtl w:val="0"/>
        </w:rPr>
        <w:t xml:space="preserve">fundadas</w:t>
      </w:r>
      <w:r w:rsidDel="00000000" w:rsidR="00000000" w:rsidRPr="00000000">
        <w:rPr>
          <w:rFonts w:ascii="Palatino Linotype" w:cs="Palatino Linotype" w:eastAsia="Palatino Linotype" w:hAnsi="Palatino Linotype"/>
          <w:sz w:val="22"/>
          <w:szCs w:val="22"/>
          <w:rtl w:val="0"/>
        </w:rPr>
        <w:t xml:space="preserve"> las razones o motivos de inconformidad hechos valer por la parte</w:t>
      </w:r>
      <w:r w:rsidDel="00000000" w:rsidR="00000000" w:rsidRPr="00000000">
        <w:rPr>
          <w:rFonts w:ascii="Palatino Linotype" w:cs="Palatino Linotype" w:eastAsia="Palatino Linotype" w:hAnsi="Palatino Linotype"/>
          <w:b w:val="1"/>
          <w:bCs w:val="1"/>
          <w:sz w:val="22"/>
          <w:szCs w:val="22"/>
          <w:rtl w:val="0"/>
        </w:rPr>
        <w:t xml:space="preserve"> Recurrente</w:t>
      </w:r>
      <w:r w:rsidDel="00000000" w:rsidR="00000000" w:rsidRPr="00000000">
        <w:rPr>
          <w:rFonts w:ascii="Palatino Linotype" w:cs="Palatino Linotype" w:eastAsia="Palatino Linotype" w:hAnsi="Palatino Linotype"/>
          <w:sz w:val="22"/>
          <w:szCs w:val="22"/>
          <w:rtl w:val="0"/>
        </w:rPr>
        <w:t xml:space="preserve"> en el recurso de revisión </w:t>
      </w:r>
      <w:r w:rsidDel="00000000" w:rsidR="00000000" w:rsidRPr="00000000">
        <w:rPr>
          <w:rFonts w:ascii="Palatino Linotype" w:cs="Palatino Linotype" w:eastAsia="Palatino Linotype" w:hAnsi="Palatino Linotype"/>
          <w:b w:val="1"/>
          <w:bCs w:val="1"/>
          <w:sz w:val="22"/>
          <w:szCs w:val="22"/>
          <w:rtl w:val="0"/>
        </w:rPr>
        <w:t xml:space="preserve">06479/INFOEM/IP/RR/2026</w:t>
      </w:r>
      <w:r w:rsidDel="00000000" w:rsidR="00000000" w:rsidRPr="00000000">
        <w:rPr>
          <w:rFonts w:ascii="Palatino Linotype" w:cs="Palatino Linotype" w:eastAsia="Palatino Linotype" w:hAnsi="Palatino Linotype"/>
          <w:sz w:val="22"/>
          <w:szCs w:val="22"/>
          <w:rtl w:val="0"/>
        </w:rPr>
        <w:t xml:space="preserve">; por lo que, en términos del </w:t>
      </w:r>
      <w:r w:rsidDel="00000000" w:rsidR="00000000" w:rsidRPr="00000000">
        <w:rPr>
          <w:rFonts w:ascii="Palatino Linotype" w:cs="Palatino Linotype" w:eastAsia="Palatino Linotype" w:hAnsi="Palatino Linotype"/>
          <w:b w:val="1"/>
          <w:bCs w:val="1"/>
          <w:sz w:val="22"/>
          <w:szCs w:val="22"/>
          <w:rtl w:val="0"/>
        </w:rPr>
        <w:t xml:space="preserve">Considerando</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Cuarto </w:t>
      </w:r>
      <w:r w:rsidDel="00000000" w:rsidR="00000000" w:rsidRPr="00000000">
        <w:rPr>
          <w:rFonts w:ascii="Palatino Linotype" w:cs="Palatino Linotype" w:eastAsia="Palatino Linotype" w:hAnsi="Palatino Linotype"/>
          <w:sz w:val="22"/>
          <w:szCs w:val="22"/>
          <w:rtl w:val="0"/>
        </w:rPr>
        <w:t xml:space="preserve">de esta resolución, se </w:t>
      </w:r>
      <w:r w:rsidDel="00000000" w:rsidR="00000000" w:rsidRPr="00000000">
        <w:rPr>
          <w:rFonts w:ascii="Palatino Linotype" w:cs="Palatino Linotype" w:eastAsia="Palatino Linotype" w:hAnsi="Palatino Linotype"/>
          <w:b w:val="1"/>
          <w:bCs w:val="1"/>
          <w:sz w:val="22"/>
          <w:szCs w:val="22"/>
          <w:rtl w:val="0"/>
        </w:rPr>
        <w:t xml:space="preserve">Revoca </w:t>
      </w:r>
      <w:r w:rsidDel="00000000" w:rsidR="00000000" w:rsidRPr="00000000">
        <w:rPr>
          <w:rFonts w:ascii="Palatino Linotype" w:cs="Palatino Linotype" w:eastAsia="Palatino Linotype" w:hAnsi="Palatino Linotype"/>
          <w:sz w:val="22"/>
          <w:szCs w:val="22"/>
          <w:rtl w:val="0"/>
        </w:rPr>
        <w:t xml:space="preserve">la respuesta emitida por el </w:t>
      </w:r>
      <w:r w:rsidDel="00000000" w:rsidR="00000000" w:rsidRPr="00000000">
        <w:rPr>
          <w:rFonts w:ascii="Palatino Linotype" w:cs="Palatino Linotype" w:eastAsia="Palatino Linotype" w:hAnsi="Palatino Linotype"/>
          <w:b w:val="1"/>
          <w:bCs w:val="1"/>
          <w:sz w:val="22"/>
          <w:szCs w:val="22"/>
          <w:rtl w:val="0"/>
        </w:rPr>
        <w:t xml:space="preserve">Sujeto Obligado.</w:t>
      </w:r>
    </w:p>
    <w:p w:rsidR="00000000" w:rsidDel="00000000" w:rsidP="00000000" w:rsidRDefault="00000000" w:rsidRPr="00000000" w14:paraId="0000012B">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12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Segundo. </w:t>
      </w:r>
      <w:r w:rsidDel="00000000" w:rsidR="00000000" w:rsidRPr="00000000">
        <w:rPr>
          <w:rFonts w:ascii="Palatino Linotype" w:cs="Palatino Linotype" w:eastAsia="Palatino Linotype" w:hAnsi="Palatino Linotype"/>
          <w:sz w:val="22"/>
          <w:szCs w:val="22"/>
          <w:rtl w:val="0"/>
        </w:rPr>
        <w:t xml:space="preserve">Se </w:t>
      </w:r>
      <w:r w:rsidDel="00000000" w:rsidR="00000000" w:rsidRPr="00000000">
        <w:rPr>
          <w:rFonts w:ascii="Palatino Linotype" w:cs="Palatino Linotype" w:eastAsia="Palatino Linotype" w:hAnsi="Palatino Linotype"/>
          <w:b w:val="1"/>
          <w:bCs w:val="1"/>
          <w:sz w:val="22"/>
          <w:szCs w:val="22"/>
          <w:rtl w:val="0"/>
        </w:rPr>
        <w:t xml:space="preserve">Ordena</w:t>
      </w:r>
      <w:r w:rsidDel="00000000" w:rsidR="00000000" w:rsidRPr="00000000">
        <w:rPr>
          <w:rFonts w:ascii="Palatino Linotype" w:cs="Palatino Linotype" w:eastAsia="Palatino Linotype" w:hAnsi="Palatino Linotype"/>
          <w:sz w:val="22"/>
          <w:szCs w:val="22"/>
          <w:rtl w:val="0"/>
        </w:rPr>
        <w:t xml:space="preserve"> al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en términos de los considerandos </w:t>
      </w:r>
      <w:r w:rsidDel="00000000" w:rsidR="00000000" w:rsidRPr="00000000">
        <w:rPr>
          <w:rFonts w:ascii="Palatino Linotype" w:cs="Palatino Linotype" w:eastAsia="Palatino Linotype" w:hAnsi="Palatino Linotype"/>
          <w:b w:val="1"/>
          <w:bCs w:val="1"/>
          <w:sz w:val="22"/>
          <w:szCs w:val="22"/>
          <w:rtl w:val="0"/>
        </w:rPr>
        <w:t xml:space="preserve">Cuarto y Quinto </w:t>
      </w:r>
      <w:r w:rsidDel="00000000" w:rsidR="00000000" w:rsidRPr="00000000">
        <w:rPr>
          <w:rFonts w:ascii="Palatino Linotype" w:cs="Palatino Linotype" w:eastAsia="Palatino Linotype" w:hAnsi="Palatino Linotype"/>
          <w:sz w:val="22"/>
          <w:szCs w:val="22"/>
          <w:rtl w:val="0"/>
        </w:rPr>
        <w:t xml:space="preserve">de esta resolución, previa búsqueda exhaustiva y razonable, </w:t>
      </w:r>
      <w:r w:rsidDel="00000000" w:rsidR="00000000" w:rsidRPr="00000000">
        <w:rPr>
          <w:rFonts w:ascii="Palatino Linotype" w:cs="Palatino Linotype" w:eastAsia="Palatino Linotype" w:hAnsi="Palatino Linotype"/>
          <w:b w:val="1"/>
          <w:bCs w:val="1"/>
          <w:sz w:val="22"/>
          <w:szCs w:val="22"/>
          <w:rtl w:val="0"/>
        </w:rPr>
        <w:t xml:space="preserve">haga entrega vía Sistema de Acceso a la Información Mexiquense (SAIMEX), </w:t>
      </w:r>
      <w:r w:rsidDel="00000000" w:rsidR="00000000" w:rsidRPr="00000000">
        <w:rPr>
          <w:rFonts w:ascii="Palatino Linotype" w:cs="Palatino Linotype" w:eastAsia="Palatino Linotype" w:hAnsi="Palatino Linotype"/>
          <w:sz w:val="22"/>
          <w:szCs w:val="22"/>
          <w:rtl w:val="0"/>
        </w:rPr>
        <w:t xml:space="preserve">en versión pública, lo siguiente:</w:t>
      </w:r>
    </w:p>
    <w:p w:rsidR="00000000" w:rsidDel="00000000" w:rsidP="00000000" w:rsidRDefault="00000000" w:rsidRPr="00000000" w14:paraId="0000012D">
      <w:pPr>
        <w:spacing w:line="360" w:lineRule="auto"/>
        <w:ind w:left="360" w:firstLine="0"/>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1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Los recibos de nómina correspondiente a la quincena número 21 (primera quincena de noviembre) del año 2025, de todos los servidores públicos adscritos al Ayuntamiento de Mexicatzingo. </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firstLine="0"/>
        <w:jc w:val="both"/>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0">
      <w:pPr>
        <w:spacing w:line="360" w:lineRule="auto"/>
        <w:ind w:left="284"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Para la entrega en versión pública, se deberá emitir el Acuerdo del Comité de Transparencia de acuerdo con la Ley de Transparencia y Acceso a la Información Pública del Estado de México y Municipios, en el que funde y motive las razones sobre los datos que se supriman o eliminen de los soportes documentales objeto de las versiones públicas que se formulen y se pongan a disposición de </w:t>
      </w:r>
      <w:r w:rsidDel="00000000" w:rsidR="00000000" w:rsidRPr="00000000">
        <w:rPr>
          <w:rFonts w:ascii="Palatino Linotype" w:cs="Palatino Linotype" w:eastAsia="Palatino Linotype" w:hAnsi="Palatino Linotype"/>
          <w:b w:val="1"/>
          <w:bCs w:val="1"/>
          <w:i w:val="1"/>
          <w:iCs w:val="1"/>
          <w:sz w:val="22"/>
          <w:szCs w:val="22"/>
          <w:rtl w:val="0"/>
        </w:rPr>
        <w:t xml:space="preserve">la parte Recurrente</w:t>
      </w:r>
      <w:r w:rsidDel="00000000" w:rsidR="00000000" w:rsidRPr="00000000">
        <w:rPr>
          <w:rFonts w:ascii="Palatino Linotype" w:cs="Palatino Linotype" w:eastAsia="Palatino Linotype" w:hAnsi="Palatino Linotype"/>
          <w:i w:val="1"/>
          <w:iCs w:val="1"/>
          <w:sz w:val="22"/>
          <w:szCs w:val="22"/>
          <w:rtl w:val="0"/>
        </w:rPr>
        <w:t xml:space="preserve">, mismo que igualmente hará de su conocimiento.</w:t>
      </w:r>
    </w:p>
    <w:p w:rsidR="00000000" w:rsidDel="00000000" w:rsidP="00000000" w:rsidRDefault="00000000" w:rsidRPr="00000000" w14:paraId="00000131">
      <w:pPr>
        <w:spacing w:line="360" w:lineRule="auto"/>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132">
      <w:pPr>
        <w:spacing w:line="360" w:lineRule="auto"/>
        <w:jc w:val="both"/>
        <w:rPr>
          <w:rFonts w:ascii="Palatino Linotype" w:cs="Palatino Linotype" w:eastAsia="Palatino Linotype" w:hAnsi="Palatino Linotype"/>
          <w:sz w:val="22"/>
          <w:szCs w:val="22"/>
        </w:rPr>
      </w:pPr>
      <w:bookmarkStart w:colFirst="0" w:colLast="0" w:name="_heading=h.59npxyxpomjd" w:id="11"/>
      <w:bookmarkEnd w:id="11"/>
      <w:r w:rsidDel="00000000" w:rsidR="00000000" w:rsidRPr="00000000">
        <w:rPr>
          <w:rFonts w:ascii="Palatino Linotype" w:cs="Palatino Linotype" w:eastAsia="Palatino Linotype" w:hAnsi="Palatino Linotype"/>
          <w:b w:val="1"/>
          <w:bCs w:val="1"/>
          <w:sz w:val="22"/>
          <w:szCs w:val="22"/>
          <w:rtl w:val="0"/>
        </w:rPr>
        <w:t xml:space="preserve">Tercero. Notifíquese, </w:t>
      </w:r>
      <w:r w:rsidDel="00000000" w:rsidR="00000000" w:rsidRPr="00000000">
        <w:rPr>
          <w:rFonts w:ascii="Palatino Linotype" w:cs="Palatino Linotype" w:eastAsia="Palatino Linotype" w:hAnsi="Palatino Linotype"/>
          <w:sz w:val="22"/>
          <w:szCs w:val="22"/>
          <w:rtl w:val="0"/>
        </w:rPr>
        <w:t xml:space="preserve">vía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al Titular de la Unidad de Transparencia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la presente resolución para que conforme a los artículos 186, último párrafo y 189, párrafo segundo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rsidR="00000000" w:rsidDel="00000000" w:rsidP="00000000" w:rsidRDefault="00000000" w:rsidRPr="00000000" w14:paraId="0000013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4">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Cuarto.</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Notifíquese, </w:t>
      </w:r>
      <w:r w:rsidDel="00000000" w:rsidR="00000000" w:rsidRPr="00000000">
        <w:rPr>
          <w:rFonts w:ascii="Palatino Linotype" w:cs="Palatino Linotype" w:eastAsia="Palatino Linotype" w:hAnsi="Palatino Linotype"/>
          <w:sz w:val="22"/>
          <w:szCs w:val="22"/>
          <w:rtl w:val="0"/>
        </w:rPr>
        <w:t xml:space="preserve">vía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al Titular de la Unidad de Transparencia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que de conformidad con el artículo 198 de la Ley de Transparencia y Acceso a la Información Pública del Estado de México y Municipios, de considerarlo procedente, de manera fundada y motivada, podrá solicitar una ampliación de plazo para el cumplimiento de la presente resolución.</w:t>
      </w:r>
    </w:p>
    <w:p w:rsidR="00000000" w:rsidDel="00000000" w:rsidP="00000000" w:rsidRDefault="00000000" w:rsidRPr="00000000" w14:paraId="00000135">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6">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Quinto. Notifíquese vía SAIMEX, </w:t>
      </w:r>
      <w:r w:rsidDel="00000000" w:rsidR="00000000" w:rsidRPr="00000000">
        <w:rPr>
          <w:rFonts w:ascii="Palatino Linotype" w:cs="Palatino Linotype" w:eastAsia="Palatino Linotype" w:hAnsi="Palatino Linotype"/>
          <w:sz w:val="22"/>
          <w:szCs w:val="22"/>
          <w:rtl w:val="0"/>
        </w:rPr>
        <w:t xml:space="preserve">la presente resolución a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y hágase del conocimiento que en caso de que considere que la presente resolución le causa algún perjuicio, podrá promover el Juicio de Amparo en los términos de las leyes aplicables, de acuerdo a lo estipulado por el artículo 196 de la Ley de Transparencia y Acceso a la Información Pública del Estado de México y Municipios.</w:t>
      </w:r>
    </w:p>
    <w:p w:rsidR="00000000" w:rsidDel="00000000" w:rsidP="00000000" w:rsidRDefault="00000000" w:rsidRPr="00000000" w14:paraId="00000137">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MEJÍA AYALA, SHARON CRISTINA MORALES MARTÍNEZ, LUIS GUSTAVO PARRA NORIEGA, EMITIENDO VOTO PARTICULAR Y GUADALUPE RAMÍREZ PEÑA, EMITIENDO VOTO PARTICULAR; EN LA VIGÉSIMA NOVENA SESIÓN ORDINARIA CELEBRADA EL DIECINUEVE DE AGOSTO DE DOS MIL VEINTISÉIS, ANTE EL SECRETARIO TÉCNICO DEL PLENO ALEXIS TAPIA RAMÍREZ. </w:t>
      </w:r>
    </w:p>
    <w:p w:rsidR="00000000" w:rsidDel="00000000" w:rsidP="00000000" w:rsidRDefault="00000000" w:rsidRPr="00000000" w14:paraId="0000013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A">
      <w:pPr>
        <w:spacing w:line="360" w:lineRule="auto"/>
        <w:jc w:val="cente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C">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D">
      <w:pPr>
        <w:spacing w:line="360" w:lineRule="auto"/>
        <w:jc w:val="both"/>
        <w:rPr>
          <w:rFonts w:ascii="Palatino Linotype" w:cs="Palatino Linotype" w:eastAsia="Palatino Linotype" w:hAnsi="Palatino Linotype"/>
          <w:sz w:val="22"/>
          <w:szCs w:val="22"/>
        </w:rPr>
      </w:pPr>
      <w:r w:rsidDel="00000000" w:rsidR="00000000" w:rsidRPr="00000000">
        <w:rPr>
          <w:rtl w:val="0"/>
        </w:rPr>
      </w:r>
    </w:p>
    <w:tbl>
      <w:tblPr>
        <w:tblStyle w:val="Table1"/>
        <w:tblW w:w="9284.0" w:type="dxa"/>
        <w:jc w:val="left"/>
        <w:tblLayout w:type="fixed"/>
        <w:tblLook w:val="0400"/>
      </w:tblPr>
      <w:tblGrid>
        <w:gridCol w:w="4282"/>
        <w:gridCol w:w="5002"/>
        <w:tblGridChange w:id="0">
          <w:tblGrid>
            <w:gridCol w:w="4282"/>
            <w:gridCol w:w="5002"/>
          </w:tblGrid>
        </w:tblGridChange>
      </w:tblGrid>
      <w:tr>
        <w:trPr>
          <w:cantSplit w:val="0"/>
          <w:trHeight w:val="2342" w:hRule="atLeast"/>
          <w:tblHeader w:val="0"/>
        </w:trPr>
        <w:tc>
          <w:tcPr>
            <w:gridSpan w:val="2"/>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0"/>
                <w:bCs w:val="0"/>
                <w:i w:val="0"/>
                <w:iCs w:val="0"/>
                <w:smallCaps w:val="0"/>
                <w:strike w:val="0"/>
                <w:color w:val="000000"/>
                <w:sz w:val="23"/>
                <w:szCs w:val="23"/>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0"/>
                <w:bCs w:val="0"/>
                <w:i w:val="0"/>
                <w:iCs w:val="0"/>
                <w:smallCaps w:val="0"/>
                <w:strike w:val="0"/>
                <w:color w:val="000000"/>
                <w:sz w:val="23"/>
                <w:szCs w:val="23"/>
                <w:u w:val="none"/>
                <w:shd w:fill="auto" w:val="clear"/>
                <w:vertAlign w:val="baseline"/>
              </w:rPr>
            </w:pPr>
            <w:r w:rsidDel="00000000" w:rsidR="00000000" w:rsidRPr="00000000">
              <w:rPr>
                <w:rtl w:val="0"/>
              </w:rPr>
            </w:r>
          </w:p>
        </w:tc>
        <w:tc>
          <w:tcPr>
            <w:vAlign w:val="bottom"/>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0"/>
                <w:bCs w:val="0"/>
                <w:i w:val="0"/>
                <w:iCs w:val="0"/>
                <w:smallCaps w:val="0"/>
                <w:strike w:val="0"/>
                <w:color w:val="000000"/>
                <w:sz w:val="23"/>
                <w:szCs w:val="23"/>
                <w:u w:val="none"/>
                <w:shd w:fill="auto" w:val="clear"/>
                <w:vertAlign w:val="baseline"/>
              </w:rPr>
            </w:pPr>
            <w:r w:rsidDel="00000000" w:rsidR="00000000" w:rsidRPr="00000000">
              <w:rPr>
                <w:rtl w:val="0"/>
              </w:rPr>
            </w:r>
          </w:p>
        </w:tc>
      </w:tr>
      <w:tr>
        <w:trPr>
          <w:cantSplit w:val="0"/>
          <w:trHeight w:val="281" w:hRule="atLeast"/>
          <w:tblHeader w:val="0"/>
        </w:trPr>
        <w:tc>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0"/>
                <w:bCs w:val="0"/>
                <w:i w:val="0"/>
                <w:iCs w:val="0"/>
                <w:smallCaps w:val="0"/>
                <w:strike w:val="0"/>
                <w:color w:val="000000"/>
                <w:sz w:val="23"/>
                <w:szCs w:val="23"/>
                <w:u w:val="none"/>
                <w:shd w:fill="auto" w:val="clear"/>
                <w:vertAlign w:val="baseline"/>
              </w:rPr>
            </w:pPr>
            <w:r w:rsidDel="00000000" w:rsidR="00000000" w:rsidRPr="00000000">
              <w:rPr>
                <w:rtl w:val="0"/>
              </w:rPr>
            </w:r>
          </w:p>
        </w:tc>
        <w:tc>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0"/>
                <w:bCs w:val="0"/>
                <w:i w:val="0"/>
                <w:iCs w:val="0"/>
                <w:smallCaps w:val="0"/>
                <w:strike w:val="0"/>
                <w:color w:val="000000"/>
                <w:sz w:val="23"/>
                <w:szCs w:val="23"/>
                <w:u w:val="none"/>
                <w:shd w:fill="auto" w:val="clear"/>
                <w:vertAlign w:val="baseline"/>
              </w:rPr>
            </w:pPr>
            <w:r w:rsidDel="00000000" w:rsidR="00000000" w:rsidRPr="00000000">
              <w:rPr>
                <w:rtl w:val="0"/>
              </w:rPr>
            </w:r>
          </w:p>
        </w:tc>
      </w:tr>
      <w:tr>
        <w:trPr>
          <w:cantSplit w:val="0"/>
          <w:trHeight w:val="317" w:hRule="atLeast"/>
          <w:tblHeader w:val="0"/>
        </w:trPr>
        <w:tc>
          <w:tcPr>
            <w:gridSpan w:val="2"/>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0"/>
                <w:bCs w:val="0"/>
                <w:i w:val="0"/>
                <w:iCs w:val="0"/>
                <w:smallCaps w:val="0"/>
                <w:strike w:val="0"/>
                <w:color w:val="000000"/>
                <w:sz w:val="23"/>
                <w:szCs w:val="23"/>
                <w:u w:val="none"/>
                <w:shd w:fill="auto" w:val="clear"/>
                <w:vertAlign w:val="baseline"/>
              </w:rPr>
            </w:pPr>
            <w:r w:rsidDel="00000000" w:rsidR="00000000" w:rsidRPr="00000000">
              <w:rPr>
                <w:rtl w:val="0"/>
              </w:rPr>
            </w:r>
          </w:p>
        </w:tc>
      </w:tr>
    </w:tbl>
    <w:p w:rsidR="00000000" w:rsidDel="00000000" w:rsidP="00000000" w:rsidRDefault="00000000" w:rsidRPr="00000000" w14:paraId="00000146">
      <w:pPr>
        <w:spacing w:line="360" w:lineRule="auto"/>
        <w:jc w:val="both"/>
        <w:rPr>
          <w:rFonts w:ascii="Palatino Linotype" w:cs="Palatino Linotype" w:eastAsia="Palatino Linotype" w:hAnsi="Palatino Linotype"/>
          <w:sz w:val="22"/>
          <w:szCs w:val="22"/>
        </w:rPr>
      </w:pP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1701" w:top="1985" w:left="1701" w:right="1701"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 w:name="Courier New"/>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B">
    <w:pPr>
      <w:pBdr>
        <w:top w:space="0" w:sz="0" w:val="nil"/>
        <w:left w:space="0" w:sz="0" w:val="nil"/>
        <w:bottom w:space="0" w:sz="0" w:val="nil"/>
        <w:right w:space="0" w:sz="0" w:val="nil"/>
        <w:between w:space="0" w:sz="0" w:val="nil"/>
      </w:pBdr>
      <w:tabs>
        <w:tab w:val="center" w:leader="none" w:pos="4252"/>
        <w:tab w:val="right" w:leader="none" w:pos="8504"/>
      </w:tabs>
      <w:jc w:val="right"/>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Página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PAGE</w:instrText>
      <w:fldChar w:fldCharType="separate"/>
      <w:fldChar w:fldCharType="end"/>
    </w:r>
    <w:r w:rsidDel="00000000" w:rsidR="00000000" w:rsidRPr="00000000">
      <w:rPr>
        <w:rFonts w:ascii="Palatino Linotype" w:cs="Palatino Linotype" w:eastAsia="Palatino Linotype" w:hAnsi="Palatino Linotype"/>
        <w:color w:val="000000"/>
        <w:sz w:val="20"/>
        <w:szCs w:val="20"/>
        <w:rtl w:val="0"/>
      </w:rPr>
      <w:t xml:space="preserve"> de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5C">
    <w:pPr>
      <w:pBdr>
        <w:top w:space="0" w:sz="0" w:val="nil"/>
        <w:left w:space="0" w:sz="0" w:val="nil"/>
        <w:bottom w:space="0" w:sz="0" w:val="nil"/>
        <w:right w:space="0" w:sz="0" w:val="nil"/>
        <w:between w:space="0" w:sz="0" w:val="nil"/>
      </w:pBdr>
      <w:tabs>
        <w:tab w:val="center" w:leader="none" w:pos="4252"/>
        <w:tab w:val="right" w:leader="none" w:pos="8504"/>
      </w:tabs>
      <w:ind w:firstLine="708"/>
      <w:rPr>
        <w:rFonts w:ascii="Cambria" w:cs="Cambria" w:eastAsia="Cambria" w:hAnsi="Cambria"/>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D">
    <w:pPr>
      <w:pBdr>
        <w:top w:space="0" w:sz="0" w:val="nil"/>
        <w:left w:space="0" w:sz="0" w:val="nil"/>
        <w:bottom w:space="0" w:sz="0" w:val="nil"/>
        <w:right w:space="0" w:sz="0" w:val="nil"/>
        <w:between w:space="0" w:sz="0" w:val="nil"/>
      </w:pBdr>
      <w:tabs>
        <w:tab w:val="center" w:leader="none" w:pos="4252"/>
        <w:tab w:val="right" w:leader="none" w:pos="8504"/>
      </w:tabs>
      <w:jc w:val="right"/>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Página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PAGE</w:instrText>
      <w:fldChar w:fldCharType="separate"/>
      <w:fldChar w:fldCharType="end"/>
    </w:r>
    <w:r w:rsidDel="00000000" w:rsidR="00000000" w:rsidRPr="00000000">
      <w:rPr>
        <w:rFonts w:ascii="Palatino Linotype" w:cs="Palatino Linotype" w:eastAsia="Palatino Linotype" w:hAnsi="Palatino Linotype"/>
        <w:color w:val="000000"/>
        <w:sz w:val="20"/>
        <w:szCs w:val="20"/>
        <w:rtl w:val="0"/>
      </w:rPr>
      <w:t xml:space="preserve"> de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5E">
    <w:pPr>
      <w:pBdr>
        <w:top w:space="0" w:sz="0" w:val="nil"/>
        <w:left w:space="0" w:sz="0" w:val="nil"/>
        <w:bottom w:space="0" w:sz="0" w:val="nil"/>
        <w:right w:space="0" w:sz="0" w:val="nil"/>
        <w:between w:space="0" w:sz="0" w:val="nil"/>
      </w:pBdr>
      <w:tabs>
        <w:tab w:val="center" w:leader="none" w:pos="4252"/>
        <w:tab w:val="right" w:leader="none" w:pos="8504"/>
      </w:tabs>
      <w:rPr>
        <w:rFonts w:ascii="Cambria" w:cs="Cambria" w:eastAsia="Cambria" w:hAnsi="Cambria"/>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47">
      <w:pPr>
        <w:ind w:left="720" w:hanging="720"/>
        <w:jc w:val="both"/>
        <w:rPr>
          <w:rFonts w:ascii="Palatino Linotype" w:cs="Palatino Linotype" w:eastAsia="Palatino Linotype" w:hAnsi="Palatino Linotype"/>
          <w:color w:val="000000"/>
          <w:sz w:val="16"/>
          <w:szCs w:val="16"/>
        </w:rPr>
      </w:pPr>
      <w:r w:rsidDel="00000000" w:rsidR="00000000" w:rsidRPr="00000000">
        <w:rPr>
          <w:rStyle w:val="FootnoteReference"/>
          <w:vertAlign w:val="superscript"/>
        </w:rPr>
        <w:footnoteRef/>
      </w:r>
      <w:r w:rsidDel="00000000" w:rsidR="00000000" w:rsidRPr="00000000">
        <w:rPr>
          <w:rFonts w:ascii="Palatino Linotype" w:cs="Palatino Linotype" w:eastAsia="Palatino Linotype" w:hAnsi="Palatino Linotype"/>
          <w:color w:val="000000"/>
          <w:sz w:val="16"/>
          <w:szCs w:val="16"/>
          <w:rtl w:val="0"/>
        </w:rPr>
        <w:t xml:space="preserve"> “</w:t>
      </w:r>
      <w:r w:rsidDel="00000000" w:rsidR="00000000" w:rsidRPr="00000000">
        <w:rPr>
          <w:rFonts w:ascii="Palatino Linotype" w:cs="Palatino Linotype" w:eastAsia="Palatino Linotype" w:hAnsi="Palatino Linotype"/>
          <w:b w:val="1"/>
          <w:bCs w:val="1"/>
          <w:color w:val="000000"/>
          <w:sz w:val="16"/>
          <w:szCs w:val="16"/>
          <w:rtl w:val="0"/>
        </w:rPr>
        <w:t xml:space="preserve">Artículo 185.</w:t>
      </w:r>
      <w:r w:rsidDel="00000000" w:rsidR="00000000" w:rsidRPr="00000000">
        <w:rPr>
          <w:rFonts w:ascii="Palatino Linotype" w:cs="Palatino Linotype" w:eastAsia="Palatino Linotype" w:hAnsi="Palatino Linotype"/>
          <w:color w:val="000000"/>
          <w:sz w:val="16"/>
          <w:szCs w:val="16"/>
          <w:rtl w:val="0"/>
        </w:rPr>
        <w:t xml:space="preserve"> El Instituto resolverá el recurso de revisión conforme a lo siguiente: (…)</w:t>
      </w:r>
    </w:p>
    <w:p w:rsidR="00000000" w:rsidDel="00000000" w:rsidP="00000000" w:rsidRDefault="00000000" w:rsidRPr="00000000" w14:paraId="00000148">
      <w:pPr>
        <w:jc w:val="both"/>
        <w:rPr>
          <w:rFonts w:ascii="Palatino Linotype" w:cs="Palatino Linotype" w:eastAsia="Palatino Linotype" w:hAnsi="Palatino Linotype"/>
          <w:color w:val="000000"/>
          <w:sz w:val="16"/>
          <w:szCs w:val="16"/>
        </w:rPr>
      </w:pPr>
      <w:r w:rsidDel="00000000" w:rsidR="00000000" w:rsidRPr="00000000">
        <w:rPr>
          <w:rFonts w:ascii="Palatino Linotype" w:cs="Palatino Linotype" w:eastAsia="Palatino Linotype" w:hAnsi="Palatino Linotype"/>
          <w:color w:val="000000"/>
          <w:sz w:val="16"/>
          <w:szCs w:val="16"/>
          <w:rtl w:val="0"/>
        </w:rPr>
        <w:t xml:space="preserve">II. Admitido el recurso de revisión, la o el Comisionado ponente deberá integrar un expediente y ponerlo a disposición de las partes, para que, en un plazo máximo de siete días hábiles, manifiesten lo que a su derecho convenga;”</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9">
    <w:pPr>
      <w:rPr>
        <w:rFonts w:ascii="Cambria" w:cs="Cambria" w:eastAsia="Cambria" w:hAnsi="Cambria"/>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-1080090</wp:posOffset>
          </wp:positionH>
          <wp:positionV relativeFrom="paragraph">
            <wp:posOffset>-488261</wp:posOffset>
          </wp:positionV>
          <wp:extent cx="7809865" cy="10165715"/>
          <wp:effectExtent b="0" l="0" r="0" t="0"/>
          <wp:wrapNone/>
          <wp:docPr id="4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9865" cy="10165715"/>
                  </a:xfrm>
                  <a:prstGeom prst="rect"/>
                  <a:ln/>
                </pic:spPr>
              </pic:pic>
            </a:graphicData>
          </a:graphic>
        </wp:anchor>
      </w:drawing>
    </w:r>
  </w:p>
  <w:tbl>
    <w:tblPr>
      <w:tblStyle w:val="Table2"/>
      <w:tblW w:w="5953.0" w:type="dxa"/>
      <w:jc w:val="left"/>
      <w:tblInd w:w="3261.0" w:type="dxa"/>
      <w:tblLayout w:type="fixed"/>
      <w:tblLook w:val="0400"/>
    </w:tblPr>
    <w:tblGrid>
      <w:gridCol w:w="2489"/>
      <w:gridCol w:w="3464"/>
      <w:tblGridChange w:id="0">
        <w:tblGrid>
          <w:gridCol w:w="2489"/>
          <w:gridCol w:w="3464"/>
        </w:tblGrid>
      </w:tblGridChange>
    </w:tblGrid>
    <w:tr>
      <w:trPr>
        <w:cantSplit w:val="0"/>
        <w:tblHeader w:val="0"/>
      </w:trPr>
      <w:tc>
        <w:tcPr/>
        <w:p w:rsidR="00000000" w:rsidDel="00000000" w:rsidP="00000000" w:rsidRDefault="00000000" w:rsidRPr="00000000" w14:paraId="0000014A">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Recurso de Revisión:</w:t>
          </w:r>
        </w:p>
      </w:tc>
      <w:tc>
        <w:tcPr>
          <w:vAlign w:val="center"/>
        </w:tcPr>
        <w:p w:rsidR="00000000" w:rsidDel="00000000" w:rsidP="00000000" w:rsidRDefault="00000000" w:rsidRPr="00000000" w14:paraId="0000014B">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06479/INFOEM/IP/RR/2026</w:t>
          </w:r>
        </w:p>
      </w:tc>
    </w:tr>
    <w:tr>
      <w:trPr>
        <w:cantSplit w:val="0"/>
        <w:trHeight w:val="228" w:hRule="atLeast"/>
        <w:tblHeader w:val="0"/>
      </w:trPr>
      <w:tc>
        <w:tcPr>
          <w:vAlign w:val="center"/>
        </w:tcPr>
        <w:p w:rsidR="00000000" w:rsidDel="00000000" w:rsidP="00000000" w:rsidRDefault="00000000" w:rsidRPr="00000000" w14:paraId="0000014C">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Sujeto Obligado:</w:t>
          </w:r>
        </w:p>
      </w:tc>
      <w:tc>
        <w:tcPr>
          <w:vAlign w:val="center"/>
        </w:tcPr>
        <w:p w:rsidR="00000000" w:rsidDel="00000000" w:rsidP="00000000" w:rsidRDefault="00000000" w:rsidRPr="00000000" w14:paraId="0000014D">
          <w:pPr>
            <w:ind w:left="-45" w:right="17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Ayuntamiento de Mexicatlzingo</w:t>
          </w:r>
        </w:p>
      </w:tc>
    </w:tr>
    <w:tr>
      <w:trPr>
        <w:cantSplit w:val="0"/>
        <w:tblHeader w:val="0"/>
      </w:trPr>
      <w:tc>
        <w:tcPr>
          <w:vAlign w:val="center"/>
        </w:tcPr>
        <w:p w:rsidR="00000000" w:rsidDel="00000000" w:rsidP="00000000" w:rsidRDefault="00000000" w:rsidRPr="00000000" w14:paraId="0000014E">
          <w:pPr>
            <w:ind w:right="-108"/>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Comisionada ponente:</w:t>
          </w:r>
        </w:p>
      </w:tc>
      <w:tc>
        <w:tcPr>
          <w:vAlign w:val="center"/>
        </w:tcPr>
        <w:p w:rsidR="00000000" w:rsidDel="00000000" w:rsidP="00000000" w:rsidRDefault="00000000" w:rsidRPr="00000000" w14:paraId="0000014F">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Guadalupe Ramírez Peña</w:t>
          </w:r>
        </w:p>
      </w:tc>
    </w:tr>
  </w:tbl>
  <w:p w:rsidR="00000000" w:rsidDel="00000000" w:rsidP="00000000" w:rsidRDefault="00000000" w:rsidRPr="00000000" w14:paraId="00000150">
    <w:pPr>
      <w:rPr>
        <w:rFonts w:ascii="Cambria" w:cs="Cambria" w:eastAsia="Cambria" w:hAnsi="Cambria"/>
        <w:color w:val="000000"/>
      </w:rPr>
    </w:pPr>
    <w:r w:rsidDel="00000000" w:rsidR="00000000" w:rsidRPr="00000000">
      <w:rPr>
        <w:rFonts w:ascii="Cambria" w:cs="Cambria" w:eastAsia="Cambria" w:hAnsi="Cambria"/>
        <w:color w:val="000000"/>
        <w:rtl w:val="0"/>
      </w:rPr>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1">
    <w:pPr>
      <w:widowControl w:val="0"/>
      <w:pBdr>
        <w:top w:space="0" w:sz="0" w:val="nil"/>
        <w:left w:space="0" w:sz="0" w:val="nil"/>
        <w:bottom w:space="0" w:sz="0" w:val="nil"/>
        <w:right w:space="0" w:sz="0" w:val="nil"/>
        <w:between w:space="0" w:sz="0" w:val="nil"/>
      </w:pBdr>
      <w:spacing w:line="276" w:lineRule="auto"/>
      <w:rPr>
        <w:rFonts w:ascii="Palatino Linotype" w:cs="Palatino Linotype" w:eastAsia="Palatino Linotype" w:hAnsi="Palatino Linotype"/>
        <w:sz w:val="16"/>
        <w:szCs w:val="16"/>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-1080132</wp:posOffset>
          </wp:positionH>
          <wp:positionV relativeFrom="paragraph">
            <wp:posOffset>-369891</wp:posOffset>
          </wp:positionV>
          <wp:extent cx="7809865" cy="10165715"/>
          <wp:effectExtent b="0" l="0" r="0" t="0"/>
          <wp:wrapNone/>
          <wp:docPr id="4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9865" cy="10165715"/>
                  </a:xfrm>
                  <a:prstGeom prst="rect"/>
                  <a:ln/>
                </pic:spPr>
              </pic:pic>
            </a:graphicData>
          </a:graphic>
        </wp:anchor>
      </w:drawing>
    </w:r>
  </w:p>
  <w:tbl>
    <w:tblPr>
      <w:tblStyle w:val="Table3"/>
      <w:tblW w:w="5953.0" w:type="dxa"/>
      <w:jc w:val="left"/>
      <w:tblInd w:w="3261.0" w:type="dxa"/>
      <w:tblLayout w:type="fixed"/>
      <w:tblLook w:val="0400"/>
    </w:tblPr>
    <w:tblGrid>
      <w:gridCol w:w="2489"/>
      <w:gridCol w:w="3464"/>
      <w:tblGridChange w:id="0">
        <w:tblGrid>
          <w:gridCol w:w="2489"/>
          <w:gridCol w:w="3464"/>
        </w:tblGrid>
      </w:tblGridChange>
    </w:tblGrid>
    <w:tr>
      <w:trPr>
        <w:cantSplit w:val="0"/>
        <w:tblHeader w:val="0"/>
      </w:trPr>
      <w:tc>
        <w:tcPr/>
        <w:p w:rsidR="00000000" w:rsidDel="00000000" w:rsidP="00000000" w:rsidRDefault="00000000" w:rsidRPr="00000000" w14:paraId="00000152">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Recurso de Revisión:</w:t>
          </w:r>
        </w:p>
      </w:tc>
      <w:tc>
        <w:tcPr>
          <w:vAlign w:val="center"/>
        </w:tcPr>
        <w:p w:rsidR="00000000" w:rsidDel="00000000" w:rsidP="00000000" w:rsidRDefault="00000000" w:rsidRPr="00000000" w14:paraId="00000153">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06479/INFOEM/IP/RR/2026</w:t>
          </w:r>
        </w:p>
      </w:tc>
    </w:tr>
    <w:tr>
      <w:trPr>
        <w:cantSplit w:val="0"/>
        <w:tblHeader w:val="0"/>
      </w:trPr>
      <w:tc>
        <w:tcPr/>
        <w:p w:rsidR="00000000" w:rsidDel="00000000" w:rsidP="00000000" w:rsidRDefault="00000000" w:rsidRPr="00000000" w14:paraId="00000154">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Recurrente</w:t>
          </w:r>
        </w:p>
      </w:tc>
      <w:tc>
        <w:tcPr>
          <w:vAlign w:val="center"/>
        </w:tcPr>
        <w:p w:rsidR="00000000" w:rsidDel="00000000" w:rsidP="00000000" w:rsidRDefault="00000000" w:rsidRPr="00000000" w14:paraId="00000155">
          <w:pPr>
            <w:ind w:right="175"/>
            <w:jc w:val="both"/>
            <w:rPr>
              <w:rFonts w:ascii="Palatino Linotype" w:cs="Palatino Linotype" w:eastAsia="Palatino Linotype" w:hAnsi="Palatino Linotype"/>
              <w:b w:val="1"/>
              <w:bCs w:val="1"/>
              <w:sz w:val="22"/>
              <w:szCs w:val="22"/>
            </w:rPr>
          </w:pPr>
          <w:r w:rsidDel="00000000" w:rsidR="00000000" w:rsidRPr="00000000">
            <w:rPr>
              <w:rtl w:val="0"/>
            </w:rPr>
          </w:r>
        </w:p>
      </w:tc>
    </w:tr>
    <w:tr>
      <w:trPr>
        <w:cantSplit w:val="0"/>
        <w:trHeight w:val="228" w:hRule="atLeast"/>
        <w:tblHeader w:val="0"/>
      </w:trPr>
      <w:tc>
        <w:tcPr>
          <w:vAlign w:val="center"/>
        </w:tcPr>
        <w:p w:rsidR="00000000" w:rsidDel="00000000" w:rsidP="00000000" w:rsidRDefault="00000000" w:rsidRPr="00000000" w14:paraId="00000156">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Sujeto Obligado:</w:t>
          </w:r>
        </w:p>
      </w:tc>
      <w:tc>
        <w:tcPr>
          <w:vAlign w:val="center"/>
        </w:tcPr>
        <w:p w:rsidR="00000000" w:rsidDel="00000000" w:rsidP="00000000" w:rsidRDefault="00000000" w:rsidRPr="00000000" w14:paraId="00000157">
          <w:pPr>
            <w:ind w:left="-45" w:right="17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Ayuntamiento de Mexicaltzingo</w:t>
          </w:r>
        </w:p>
      </w:tc>
    </w:tr>
    <w:tr>
      <w:trPr>
        <w:cantSplit w:val="0"/>
        <w:tblHeader w:val="0"/>
      </w:trPr>
      <w:tc>
        <w:tcPr>
          <w:vAlign w:val="center"/>
        </w:tcPr>
        <w:p w:rsidR="00000000" w:rsidDel="00000000" w:rsidP="00000000" w:rsidRDefault="00000000" w:rsidRPr="00000000" w14:paraId="00000158">
          <w:pPr>
            <w:ind w:right="-108"/>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Comisionada ponente:</w:t>
          </w:r>
        </w:p>
      </w:tc>
      <w:tc>
        <w:tcPr>
          <w:vAlign w:val="center"/>
        </w:tcPr>
        <w:p w:rsidR="00000000" w:rsidDel="00000000" w:rsidP="00000000" w:rsidRDefault="00000000" w:rsidRPr="00000000" w14:paraId="00000159">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Guadalupe Ramírez Peña</w:t>
          </w:r>
        </w:p>
      </w:tc>
    </w:tr>
  </w:tbl>
  <w:p w:rsidR="00000000" w:rsidDel="00000000" w:rsidP="00000000" w:rsidRDefault="00000000" w:rsidRPr="00000000" w14:paraId="0000015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366091"/>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366091"/>
      <w:sz w:val="26"/>
      <w:szCs w:val="26"/>
    </w:rPr>
  </w:style>
  <w:style w:type="paragraph" w:styleId="Heading3">
    <w:name w:val="heading 3"/>
    <w:basedOn w:val="Normal"/>
    <w:next w:val="Normal"/>
    <w:pPr>
      <w:keepNext w:val="1"/>
      <w:spacing w:after="60" w:before="240" w:lineRule="auto"/>
      <w:ind w:left="2160" w:hanging="720"/>
    </w:pPr>
    <w:rPr>
      <w:rFonts w:ascii="Calibri" w:cs="Calibri" w:eastAsia="Calibri" w:hAnsi="Calibri"/>
      <w:b w:val="1"/>
      <w:bCs w:val="1"/>
      <w:sz w:val="26"/>
      <w:szCs w:val="26"/>
    </w:rPr>
  </w:style>
  <w:style w:type="paragraph" w:styleId="Heading4">
    <w:name w:val="heading 4"/>
    <w:basedOn w:val="Normal"/>
    <w:next w:val="Normal"/>
    <w:pPr>
      <w:keepNext w:val="1"/>
      <w:spacing w:after="60" w:before="240" w:lineRule="auto"/>
      <w:ind w:left="2880" w:hanging="720"/>
    </w:pPr>
    <w:rPr>
      <w:rFonts w:ascii="Cambria" w:cs="Cambria" w:eastAsia="Cambria" w:hAnsi="Cambria"/>
      <w:b w:val="1"/>
      <w:bCs w:val="1"/>
      <w:sz w:val="28"/>
      <w:szCs w:val="28"/>
    </w:rPr>
  </w:style>
  <w:style w:type="paragraph" w:styleId="Heading5">
    <w:name w:val="heading 5"/>
    <w:basedOn w:val="Normal"/>
    <w:next w:val="Normal"/>
    <w:pPr>
      <w:spacing w:after="60" w:before="240" w:lineRule="auto"/>
      <w:ind w:left="3600" w:hanging="720"/>
    </w:pPr>
    <w:rPr>
      <w:rFonts w:ascii="Cambria" w:cs="Cambria" w:eastAsia="Cambria" w:hAnsi="Cambria"/>
      <w:b w:val="1"/>
      <w:bCs w:val="1"/>
      <w:i w:val="1"/>
      <w:iCs w:val="1"/>
      <w:sz w:val="26"/>
      <w:szCs w:val="26"/>
    </w:rPr>
  </w:style>
  <w:style w:type="paragraph" w:styleId="Heading6">
    <w:name w:val="heading 6"/>
    <w:basedOn w:val="Normal"/>
    <w:next w:val="Normal"/>
    <w:pPr>
      <w:spacing w:after="60" w:before="240" w:lineRule="auto"/>
      <w:ind w:left="4320" w:hanging="720"/>
    </w:pPr>
    <w:rPr>
      <w:b w:val="1"/>
      <w:bCs w:val="1"/>
      <w:sz w:val="22"/>
      <w:szCs w:val="22"/>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table" w:styleId="TableNormal5" w:customStyle="1">
    <w:name w:val="Table Normal"/>
    <w:tblPr>
      <w:tblCellMar>
        <w:top w:w="0.0" w:type="dxa"/>
        <w:left w:w="0.0" w:type="dxa"/>
        <w:bottom w:w="0.0" w:type="dxa"/>
        <w:right w:w="0.0" w:type="dxa"/>
      </w:tblCellMar>
    </w:tblPr>
  </w:style>
  <w:style w:type="table" w:styleId="TableNormal6" w:customStyle="1">
    <w:name w:val="Table Normal"/>
    <w:tblPr>
      <w:tblCellMar>
        <w:top w:w="0.0" w:type="dxa"/>
        <w:left w:w="0.0" w:type="dxa"/>
        <w:bottom w:w="0.0" w:type="dxa"/>
        <w:right w:w="0.0" w:type="dxa"/>
      </w:tblCellMar>
    </w:tblPr>
  </w:style>
  <w:style w:type="table" w:styleId="TableNormal7" w:customStyle="1">
    <w:name w:val="Table Normal"/>
    <w:tblPr>
      <w:tblCellMar>
        <w:top w:w="0.0" w:type="dxa"/>
        <w:left w:w="0.0" w:type="dxa"/>
        <w:bottom w:w="0.0" w:type="dxa"/>
        <w:right w:w="0.0" w:type="dxa"/>
      </w:tblCellMar>
    </w:tblPr>
  </w:style>
  <w:style w:type="table" w:styleId="TableNormal8" w:customStyle="1">
    <w:name w:val="Table Normal"/>
    <w:tblPr>
      <w:tblCellMar>
        <w:top w:w="0.0" w:type="dxa"/>
        <w:left w:w="0.0" w:type="dxa"/>
        <w:bottom w:w="0.0" w:type="dxa"/>
        <w:right w:w="0.0" w:type="dxa"/>
      </w:tblCellMar>
    </w:tblPr>
  </w:style>
  <w:style w:type="table" w:styleId="TableNormal9" w:customStyle="1">
    <w:name w:val="Table Normal"/>
    <w:tblPr>
      <w:tblCellMar>
        <w:top w:w="0.0" w:type="dxa"/>
        <w:left w:w="0.0" w:type="dxa"/>
        <w:bottom w:w="0.0" w:type="dxa"/>
        <w:right w:w="0.0" w:type="dxa"/>
      </w:tblCellMar>
    </w:tblPr>
  </w:style>
  <w:style w:type="table" w:styleId="TableNormala" w:customStyle="1">
    <w:name w:val="Table Normal"/>
    <w:tblPr>
      <w:tblCellMar>
        <w:top w:w="0.0" w:type="dxa"/>
        <w:left w:w="0.0" w:type="dxa"/>
        <w:bottom w:w="0.0" w:type="dxa"/>
        <w:right w:w="0.0" w:type="dxa"/>
      </w:tblCellMar>
    </w:tblPr>
  </w:style>
  <w:style w:type="table" w:styleId="TableNormalb" w:customStyle="1">
    <w:name w:val="Table Normal"/>
    <w:tblPr>
      <w:tblCellMar>
        <w:top w:w="0.0" w:type="dxa"/>
        <w:left w:w="0.0" w:type="dxa"/>
        <w:bottom w:w="0.0" w:type="dxa"/>
        <w:right w:w="0.0" w:type="dxa"/>
      </w:tblCellMar>
    </w:tblPr>
  </w:style>
  <w:style w:type="table" w:styleId="TableNormalc" w:customStyle="1">
    <w:name w:val="Table Normal"/>
    <w:tblPr>
      <w:tblCellMar>
        <w:top w:w="0.0" w:type="dxa"/>
        <w:left w:w="0.0" w:type="dxa"/>
        <w:bottom w:w="0.0" w:type="dxa"/>
        <w:right w:w="0.0" w:type="dxa"/>
      </w:tblCellMar>
    </w:tblPr>
  </w:style>
  <w:style w:type="table" w:styleId="TableNormald" w:customStyle="1">
    <w:name w:val="Table Normal"/>
    <w:tblPr>
      <w:tblCellMar>
        <w:top w:w="0.0" w:type="dxa"/>
        <w:left w:w="0.0" w:type="dxa"/>
        <w:bottom w:w="0.0" w:type="dxa"/>
        <w:right w:w="0.0" w:type="dxa"/>
      </w:tblCellMar>
    </w:tblPr>
  </w:style>
  <w:style w:type="table" w:styleId="TableNormale" w:customStyle="1">
    <w:name w:val="Table Normal"/>
    <w:tblPr>
      <w:tblCellMar>
        <w:top w:w="0.0" w:type="dxa"/>
        <w:left w:w="0.0" w:type="dxa"/>
        <w:bottom w:w="0.0" w:type="dxa"/>
        <w:right w:w="0.0" w:type="dxa"/>
      </w:tblCellMar>
    </w:tblPr>
  </w:style>
  <w:style w:type="table" w:styleId="TableNormalf" w:customStyle="1">
    <w:name w:val="Table Normal"/>
    <w:tblPr>
      <w:tblCellMar>
        <w:top w:w="0.0" w:type="dxa"/>
        <w:left w:w="0.0" w:type="dxa"/>
        <w:bottom w:w="0.0" w:type="dxa"/>
        <w:right w:w="0.0" w:type="dxa"/>
      </w:tblCellMar>
    </w:tblPr>
  </w:style>
  <w:style w:type="table" w:styleId="TableNormalf0" w:customStyle="1">
    <w:name w:val="Table Normal"/>
    <w:tblPr>
      <w:tblCellMar>
        <w:top w:w="0.0" w:type="dxa"/>
        <w:left w:w="0.0" w:type="dxa"/>
        <w:bottom w:w="0.0" w:type="dxa"/>
        <w:right w:w="0.0" w:type="dxa"/>
      </w:tblCellMar>
    </w:tblPr>
  </w:style>
  <w:style w:type="table" w:styleId="TableNormalf1" w:customStyle="1">
    <w:name w:val="Table Normal"/>
    <w:tblPr>
      <w:tblCellMar>
        <w:top w:w="0.0" w:type="dxa"/>
        <w:left w:w="0.0" w:type="dxa"/>
        <w:bottom w:w="0.0" w:type="dxa"/>
        <w:right w:w="0.0" w:type="dxa"/>
      </w:tblCellMar>
    </w:tblPr>
  </w:style>
  <w:style w:type="table" w:styleId="a" w:customStyle="1">
    <w:basedOn w:val="TableNormalf1"/>
    <w:tblPr>
      <w:tblStyleRowBandSize w:val="1"/>
      <w:tblStyleColBandSize w:val="1"/>
      <w:tblCellMar>
        <w:left w:w="115.0" w:type="dxa"/>
        <w:right w:w="115.0" w:type="dxa"/>
      </w:tblCellMar>
    </w:tblPr>
  </w:style>
  <w:style w:type="table" w:styleId="a0" w:customStyle="1">
    <w:basedOn w:val="TableNormalf1"/>
    <w:tblPr>
      <w:tblStyleRowBandSize w:val="1"/>
      <w:tblStyleColBandSize w:val="1"/>
      <w:tblCellMar>
        <w:left w:w="115.0" w:type="dxa"/>
        <w:right w:w="115.0" w:type="dxa"/>
      </w:tblCellMar>
    </w:tblPr>
  </w:style>
  <w:style w:type="paragraph" w:styleId="Encabezado">
    <w:name w:val="header"/>
    <w:basedOn w:val="Normal"/>
    <w:link w:val="EncabezadoCar"/>
    <w:uiPriority w:val="99"/>
    <w:unhideWhenUsed w:val="1"/>
    <w:rsid w:val="000D197B"/>
    <w:pPr>
      <w:tabs>
        <w:tab w:val="center" w:pos="4419"/>
        <w:tab w:val="right" w:pos="8838"/>
      </w:tabs>
    </w:pPr>
  </w:style>
  <w:style w:type="character" w:styleId="EncabezadoCar" w:customStyle="1">
    <w:name w:val="Encabezado Car"/>
    <w:basedOn w:val="Fuentedeprrafopredeter"/>
    <w:link w:val="Encabezado"/>
    <w:uiPriority w:val="99"/>
    <w:rsid w:val="000D197B"/>
  </w:style>
  <w:style w:type="paragraph" w:styleId="Piedepgina">
    <w:name w:val="footer"/>
    <w:basedOn w:val="Normal"/>
    <w:link w:val="PiedepginaCar"/>
    <w:uiPriority w:val="99"/>
    <w:unhideWhenUsed w:val="1"/>
    <w:rsid w:val="000D197B"/>
    <w:pPr>
      <w:tabs>
        <w:tab w:val="center" w:pos="4419"/>
        <w:tab w:val="right" w:pos="8838"/>
      </w:tabs>
    </w:pPr>
  </w:style>
  <w:style w:type="character" w:styleId="PiedepginaCar" w:customStyle="1">
    <w:name w:val="Pie de página Car"/>
    <w:basedOn w:val="Fuentedeprrafopredeter"/>
    <w:link w:val="Piedepgina"/>
    <w:uiPriority w:val="99"/>
    <w:rsid w:val="000D197B"/>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val="1"/>
    <w:rsid w:val="00C43334"/>
    <w:pPr>
      <w:ind w:left="720"/>
      <w:contextualSpacing w:val="1"/>
    </w:pPr>
  </w:style>
  <w:style w:type="paragraph" w:styleId="NormalWeb">
    <w:name w:val="Normal (Web)"/>
    <w:basedOn w:val="Normal"/>
    <w:uiPriority w:val="99"/>
    <w:unhideWhenUsed w:val="1"/>
    <w:rsid w:val="00476335"/>
    <w:pPr>
      <w:spacing w:after="100" w:afterAutospacing="1" w:before="100" w:beforeAutospacing="1"/>
    </w:p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val="1"/>
    <w:qFormat w:val="1"/>
    <w:rsid w:val="00806B5C"/>
    <w:rPr>
      <w:rFonts w:asciiTheme="minorHAnsi" w:cstheme="minorBidi" w:eastAsiaTheme="minorHAnsi" w:hAnsiTheme="minorHAnsi"/>
      <w:sz w:val="20"/>
      <w:szCs w:val="20"/>
      <w:lang w:eastAsia="en-US"/>
    </w:rPr>
  </w:style>
  <w:style w:type="character" w:styleId="TextonotapieCar" w:customStyle="1">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val="1"/>
    <w:rsid w:val="00806B5C"/>
    <w:rPr>
      <w:rFonts w:asciiTheme="minorHAnsi" w:cstheme="minorBidi" w:eastAsiaTheme="minorHAnsi" w:hAnsiTheme="minorHAnsi"/>
      <w:sz w:val="20"/>
      <w:szCs w:val="20"/>
      <w:lang w:eastAsia="en-US"/>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
    <w:basedOn w:val="Fuentedeprrafopredeter"/>
    <w:uiPriority w:val="99"/>
    <w:unhideWhenUsed w:val="1"/>
    <w:qFormat w:val="1"/>
    <w:rsid w:val="00806B5C"/>
    <w:rPr>
      <w:vertAlign w:val="superscript"/>
    </w:rPr>
  </w:style>
  <w:style w:type="table" w:styleId="a1" w:customStyle="1">
    <w:basedOn w:val="TableNormalf1"/>
    <w:tblPr>
      <w:tblStyleRowBandSize w:val="1"/>
      <w:tblStyleColBandSize w:val="1"/>
      <w:tblCellMar>
        <w:left w:w="115.0" w:type="dxa"/>
        <w:right w:w="115.0" w:type="dxa"/>
      </w:tblCellMar>
    </w:tblPr>
  </w:style>
  <w:style w:type="table" w:styleId="a2" w:customStyle="1">
    <w:basedOn w:val="TableNormalf1"/>
    <w:tblPr>
      <w:tblStyleRowBandSize w:val="1"/>
      <w:tblStyleColBandSize w:val="1"/>
      <w:tblCellMar>
        <w:left w:w="115.0" w:type="dxa"/>
        <w:right w:w="115.0" w:type="dxa"/>
      </w:tblCellMar>
    </w:tblPr>
  </w:style>
  <w:style w:type="character" w:styleId="Hipervnculo">
    <w:name w:val="Hyperlink"/>
    <w:basedOn w:val="Fuentedeprrafopredeter"/>
    <w:uiPriority w:val="99"/>
    <w:unhideWhenUsed w:val="1"/>
    <w:rsid w:val="00504D6C"/>
    <w:rPr>
      <w:color w:val="0000ff" w:themeColor="hyperlink"/>
      <w:u w:val="single"/>
    </w:rPr>
  </w:style>
  <w:style w:type="character" w:styleId="Hipervnculovisitado">
    <w:name w:val="FollowedHyperlink"/>
    <w:basedOn w:val="Fuentedeprrafopredeter"/>
    <w:uiPriority w:val="99"/>
    <w:semiHidden w:val="1"/>
    <w:unhideWhenUsed w:val="1"/>
    <w:rsid w:val="00504D6C"/>
    <w:rPr>
      <w:color w:val="800080" w:themeColor="followedHyperlink"/>
      <w:u w:val="single"/>
    </w:rPr>
  </w:style>
  <w:style w:type="table" w:styleId="Tablaconcuadrcula">
    <w:name w:val="Table Grid"/>
    <w:basedOn w:val="Tablanormal"/>
    <w:uiPriority w:val="39"/>
    <w:rsid w:val="00134AD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3" w:customStyle="1">
    <w:basedOn w:val="TableNormalf0"/>
    <w:tblPr>
      <w:tblStyleRowBandSize w:val="1"/>
      <w:tblStyleColBandSize w:val="1"/>
      <w:tblCellMar>
        <w:left w:w="115.0" w:type="dxa"/>
        <w:right w:w="115.0" w:type="dxa"/>
      </w:tblCellMar>
    </w:tblPr>
  </w:style>
  <w:style w:type="table" w:styleId="a4" w:customStyle="1">
    <w:basedOn w:val="TableNormalf0"/>
    <w:tblPr>
      <w:tblStyleRowBandSize w:val="1"/>
      <w:tblStyleColBandSize w:val="1"/>
      <w:tblCellMar>
        <w:left w:w="115.0" w:type="dxa"/>
        <w:right w:w="115.0" w:type="dxa"/>
      </w:tblCellMar>
    </w:tblPr>
  </w:style>
  <w:style w:type="paragraph" w:styleId="Listaconvietas3">
    <w:name w:val="List Bullet 3"/>
    <w:basedOn w:val="Normal"/>
    <w:uiPriority w:val="99"/>
    <w:unhideWhenUsed w:val="1"/>
    <w:rsid w:val="005E017B"/>
    <w:pPr>
      <w:numPr>
        <w:numId w:val="1"/>
      </w:numPr>
      <w:contextualSpacing w:val="1"/>
    </w:pPr>
  </w:style>
  <w:style w:type="character" w:styleId="yt-core-attributed-string--link-inherit-color" w:customStyle="1">
    <w:name w:val="yt-core-attributed-string--link-inherit-color"/>
    <w:basedOn w:val="Fuentedeprrafopredeter"/>
    <w:rsid w:val="00EA0BEF"/>
  </w:style>
  <w:style w:type="character" w:styleId="PrrafodelistaCar" w:customStyle="1">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val="1"/>
    <w:locked w:val="1"/>
    <w:rsid w:val="00452086"/>
  </w:style>
  <w:style w:type="character" w:styleId="Mencinsinresolver1" w:customStyle="1">
    <w:name w:val="Mención sin resolver1"/>
    <w:basedOn w:val="Fuentedeprrafopredeter"/>
    <w:uiPriority w:val="99"/>
    <w:semiHidden w:val="1"/>
    <w:unhideWhenUsed w:val="1"/>
    <w:rsid w:val="00C64B15"/>
    <w:rPr>
      <w:color w:val="605e5c"/>
      <w:shd w:color="auto" w:fill="e1dfdd" w:val="clear"/>
    </w:rPr>
  </w:style>
  <w:style w:type="paragraph" w:styleId="Default" w:customStyle="1">
    <w:name w:val="Default"/>
    <w:rsid w:val="00B92077"/>
    <w:pPr>
      <w:autoSpaceDE w:val="0"/>
      <w:autoSpaceDN w:val="0"/>
      <w:adjustRightInd w:val="0"/>
    </w:pPr>
    <w:rPr>
      <w:rFonts w:ascii="Arial" w:cs="Arial" w:hAnsi="Arial"/>
      <w:color w:val="000000"/>
    </w:rPr>
  </w:style>
  <w:style w:type="character" w:styleId="Mencinsinresolver2" w:customStyle="1">
    <w:name w:val="Mención sin resolver2"/>
    <w:basedOn w:val="Fuentedeprrafopredeter"/>
    <w:uiPriority w:val="99"/>
    <w:semiHidden w:val="1"/>
    <w:unhideWhenUsed w:val="1"/>
    <w:rsid w:val="00251B93"/>
    <w:rPr>
      <w:color w:val="605e5c"/>
      <w:shd w:color="auto" w:fill="e1dfdd" w:val="clear"/>
    </w:rPr>
  </w:style>
  <w:style w:type="paragraph" w:styleId="Textodeglobo">
    <w:name w:val="Balloon Text"/>
    <w:basedOn w:val="Normal"/>
    <w:link w:val="TextodegloboCar"/>
    <w:uiPriority w:val="99"/>
    <w:semiHidden w:val="1"/>
    <w:unhideWhenUsed w:val="1"/>
    <w:rsid w:val="00DD0D64"/>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DD0D64"/>
    <w:rPr>
      <w:rFonts w:ascii="Segoe UI" w:cs="Segoe UI" w:hAnsi="Segoe UI"/>
      <w:sz w:val="18"/>
      <w:szCs w:val="18"/>
    </w:rPr>
  </w:style>
  <w:style w:type="paragraph" w:styleId="Sinespaciado">
    <w:name w:val="No Spacing"/>
    <w:aliases w:val="Francesa"/>
    <w:link w:val="SinespaciadoCar"/>
    <w:uiPriority w:val="1"/>
    <w:qFormat w:val="1"/>
    <w:rsid w:val="000D0148"/>
    <w:rPr>
      <w:rFonts w:asciiTheme="minorHAnsi" w:cstheme="minorBidi" w:eastAsiaTheme="minorHAnsi" w:hAnsiTheme="minorHAnsi"/>
      <w:sz w:val="22"/>
      <w:szCs w:val="22"/>
      <w:lang w:eastAsia="en-US"/>
    </w:rPr>
  </w:style>
  <w:style w:type="character" w:styleId="SinespaciadoCar" w:customStyle="1">
    <w:name w:val="Sin espaciado Car"/>
    <w:aliases w:val="Francesa Car"/>
    <w:link w:val="Sinespaciado"/>
    <w:uiPriority w:val="1"/>
    <w:locked w:val="1"/>
    <w:rsid w:val="000D0148"/>
    <w:rPr>
      <w:rFonts w:asciiTheme="minorHAnsi" w:cstheme="minorBidi" w:eastAsiaTheme="minorHAnsi" w:hAnsiTheme="minorHAnsi"/>
      <w:sz w:val="22"/>
      <w:szCs w:val="22"/>
      <w:lang w:eastAsia="en-US"/>
    </w:rPr>
  </w:style>
  <w:style w:type="paragraph" w:styleId="rtejustify" w:customStyle="1">
    <w:name w:val="rtejustify"/>
    <w:basedOn w:val="Normal"/>
    <w:rsid w:val="00876EB7"/>
    <w:pPr>
      <w:spacing w:after="100" w:afterAutospacing="1" w:before="100" w:beforeAutospacing="1"/>
    </w:pPr>
  </w:style>
  <w:style w:type="table" w:styleId="a5" w:customStyle="1">
    <w:basedOn w:val="TableNormalf"/>
    <w:tblPr>
      <w:tblStyleRowBandSize w:val="1"/>
      <w:tblStyleColBandSize w:val="1"/>
      <w:tblCellMar>
        <w:left w:w="108.0" w:type="dxa"/>
        <w:right w:w="108.0" w:type="dxa"/>
      </w:tblCellMar>
    </w:tblPr>
  </w:style>
  <w:style w:type="table" w:styleId="a6" w:customStyle="1">
    <w:basedOn w:val="TableNormalf"/>
    <w:tblPr>
      <w:tblStyleRowBandSize w:val="1"/>
      <w:tblStyleColBandSize w:val="1"/>
      <w:tblCellMar>
        <w:left w:w="108.0" w:type="dxa"/>
        <w:right w:w="108.0" w:type="dxa"/>
      </w:tblCellMar>
    </w:tblPr>
  </w:style>
  <w:style w:type="table" w:styleId="a7" w:customStyle="1">
    <w:basedOn w:val="TableNormalf"/>
    <w:tblPr>
      <w:tblStyleRowBandSize w:val="1"/>
      <w:tblStyleColBandSize w:val="1"/>
      <w:tblCellMar>
        <w:left w:w="108.0" w:type="dxa"/>
        <w:right w:w="108.0" w:type="dxa"/>
      </w:tblCellMar>
    </w:tblPr>
  </w:style>
  <w:style w:type="table" w:styleId="a8" w:customStyle="1">
    <w:basedOn w:val="TableNormalf"/>
    <w:tblPr>
      <w:tblStyleRowBandSize w:val="1"/>
      <w:tblStyleColBandSize w:val="1"/>
      <w:tblCellMar>
        <w:left w:w="108.0" w:type="dxa"/>
        <w:right w:w="108.0" w:type="dxa"/>
      </w:tblCellMar>
    </w:tblPr>
  </w:style>
  <w:style w:type="table" w:styleId="a9" w:customStyle="1">
    <w:basedOn w:val="TableNormalf"/>
    <w:tblPr>
      <w:tblStyleRowBandSize w:val="1"/>
      <w:tblStyleColBandSize w:val="1"/>
      <w:tblCellMar>
        <w:left w:w="108.0" w:type="dxa"/>
        <w:right w:w="108.0" w:type="dxa"/>
      </w:tblCellMar>
    </w:tblPr>
  </w:style>
  <w:style w:type="table" w:styleId="aa" w:customStyle="1">
    <w:basedOn w:val="TableNormalf"/>
    <w:tblPr>
      <w:tblStyleRowBandSize w:val="1"/>
      <w:tblStyleColBandSize w:val="1"/>
      <w:tblCellMar>
        <w:left w:w="115.0" w:type="dxa"/>
        <w:right w:w="115.0" w:type="dxa"/>
      </w:tblCellMar>
    </w:tblPr>
  </w:style>
  <w:style w:type="table" w:styleId="ab" w:customStyle="1">
    <w:basedOn w:val="TableNormalf"/>
    <w:tblPr>
      <w:tblStyleRowBandSize w:val="1"/>
      <w:tblStyleColBandSize w:val="1"/>
      <w:tblCellMar>
        <w:left w:w="115.0" w:type="dxa"/>
        <w:right w:w="115.0" w:type="dxa"/>
      </w:tblCellMar>
    </w:tblPr>
  </w:style>
  <w:style w:type="table" w:styleId="ac" w:customStyle="1">
    <w:basedOn w:val="TableNormale"/>
    <w:tblPr>
      <w:tblStyleRowBandSize w:val="1"/>
      <w:tblStyleColBandSize w:val="1"/>
      <w:tblCellMar>
        <w:left w:w="108.0" w:type="dxa"/>
        <w:right w:w="108.0" w:type="dxa"/>
      </w:tblCellMar>
    </w:tblPr>
  </w:style>
  <w:style w:type="table" w:styleId="ad" w:customStyle="1">
    <w:basedOn w:val="TableNormale"/>
    <w:tblPr>
      <w:tblStyleRowBandSize w:val="1"/>
      <w:tblStyleColBandSize w:val="1"/>
      <w:tblCellMar>
        <w:left w:w="115.0" w:type="dxa"/>
        <w:right w:w="115.0" w:type="dxa"/>
      </w:tblCellMar>
    </w:tblPr>
  </w:style>
  <w:style w:type="table" w:styleId="ae" w:customStyle="1">
    <w:basedOn w:val="TableNormale"/>
    <w:tblPr>
      <w:tblStyleRowBandSize w:val="1"/>
      <w:tblStyleColBandSize w:val="1"/>
      <w:tblCellMar>
        <w:left w:w="115.0" w:type="dxa"/>
        <w:right w:w="115.0" w:type="dxa"/>
      </w:tblCellMar>
    </w:tblPr>
  </w:style>
  <w:style w:type="table" w:styleId="af" w:customStyle="1">
    <w:basedOn w:val="TableNormald"/>
    <w:tblPr>
      <w:tblStyleRowBandSize w:val="1"/>
      <w:tblStyleColBandSize w:val="1"/>
      <w:tblCellMar>
        <w:left w:w="115.0" w:type="dxa"/>
        <w:right w:w="115.0" w:type="dxa"/>
      </w:tblCellMar>
    </w:tblPr>
  </w:style>
  <w:style w:type="table" w:styleId="af0" w:customStyle="1">
    <w:basedOn w:val="TableNormald"/>
    <w:tblPr>
      <w:tblStyleRowBandSize w:val="1"/>
      <w:tblStyleColBandSize w:val="1"/>
      <w:tblCellMar>
        <w:left w:w="115.0" w:type="dxa"/>
        <w:right w:w="115.0" w:type="dxa"/>
      </w:tblCellMar>
    </w:tblPr>
  </w:style>
  <w:style w:type="table" w:styleId="af1" w:customStyle="1">
    <w:basedOn w:val="TableNormald"/>
    <w:tblPr>
      <w:tblStyleRowBandSize w:val="1"/>
      <w:tblStyleColBandSize w:val="1"/>
      <w:tblCellMar>
        <w:left w:w="115.0" w:type="dxa"/>
        <w:right w:w="115.0" w:type="dxa"/>
      </w:tblCellMar>
    </w:tblPr>
  </w:style>
  <w:style w:type="table" w:styleId="af2" w:customStyle="1">
    <w:basedOn w:val="TableNormalc"/>
    <w:tblPr>
      <w:tblStyleRowBandSize w:val="1"/>
      <w:tblStyleColBandSize w:val="1"/>
      <w:tblCellMar>
        <w:left w:w="115.0" w:type="dxa"/>
        <w:right w:w="115.0" w:type="dxa"/>
      </w:tblCellMar>
    </w:tblPr>
  </w:style>
  <w:style w:type="table" w:styleId="af3" w:customStyle="1">
    <w:basedOn w:val="TableNormalc"/>
    <w:tblPr>
      <w:tblStyleRowBandSize w:val="1"/>
      <w:tblStyleColBandSize w:val="1"/>
      <w:tblCellMar>
        <w:left w:w="115.0" w:type="dxa"/>
        <w:right w:w="115.0" w:type="dxa"/>
      </w:tblCellMar>
    </w:tblPr>
  </w:style>
  <w:style w:type="table" w:styleId="af4" w:customStyle="1">
    <w:basedOn w:val="TableNormalb"/>
    <w:tblPr>
      <w:tblStyleRowBandSize w:val="1"/>
      <w:tblStyleColBandSize w:val="1"/>
      <w:tblCellMar>
        <w:left w:w="115.0" w:type="dxa"/>
        <w:right w:w="115.0" w:type="dxa"/>
      </w:tblCellMar>
    </w:tblPr>
  </w:style>
  <w:style w:type="table" w:styleId="af5" w:customStyle="1">
    <w:basedOn w:val="TableNormalb"/>
    <w:tblPr>
      <w:tblStyleRowBandSize w:val="1"/>
      <w:tblStyleColBandSize w:val="1"/>
      <w:tblCellMar>
        <w:left w:w="115.0" w:type="dxa"/>
        <w:right w:w="115.0" w:type="dxa"/>
      </w:tblCellMar>
    </w:tblPr>
  </w:style>
  <w:style w:type="table" w:styleId="af6" w:customStyle="1">
    <w:basedOn w:val="TableNormala"/>
    <w:tblPr>
      <w:tblStyleRowBandSize w:val="1"/>
      <w:tblStyleColBandSize w:val="1"/>
      <w:tblCellMar>
        <w:left w:w="115.0" w:type="dxa"/>
        <w:right w:w="115.0" w:type="dxa"/>
      </w:tblCellMar>
    </w:tblPr>
  </w:style>
  <w:style w:type="table" w:styleId="af7" w:customStyle="1">
    <w:basedOn w:val="TableNormala"/>
    <w:tblPr>
      <w:tblStyleRowBandSize w:val="1"/>
      <w:tblStyleColBandSize w:val="1"/>
      <w:tblCellMar>
        <w:left w:w="115.0" w:type="dxa"/>
        <w:right w:w="115.0" w:type="dxa"/>
      </w:tblCellMar>
    </w:tblPr>
  </w:style>
  <w:style w:type="character" w:styleId="Textoennegrita">
    <w:name w:val="Strong"/>
    <w:basedOn w:val="Fuentedeprrafopredeter"/>
    <w:uiPriority w:val="22"/>
    <w:qFormat w:val="1"/>
    <w:rsid w:val="002C02D7"/>
    <w:rPr>
      <w:b w:val="1"/>
      <w:bCs w:val="1"/>
    </w:rPr>
  </w:style>
  <w:style w:type="character" w:styleId="object" w:customStyle="1">
    <w:name w:val="object"/>
    <w:basedOn w:val="Fuentedeprrafopredeter"/>
    <w:rsid w:val="002C02D7"/>
  </w:style>
  <w:style w:type="table" w:styleId="af8" w:customStyle="1">
    <w:basedOn w:val="TableNormal9"/>
    <w:tblPr>
      <w:tblStyleRowBandSize w:val="1"/>
      <w:tblStyleColBandSize w:val="1"/>
      <w:tblCellMar>
        <w:left w:w="115.0" w:type="dxa"/>
        <w:right w:w="115.0" w:type="dxa"/>
      </w:tblCellMar>
    </w:tblPr>
  </w:style>
  <w:style w:type="table" w:styleId="af9" w:customStyle="1">
    <w:basedOn w:val="TableNormal9"/>
    <w:tblPr>
      <w:tblStyleRowBandSize w:val="1"/>
      <w:tblStyleColBandSize w:val="1"/>
      <w:tblCellMar>
        <w:left w:w="115.0" w:type="dxa"/>
        <w:right w:w="115.0" w:type="dxa"/>
      </w:tblCellMar>
    </w:tblPr>
  </w:style>
  <w:style w:type="table" w:styleId="afa" w:customStyle="1">
    <w:basedOn w:val="TableNormal8"/>
    <w:tblPr>
      <w:tblStyleRowBandSize w:val="1"/>
      <w:tblStyleColBandSize w:val="1"/>
      <w:tblCellMar>
        <w:left w:w="115.0" w:type="dxa"/>
        <w:right w:w="115.0" w:type="dxa"/>
      </w:tblCellMar>
    </w:tblPr>
  </w:style>
  <w:style w:type="table" w:styleId="afb" w:customStyle="1">
    <w:basedOn w:val="TableNormal8"/>
    <w:tblPr>
      <w:tblStyleRowBandSize w:val="1"/>
      <w:tblStyleColBandSize w:val="1"/>
      <w:tblCellMar>
        <w:left w:w="115.0" w:type="dxa"/>
        <w:right w:w="115.0" w:type="dxa"/>
      </w:tblCellMar>
    </w:tblPr>
  </w:style>
  <w:style w:type="table" w:styleId="afc" w:customStyle="1">
    <w:basedOn w:val="TableNormal7"/>
    <w:tblPr>
      <w:tblStyleRowBandSize w:val="1"/>
      <w:tblStyleColBandSize w:val="1"/>
      <w:tblCellMar>
        <w:left w:w="115.0" w:type="dxa"/>
        <w:right w:w="115.0" w:type="dxa"/>
      </w:tblCellMar>
    </w:tblPr>
  </w:style>
  <w:style w:type="table" w:styleId="afd" w:customStyle="1">
    <w:basedOn w:val="TableNormal7"/>
    <w:tblPr>
      <w:tblStyleRowBandSize w:val="1"/>
      <w:tblStyleColBandSize w:val="1"/>
      <w:tblCellMar>
        <w:left w:w="115.0" w:type="dxa"/>
        <w:right w:w="115.0" w:type="dxa"/>
      </w:tblCellMar>
    </w:tblPr>
  </w:style>
  <w:style w:type="table" w:styleId="afe" w:customStyle="1">
    <w:basedOn w:val="TableNormal6"/>
    <w:tblPr>
      <w:tblStyleRowBandSize w:val="1"/>
      <w:tblStyleColBandSize w:val="1"/>
      <w:tblCellMar>
        <w:left w:w="115.0" w:type="dxa"/>
        <w:right w:w="115.0" w:type="dxa"/>
      </w:tblCellMar>
    </w:tblPr>
  </w:style>
  <w:style w:type="table" w:styleId="aff" w:customStyle="1">
    <w:basedOn w:val="TableNormal6"/>
    <w:tblPr>
      <w:tblStyleRowBandSize w:val="1"/>
      <w:tblStyleColBandSize w:val="1"/>
      <w:tblCellMar>
        <w:left w:w="115.0" w:type="dxa"/>
        <w:right w:w="115.0" w:type="dxa"/>
      </w:tblCellMar>
    </w:tblPr>
  </w:style>
  <w:style w:type="table" w:styleId="aff0" w:customStyle="1">
    <w:basedOn w:val="TableNormal5"/>
    <w:tblPr>
      <w:tblStyleRowBandSize w:val="1"/>
      <w:tblStyleColBandSize w:val="1"/>
      <w:tblCellMar>
        <w:left w:w="115.0" w:type="dxa"/>
        <w:right w:w="115.0" w:type="dxa"/>
      </w:tblCellMar>
    </w:tblPr>
  </w:style>
  <w:style w:type="table" w:styleId="aff1" w:customStyle="1">
    <w:basedOn w:val="TableNormal5"/>
    <w:tblPr>
      <w:tblStyleRowBandSize w:val="1"/>
      <w:tblStyleColBandSize w:val="1"/>
      <w:tblCellMar>
        <w:left w:w="115.0" w:type="dxa"/>
        <w:right w:w="115.0" w:type="dxa"/>
      </w:tblCellMar>
    </w:tblPr>
  </w:style>
  <w:style w:type="table" w:styleId="aff2" w:customStyle="1">
    <w:basedOn w:val="TableNormal4"/>
    <w:tblPr>
      <w:tblStyleRowBandSize w:val="1"/>
      <w:tblStyleColBandSize w:val="1"/>
      <w:tblCellMar>
        <w:left w:w="115.0" w:type="dxa"/>
        <w:right w:w="115.0" w:type="dxa"/>
      </w:tblCellMar>
    </w:tblPr>
  </w:style>
  <w:style w:type="table" w:styleId="aff3" w:customStyle="1">
    <w:basedOn w:val="TableNormal4"/>
    <w:tblPr>
      <w:tblStyleRowBandSize w:val="1"/>
      <w:tblStyleColBandSize w:val="1"/>
      <w:tblCellMar>
        <w:left w:w="115.0" w:type="dxa"/>
        <w:right w:w="115.0" w:type="dxa"/>
      </w:tblCellMar>
    </w:tblPr>
  </w:style>
  <w:style w:type="table" w:styleId="aff4" w:customStyle="1">
    <w:basedOn w:val="TableNormal3"/>
    <w:tblPr>
      <w:tblStyleRowBandSize w:val="1"/>
      <w:tblStyleColBandSize w:val="1"/>
      <w:tblCellMar>
        <w:left w:w="115.0" w:type="dxa"/>
        <w:right w:w="115.0" w:type="dxa"/>
      </w:tblCellMar>
    </w:tblPr>
  </w:style>
  <w:style w:type="table" w:styleId="aff5" w:customStyle="1">
    <w:basedOn w:val="TableNormal3"/>
    <w:tblPr>
      <w:tblStyleRowBandSize w:val="1"/>
      <w:tblStyleColBandSize w:val="1"/>
      <w:tblCellMar>
        <w:left w:w="115.0" w:type="dxa"/>
        <w:right w:w="115.0" w:type="dxa"/>
      </w:tblCellMar>
    </w:tblPr>
  </w:style>
  <w:style w:type="table" w:styleId="aff6" w:customStyle="1">
    <w:basedOn w:val="TableNormal2"/>
    <w:tblPr>
      <w:tblStyleRowBandSize w:val="1"/>
      <w:tblStyleColBandSize w:val="1"/>
      <w:tblCellMar>
        <w:left w:w="115.0" w:type="dxa"/>
        <w:right w:w="115.0" w:type="dxa"/>
      </w:tblCellMar>
    </w:tblPr>
  </w:style>
  <w:style w:type="table" w:styleId="aff7" w:customStyle="1">
    <w:basedOn w:val="TableNormal2"/>
    <w:tblPr>
      <w:tblStyleRowBandSize w:val="1"/>
      <w:tblStyleColBandSize w:val="1"/>
      <w:tblCellMar>
        <w:left w:w="115.0" w:type="dxa"/>
        <w:right w:w="115.0" w:type="dxa"/>
      </w:tblCellMar>
    </w:tblPr>
  </w:style>
  <w:style w:type="table" w:styleId="aff8" w:customStyle="1">
    <w:basedOn w:val="TableNormal1"/>
    <w:tblPr>
      <w:tblStyleRowBandSize w:val="1"/>
      <w:tblStyleColBandSize w:val="1"/>
      <w:tblCellMar>
        <w:left w:w="115.0" w:type="dxa"/>
        <w:right w:w="115.0" w:type="dxa"/>
      </w:tblCellMar>
    </w:tblPr>
  </w:style>
  <w:style w:type="table" w:styleId="aff9" w:customStyle="1">
    <w:basedOn w:val="TableNormal1"/>
    <w:tblPr>
      <w:tblStyleRowBandSize w:val="1"/>
      <w:tblStyleColBandSize w:val="1"/>
      <w:tblCellMar>
        <w:left w:w="115.0" w:type="dxa"/>
        <w:right w:w="115.0" w:type="dxa"/>
      </w:tblCellMar>
    </w:tblPr>
  </w:style>
  <w:style w:type="table" w:styleId="affa" w:customStyle="1">
    <w:basedOn w:val="TableNormal0"/>
    <w:tblPr>
      <w:tblStyleRowBandSize w:val="1"/>
      <w:tblStyleColBandSize w:val="1"/>
      <w:tblCellMar>
        <w:left w:w="115.0" w:type="dxa"/>
        <w:right w:w="115.0" w:type="dxa"/>
      </w:tblCellMar>
    </w:tblPr>
  </w:style>
  <w:style w:type="table" w:styleId="affb"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about:bla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TbMxHtKrRScrpxsnwbfLAF7Qug==">CgMxLjAyCWguM3JkY3JqbjIOaC5kYWozajJ4bzZxNjYyCGguZ2pkZ3hzMgloLjNkeTZ2a20yCWguMzBqMHpsbDIJaC4yczhleW8xMghoLnR5amN3dDIJaC4yZXQ5MnAwMg5oLmlqdjk4cG50Y2Q1czIJaC4yNmluMXJnMg1oLmg3bnpiNzl3bHJhMg5oLjU5bnB4eXhwb21qZDgAciExMjVSWmgzUGU0Rm14ekJZUDZZRU1XTkxHLVBGWWhfNmI=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2026-09-04T16:49:00Z</dcterms:created>
  <dc:creator>USUARIO</dc:creator>
</cp:coreProperties>
</file>