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Palatino Linotype" w:cs="Palatino Linotype" w:eastAsia="Palatino Linotype" w:hAnsi="Palatino Linotype"/>
          <w:sz w:val="22"/>
          <w:szCs w:val="22"/>
        </w:rPr>
      </w:pPr>
      <w:bookmarkStart w:colFirst="0" w:colLast="0" w:name="_heading=h.9lys3seak9uh" w:id="0"/>
      <w:bookmarkEnd w:id="0"/>
      <w:r w:rsidDel="00000000" w:rsidR="00000000" w:rsidRPr="00000000">
        <w:rPr>
          <w:rFonts w:ascii="Palatino Linotype" w:cs="Palatino Linotype" w:eastAsia="Palatino Linotype" w:hAnsi="Palatino Linotype"/>
          <w:sz w:val="22"/>
          <w:szCs w:val="22"/>
          <w:rtl w:val="0"/>
        </w:rPr>
        <w:t xml:space="preserve">Resolución del Pleno del Instituto de Transparencia, Acceso a la Información Pública y Protección de Datos Personales del Estado de México y Municipios, con domicilio en Metepec, Estado de México, a </w:t>
      </w:r>
      <w:r w:rsidDel="00000000" w:rsidR="00000000" w:rsidRPr="00000000">
        <w:rPr>
          <w:rFonts w:ascii="Palatino Linotype" w:cs="Palatino Linotype" w:eastAsia="Palatino Linotype" w:hAnsi="Palatino Linotype"/>
          <w:b w:val="1"/>
          <w:bCs w:val="1"/>
          <w:sz w:val="22"/>
          <w:szCs w:val="22"/>
          <w:rtl w:val="0"/>
        </w:rPr>
        <w:t xml:space="preserve">diecinueve de agosto de dos mil veinticinco</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0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VISTO</w:t>
      </w:r>
      <w:r w:rsidDel="00000000" w:rsidR="00000000" w:rsidRPr="00000000">
        <w:rPr>
          <w:rFonts w:ascii="Palatino Linotype" w:cs="Palatino Linotype" w:eastAsia="Palatino Linotype" w:hAnsi="Palatino Linotype"/>
          <w:sz w:val="22"/>
          <w:szCs w:val="22"/>
          <w:rtl w:val="0"/>
        </w:rPr>
        <w:t xml:space="preserve"> el expediente formado con motivo del recurso de revisión </w:t>
      </w:r>
      <w:r w:rsidDel="00000000" w:rsidR="00000000" w:rsidRPr="00000000">
        <w:rPr>
          <w:rFonts w:ascii="Palatino Linotype" w:cs="Palatino Linotype" w:eastAsia="Palatino Linotype" w:hAnsi="Palatino Linotype"/>
          <w:b w:val="1"/>
          <w:bCs w:val="1"/>
          <w:sz w:val="22"/>
          <w:szCs w:val="22"/>
          <w:rtl w:val="0"/>
        </w:rPr>
        <w:t xml:space="preserve">06649/INFOEM/IP/RR/2026</w:t>
      </w:r>
      <w:r w:rsidDel="00000000" w:rsidR="00000000" w:rsidRPr="00000000">
        <w:rPr>
          <w:rFonts w:ascii="Palatino Linotype" w:cs="Palatino Linotype" w:eastAsia="Palatino Linotype" w:hAnsi="Palatino Linotype"/>
          <w:sz w:val="22"/>
          <w:szCs w:val="22"/>
          <w:rtl w:val="0"/>
        </w:rPr>
        <w:t xml:space="preserve">, interpuesto por</w:t>
      </w:r>
      <w:r w:rsidDel="00000000" w:rsidR="00000000" w:rsidRPr="00000000">
        <w:rPr>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una persona que no proporcionó nombre o seudónimo,</w:t>
      </w:r>
      <w:r w:rsidDel="00000000" w:rsidR="00000000" w:rsidRPr="00000000">
        <w:rPr>
          <w:rFonts w:ascii="Palatino Linotype" w:cs="Palatino Linotype" w:eastAsia="Palatino Linotype" w:hAnsi="Palatino Linotype"/>
          <w:sz w:val="22"/>
          <w:szCs w:val="22"/>
          <w:rtl w:val="0"/>
        </w:rPr>
        <w:t xml:space="preserve"> en lo sucesivo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contra de la respuesta a la solicitud de información con número de folio </w:t>
      </w:r>
      <w:r w:rsidDel="00000000" w:rsidR="00000000" w:rsidRPr="00000000">
        <w:rPr>
          <w:rFonts w:ascii="Palatino Linotype" w:cs="Palatino Linotype" w:eastAsia="Palatino Linotype" w:hAnsi="Palatino Linotype"/>
          <w:b w:val="1"/>
          <w:bCs w:val="1"/>
          <w:sz w:val="22"/>
          <w:szCs w:val="22"/>
          <w:rtl w:val="0"/>
        </w:rPr>
        <w:t xml:space="preserve">00033/OASZINACAN/IP/2026, </w:t>
      </w:r>
      <w:r w:rsidDel="00000000" w:rsidR="00000000" w:rsidRPr="00000000">
        <w:rPr>
          <w:rFonts w:ascii="Palatino Linotype" w:cs="Palatino Linotype" w:eastAsia="Palatino Linotype" w:hAnsi="Palatino Linotype"/>
          <w:sz w:val="22"/>
          <w:szCs w:val="22"/>
          <w:rtl w:val="0"/>
        </w:rPr>
        <w:t xml:space="preserve">por parte del </w:t>
      </w:r>
      <w:r w:rsidDel="00000000" w:rsidR="00000000" w:rsidRPr="00000000">
        <w:rPr>
          <w:rFonts w:ascii="Palatino Linotype" w:cs="Palatino Linotype" w:eastAsia="Palatino Linotype" w:hAnsi="Palatino Linotype"/>
          <w:b w:val="1"/>
          <w:bCs w:val="1"/>
          <w:sz w:val="22"/>
          <w:szCs w:val="22"/>
          <w:rtl w:val="0"/>
        </w:rPr>
        <w:t xml:space="preserve">Organismo Público Descentralizado para la Prestación de Los Servicios de Agua Potable Alcantarillado y Saneamiento de Zinacantepec, </w:t>
      </w:r>
      <w:r w:rsidDel="00000000" w:rsidR="00000000" w:rsidRPr="00000000">
        <w:rPr>
          <w:rFonts w:ascii="Palatino Linotype" w:cs="Palatino Linotype" w:eastAsia="Palatino Linotype" w:hAnsi="Palatino Linotype"/>
          <w:sz w:val="22"/>
          <w:szCs w:val="22"/>
          <w:rtl w:val="0"/>
        </w:rPr>
        <w:t xml:space="preserve">en lo sucesivo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se procede a dictar la presente resolución con base en los siguientes: </w:t>
      </w:r>
    </w:p>
    <w:p w:rsidR="00000000" w:rsidDel="00000000" w:rsidP="00000000" w:rsidRDefault="00000000" w:rsidRPr="00000000" w14:paraId="00000004">
      <w:pPr>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 A N T E C E D E N T E S</w:t>
      </w:r>
    </w:p>
    <w:p w:rsidR="00000000" w:rsidDel="00000000" w:rsidP="00000000" w:rsidRDefault="00000000" w:rsidRPr="00000000" w14:paraId="00000005">
      <w:pPr>
        <w:spacing w:line="360" w:lineRule="auto"/>
        <w:jc w:val="center"/>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06">
      <w:pPr>
        <w:spacing w:line="360" w:lineRule="auto"/>
        <w:jc w:val="both"/>
        <w:rPr>
          <w:rFonts w:ascii="Palatino Linotype" w:cs="Palatino Linotype" w:eastAsia="Palatino Linotype" w:hAnsi="Palatino Linotype"/>
          <w:sz w:val="22"/>
          <w:szCs w:val="22"/>
        </w:rPr>
      </w:pPr>
      <w:bookmarkStart w:colFirst="0" w:colLast="0" w:name="_heading=h.4d34og8" w:id="1"/>
      <w:bookmarkEnd w:id="1"/>
      <w:r w:rsidDel="00000000" w:rsidR="00000000" w:rsidRPr="00000000">
        <w:rPr>
          <w:rFonts w:ascii="Palatino Linotype" w:cs="Palatino Linotype" w:eastAsia="Palatino Linotype" w:hAnsi="Palatino Linotype"/>
          <w:b w:val="1"/>
          <w:bCs w:val="1"/>
          <w:sz w:val="22"/>
          <w:szCs w:val="22"/>
          <w:rtl w:val="0"/>
        </w:rPr>
        <w:t xml:space="preserve">1. Solicitud de acceso a la información.</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veintinueve de mayo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presentó, a través del Sistema de Acceso a la Información Mexiquense, en lo subsecuente el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ante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la solicitud de acceso a la información pública, mediante la cual requirió la información siguiente: </w:t>
      </w:r>
    </w:p>
    <w:p w:rsidR="00000000" w:rsidDel="00000000" w:rsidP="00000000" w:rsidRDefault="00000000" w:rsidRPr="00000000" w14:paraId="00000007">
      <w:pPr>
        <w:ind w:left="851" w:right="902" w:firstLine="0"/>
        <w:jc w:val="both"/>
        <w:rPr>
          <w:rFonts w:ascii="Palatino Linotype" w:cs="Palatino Linotype" w:eastAsia="Palatino Linotype" w:hAnsi="Palatino Linotype"/>
          <w:i w:val="1"/>
          <w:iCs w:val="1"/>
          <w:sz w:val="22"/>
          <w:szCs w:val="22"/>
        </w:rPr>
      </w:pPr>
      <w:bookmarkStart w:colFirst="0" w:colLast="0" w:name="_heading=h.gjdgxs" w:id="2"/>
      <w:bookmarkEnd w:id="2"/>
      <w:r w:rsidDel="00000000" w:rsidR="00000000" w:rsidRPr="00000000">
        <w:rPr>
          <w:rFonts w:ascii="Palatino Linotype" w:cs="Palatino Linotype" w:eastAsia="Palatino Linotype" w:hAnsi="Palatino Linotype"/>
          <w:i w:val="1"/>
          <w:iCs w:val="1"/>
          <w:sz w:val="22"/>
          <w:szCs w:val="22"/>
          <w:rtl w:val="0"/>
        </w:rPr>
        <w:t xml:space="preserve"> “Solicito información sobre cuántos medidores de agua fueron instalados, reemplazados o retirados durante 2025, 2024 y 2026” (sic) </w:t>
      </w:r>
    </w:p>
    <w:p w:rsidR="00000000" w:rsidDel="00000000" w:rsidP="00000000" w:rsidRDefault="00000000" w:rsidRPr="00000000" w14:paraId="00000008">
      <w:pPr>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09">
      <w:pPr>
        <w:spacing w:line="360" w:lineRule="auto"/>
        <w:jc w:val="both"/>
        <w:rPr>
          <w:rFonts w:ascii="Palatino Linotype" w:cs="Palatino Linotype" w:eastAsia="Palatino Linotype" w:hAnsi="Palatino Linotype"/>
          <w:b w:val="1"/>
          <w:bCs w:val="1"/>
          <w:sz w:val="22"/>
          <w:szCs w:val="22"/>
        </w:rPr>
      </w:pPr>
      <w:bookmarkStart w:colFirst="0" w:colLast="0" w:name="_heading=h.3dy6vkm" w:id="3"/>
      <w:bookmarkEnd w:id="3"/>
      <w:r w:rsidDel="00000000" w:rsidR="00000000" w:rsidRPr="00000000">
        <w:rPr>
          <w:rFonts w:ascii="Palatino Linotype" w:cs="Palatino Linotype" w:eastAsia="Palatino Linotype" w:hAnsi="Palatino Linotype"/>
          <w:b w:val="1"/>
          <w:bCs w:val="1"/>
          <w:sz w:val="22"/>
          <w:szCs w:val="22"/>
          <w:rtl w:val="0"/>
        </w:rPr>
        <w:t xml:space="preserve">Modalidad de Entrega:</w:t>
      </w:r>
      <w:r w:rsidDel="00000000" w:rsidR="00000000" w:rsidRPr="00000000">
        <w:rPr>
          <w:rFonts w:ascii="Palatino Linotype" w:cs="Palatino Linotype" w:eastAsia="Palatino Linotype" w:hAnsi="Palatino Linotype"/>
          <w:sz w:val="22"/>
          <w:szCs w:val="22"/>
          <w:rtl w:val="0"/>
        </w:rPr>
        <w:t xml:space="preserve"> a través </w:t>
      </w:r>
      <w:r w:rsidDel="00000000" w:rsidR="00000000" w:rsidRPr="00000000">
        <w:rPr>
          <w:rFonts w:ascii="Palatino Linotype" w:cs="Palatino Linotype" w:eastAsia="Palatino Linotype" w:hAnsi="Palatino Linotype"/>
          <w:b w:val="1"/>
          <w:bCs w:val="1"/>
          <w:sz w:val="22"/>
          <w:szCs w:val="22"/>
          <w:rtl w:val="0"/>
        </w:rPr>
        <w:t xml:space="preserve">de SAIMEX</w:t>
      </w:r>
    </w:p>
    <w:p w:rsidR="00000000" w:rsidDel="00000000" w:rsidP="00000000" w:rsidRDefault="00000000" w:rsidRPr="00000000" w14:paraId="0000000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2. Respuesta. </w:t>
      </w:r>
      <w:r w:rsidDel="00000000" w:rsidR="00000000" w:rsidRPr="00000000">
        <w:rPr>
          <w:rFonts w:ascii="Palatino Linotype" w:cs="Palatino Linotype" w:eastAsia="Palatino Linotype" w:hAnsi="Palatino Linotype"/>
          <w:sz w:val="22"/>
          <w:szCs w:val="22"/>
          <w:rtl w:val="0"/>
        </w:rPr>
        <w:t xml:space="preserve">El</w:t>
      </w:r>
      <w:r w:rsidDel="00000000" w:rsidR="00000000" w:rsidRPr="00000000">
        <w:rPr>
          <w:rFonts w:ascii="Palatino Linotype" w:cs="Palatino Linotype" w:eastAsia="Palatino Linotype" w:hAnsi="Palatino Linotype"/>
          <w:b w:val="1"/>
          <w:bCs w:val="1"/>
          <w:sz w:val="22"/>
          <w:szCs w:val="22"/>
          <w:rtl w:val="0"/>
        </w:rPr>
        <w:t xml:space="preserve"> diecinueve de junio de dos mil veintiséis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envió su respuesta a la solicitud de acceso a la información a través de SAIMEX, sustancialmente en los términos siguientes:</w:t>
      </w:r>
    </w:p>
    <w:p w:rsidR="00000000" w:rsidDel="00000000" w:rsidP="00000000" w:rsidRDefault="00000000" w:rsidRPr="00000000" w14:paraId="0000000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D">
      <w:pPr>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“…Se anexa respuesta......” (sic)</w:t>
      </w:r>
    </w:p>
    <w:p w:rsidR="00000000" w:rsidDel="00000000" w:rsidP="00000000" w:rsidRDefault="00000000" w:rsidRPr="00000000" w14:paraId="0000000E">
      <w:pPr>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tl w:val="0"/>
        </w:rPr>
      </w:r>
    </w:p>
    <w:p w:rsidR="00000000" w:rsidDel="00000000" w:rsidP="00000000" w:rsidRDefault="00000000" w:rsidRPr="00000000" w14:paraId="0000000F">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adjuntó a su escrito de respuesta, lo siguiente:</w:t>
      </w:r>
    </w:p>
    <w:p w:rsidR="00000000" w:rsidDel="00000000" w:rsidP="00000000" w:rsidRDefault="00000000" w:rsidRPr="00000000" w14:paraId="00000010">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1">
      <w:pPr>
        <w:numPr>
          <w:ilvl w:val="0"/>
          <w:numId w:val="2"/>
        </w:numPr>
        <w:pBdr>
          <w:top w:space="0" w:sz="0" w:val="nil"/>
          <w:left w:space="0" w:sz="0" w:val="nil"/>
          <w:bottom w:space="0" w:sz="0" w:val="nil"/>
          <w:right w:space="0" w:sz="0" w:val="nil"/>
          <w:between w:space="0" w:sz="0" w:val="nil"/>
        </w:pBdr>
        <w:spacing w:line="360" w:lineRule="auto"/>
        <w:ind w:left="720" w:right="49"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del 18 de junio de 2026, a través del cual la Titular de la UIPPE remitió la respuesta del servidor público habilitado competente.</w:t>
      </w:r>
    </w:p>
    <w:p w:rsidR="00000000" w:rsidDel="00000000" w:rsidP="00000000" w:rsidRDefault="00000000" w:rsidRPr="00000000" w14:paraId="00000012">
      <w:pPr>
        <w:numPr>
          <w:ilvl w:val="0"/>
          <w:numId w:val="2"/>
        </w:numPr>
        <w:pBdr>
          <w:top w:space="0" w:sz="0" w:val="nil"/>
          <w:left w:space="0" w:sz="0" w:val="nil"/>
          <w:bottom w:space="0" w:sz="0" w:val="nil"/>
          <w:right w:space="0" w:sz="0" w:val="nil"/>
          <w:between w:space="0" w:sz="0" w:val="nil"/>
        </w:pBdr>
        <w:spacing w:line="360" w:lineRule="auto"/>
        <w:ind w:left="720" w:right="49"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del 19 de junio de 2026, a través del cual el Director de Administración, Finanzas y Comercialización del OPDAPAS Zinacantepec, refirió que lo solicitado forma parte de bases de datos administrativas que contiene información individualizada de usuarios, que corresponde a información confidencial y por tanto no era posible remitir la misma.</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49"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3. Interposición del recurso de revisión. </w:t>
      </w:r>
      <w:r w:rsidDel="00000000" w:rsidR="00000000" w:rsidRPr="00000000">
        <w:rPr>
          <w:rFonts w:ascii="Palatino Linotype" w:cs="Palatino Linotype" w:eastAsia="Palatino Linotype" w:hAnsi="Palatino Linotype"/>
          <w:sz w:val="22"/>
          <w:szCs w:val="22"/>
          <w:rtl w:val="0"/>
        </w:rPr>
        <w:t xml:space="preserve">Inconforme con los términos de la respuesta emitida por parte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veintitrés de junio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interpuso el recurso de revisión a través de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en donde se manifestó de la siguiente manera:</w:t>
      </w:r>
    </w:p>
    <w:p w:rsidR="00000000" w:rsidDel="00000000" w:rsidP="00000000" w:rsidRDefault="00000000" w:rsidRPr="00000000" w14:paraId="00000015">
      <w:pPr>
        <w:spacing w:line="360" w:lineRule="auto"/>
        <w:ind w:right="49"/>
        <w:jc w:val="both"/>
        <w:rPr>
          <w:rFonts w:ascii="Palatino Linotype" w:cs="Palatino Linotype" w:eastAsia="Palatino Linotype" w:hAnsi="Palatino Linotype"/>
          <w:b w:val="1"/>
          <w:bCs w:val="1"/>
          <w:sz w:val="18"/>
          <w:szCs w:val="18"/>
        </w:rPr>
      </w:pPr>
      <w:r w:rsidDel="00000000" w:rsidR="00000000" w:rsidRPr="00000000">
        <w:rPr>
          <w:rtl w:val="0"/>
        </w:rPr>
      </w:r>
    </w:p>
    <w:p w:rsidR="00000000" w:rsidDel="00000000" w:rsidP="00000000" w:rsidRDefault="00000000" w:rsidRPr="00000000" w14:paraId="00000016">
      <w:pPr>
        <w:tabs>
          <w:tab w:val="left" w:leader="none" w:pos="2745"/>
        </w:tabs>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Acto impugnado: </w:t>
      </w:r>
    </w:p>
    <w:p w:rsidR="00000000" w:rsidDel="00000000" w:rsidP="00000000" w:rsidRDefault="00000000" w:rsidRPr="00000000" w14:paraId="00000017">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“Solicito información sobre cuántos medidores de agua fueron instalados, reemplazados o retirados durante 2025, 2024 y 2026” (sic)</w:t>
      </w:r>
    </w:p>
    <w:p w:rsidR="00000000" w:rsidDel="00000000" w:rsidP="00000000" w:rsidRDefault="00000000" w:rsidRPr="00000000" w14:paraId="00000018">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9">
      <w:pPr>
        <w:spacing w:line="360" w:lineRule="auto"/>
        <w:jc w:val="both"/>
        <w:rPr>
          <w:rFonts w:ascii="Palatino Linotype" w:cs="Palatino Linotype" w:eastAsia="Palatino Linotype" w:hAnsi="Palatino Linotype"/>
          <w:sz w:val="22"/>
          <w:szCs w:val="22"/>
        </w:rPr>
      </w:pPr>
      <w:bookmarkStart w:colFirst="0" w:colLast="0" w:name="_heading=h.30j0zll" w:id="4"/>
      <w:bookmarkEnd w:id="4"/>
      <w:r w:rsidDel="00000000" w:rsidR="00000000" w:rsidRPr="00000000">
        <w:rPr>
          <w:rFonts w:ascii="Palatino Linotype" w:cs="Palatino Linotype" w:eastAsia="Palatino Linotype" w:hAnsi="Palatino Linotype"/>
          <w:b w:val="1"/>
          <w:bCs w:val="1"/>
          <w:sz w:val="22"/>
          <w:szCs w:val="22"/>
          <w:rtl w:val="0"/>
        </w:rPr>
        <w:t xml:space="preserve">Y Razones o motivos de inconformidad</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1A">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“No entrega Información” (sic)</w:t>
      </w:r>
    </w:p>
    <w:p w:rsidR="00000000" w:rsidDel="00000000" w:rsidP="00000000" w:rsidRDefault="00000000" w:rsidRPr="00000000" w14:paraId="0000001B">
      <w:pPr>
        <w:tabs>
          <w:tab w:val="left" w:leader="none" w:pos="2745"/>
        </w:tabs>
        <w:ind w:left="851" w:right="900"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C">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4. Turno. </w:t>
      </w:r>
      <w:r w:rsidDel="00000000" w:rsidR="00000000" w:rsidRPr="00000000">
        <w:rPr>
          <w:rFonts w:ascii="Palatino Linotype" w:cs="Palatino Linotype" w:eastAsia="Palatino Linotype" w:hAnsi="Palatino Linotype"/>
          <w:sz w:val="22"/>
          <w:szCs w:val="22"/>
          <w:rtl w:val="0"/>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Del="00000000" w:rsidR="00000000" w:rsidRPr="00000000">
        <w:rPr>
          <w:rFonts w:ascii="Palatino Linotype" w:cs="Palatino Linotype" w:eastAsia="Palatino Linotype" w:hAnsi="Palatino Linotype"/>
          <w:b w:val="1"/>
          <w:bCs w:val="1"/>
          <w:sz w:val="22"/>
          <w:szCs w:val="22"/>
          <w:rtl w:val="0"/>
        </w:rPr>
        <w:t xml:space="preserve">Guadalupe Ramírez Peña, </w:t>
      </w:r>
      <w:r w:rsidDel="00000000" w:rsidR="00000000" w:rsidRPr="00000000">
        <w:rPr>
          <w:rFonts w:ascii="Palatino Linotype" w:cs="Palatino Linotype" w:eastAsia="Palatino Linotype" w:hAnsi="Palatino Linotype"/>
          <w:sz w:val="22"/>
          <w:szCs w:val="22"/>
          <w:rtl w:val="0"/>
        </w:rPr>
        <w:t xml:space="preserve">a efecto de que analizara sobre su admisión o su desechamiento.</w:t>
      </w:r>
    </w:p>
    <w:p w:rsidR="00000000" w:rsidDel="00000000" w:rsidP="00000000" w:rsidRDefault="00000000" w:rsidRPr="00000000" w14:paraId="0000001D">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E">
      <w:pPr>
        <w:spacing w:line="360" w:lineRule="auto"/>
        <w:jc w:val="both"/>
        <w:rPr>
          <w:rFonts w:ascii="Palatino Linotype" w:cs="Palatino Linotype" w:eastAsia="Palatino Linotype" w:hAnsi="Palatino Linotype"/>
          <w:sz w:val="22"/>
          <w:szCs w:val="22"/>
        </w:rPr>
      </w:pPr>
      <w:bookmarkStart w:colFirst="0" w:colLast="0" w:name="_heading=h.2s8eyo1" w:id="5"/>
      <w:bookmarkEnd w:id="5"/>
      <w:r w:rsidDel="00000000" w:rsidR="00000000" w:rsidRPr="00000000">
        <w:rPr>
          <w:rFonts w:ascii="Palatino Linotype" w:cs="Palatino Linotype" w:eastAsia="Palatino Linotype" w:hAnsi="Palatino Linotype"/>
          <w:b w:val="1"/>
          <w:bCs w:val="1"/>
          <w:sz w:val="22"/>
          <w:szCs w:val="22"/>
          <w:rtl w:val="0"/>
        </w:rPr>
        <w:t xml:space="preserve">5. Admisión del Recurso de revisión.</w:t>
      </w:r>
      <w:r w:rsidDel="00000000" w:rsidR="00000000" w:rsidRPr="00000000">
        <w:rPr>
          <w:rFonts w:ascii="Palatino Linotype" w:cs="Palatino Linotype" w:eastAsia="Palatino Linotype" w:hAnsi="Palatino Linotype"/>
          <w:sz w:val="22"/>
          <w:szCs w:val="22"/>
          <w:rtl w:val="0"/>
        </w:rPr>
        <w:t xml:space="preserve"> El</w:t>
      </w:r>
      <w:r w:rsidDel="00000000" w:rsidR="00000000" w:rsidRPr="00000000">
        <w:rPr>
          <w:rFonts w:ascii="Palatino Linotype" w:cs="Palatino Linotype" w:eastAsia="Palatino Linotype" w:hAnsi="Palatino Linotype"/>
          <w:b w:val="1"/>
          <w:bCs w:val="1"/>
          <w:sz w:val="22"/>
          <w:szCs w:val="22"/>
          <w:rtl w:val="0"/>
        </w:rPr>
        <w:t xml:space="preserve"> veinticuatro de junio de dos mil veintiséis, </w:t>
      </w:r>
      <w:r w:rsidDel="00000000" w:rsidR="00000000" w:rsidRPr="00000000">
        <w:rPr>
          <w:rFonts w:ascii="Palatino Linotype" w:cs="Palatino Linotype" w:eastAsia="Palatino Linotype" w:hAnsi="Palatino Linotype"/>
          <w:sz w:val="22"/>
          <w:szCs w:val="22"/>
          <w:rtl w:val="0"/>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presentara su informe justificado.</w:t>
      </w:r>
    </w:p>
    <w:p w:rsidR="00000000" w:rsidDel="00000000" w:rsidP="00000000" w:rsidRDefault="00000000" w:rsidRPr="00000000" w14:paraId="0000001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0">
      <w:pPr>
        <w:widowControl w:val="0"/>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6. Manifestaciones</w:t>
      </w:r>
      <w:r w:rsidDel="00000000" w:rsidR="00000000" w:rsidRPr="00000000">
        <w:rPr>
          <w:rFonts w:ascii="Palatino Linotype" w:cs="Palatino Linotype" w:eastAsia="Palatino Linotype" w:hAnsi="Palatino Linotype"/>
          <w:sz w:val="22"/>
          <w:szCs w:val="22"/>
          <w:rtl w:val="0"/>
        </w:rPr>
        <w:t xml:space="preserve">. De constancias del expediente electrónico del SAIMEX, se observa que las partes fueron omisas en hacer valer manifestaciones, como se muestra de la siguiente digitalización:</w:t>
      </w:r>
    </w:p>
    <w:p w:rsidR="00000000" w:rsidDel="00000000" w:rsidP="00000000" w:rsidRDefault="00000000" w:rsidRPr="00000000" w14:paraId="00000021">
      <w:pPr>
        <w:widowControl w:val="0"/>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2">
      <w:pPr>
        <w:widowControl w:val="0"/>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612130" cy="1353185"/>
            <wp:effectExtent b="0" l="0" r="0" t="0"/>
            <wp:docPr id="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612130" cy="1353185"/>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4">
      <w:pPr>
        <w:spacing w:line="360" w:lineRule="auto"/>
        <w:jc w:val="both"/>
        <w:rPr>
          <w:rFonts w:ascii="Palatino Linotype" w:cs="Palatino Linotype" w:eastAsia="Palatino Linotype" w:hAnsi="Palatino Linotype"/>
          <w:sz w:val="22"/>
          <w:szCs w:val="22"/>
        </w:rPr>
      </w:pPr>
      <w:bookmarkStart w:colFirst="0" w:colLast="0" w:name="_heading=h.jwywqgwzpu7e" w:id="6"/>
      <w:bookmarkEnd w:id="6"/>
      <w:r w:rsidDel="00000000" w:rsidR="00000000" w:rsidRPr="00000000">
        <w:rPr>
          <w:rFonts w:ascii="Palatino Linotype" w:cs="Palatino Linotype" w:eastAsia="Palatino Linotype" w:hAnsi="Palatino Linotype"/>
          <w:b w:val="1"/>
          <w:bCs w:val="1"/>
          <w:sz w:val="22"/>
          <w:szCs w:val="22"/>
          <w:rtl w:val="0"/>
        </w:rPr>
        <w:t xml:space="preserve">7. Cierre de instrucción. </w:t>
      </w:r>
      <w:r w:rsidDel="00000000" w:rsidR="00000000" w:rsidRPr="00000000">
        <w:rPr>
          <w:rFonts w:ascii="Palatino Linotype" w:cs="Palatino Linotype" w:eastAsia="Palatino Linotype" w:hAnsi="Palatino Linotype"/>
          <w:sz w:val="22"/>
          <w:szCs w:val="22"/>
          <w:rtl w:val="0"/>
        </w:rPr>
        <w:t xml:space="preserve">Una vez transcurrido el periodo otorgado a las partes para realizar sus manifestaciones y no habiendo documentos que integrar al expediente, con fecha </w:t>
      </w:r>
      <w:r w:rsidDel="00000000" w:rsidR="00000000" w:rsidRPr="00000000">
        <w:rPr>
          <w:rFonts w:ascii="Palatino Linotype" w:cs="Palatino Linotype" w:eastAsia="Palatino Linotype" w:hAnsi="Palatino Linotype"/>
          <w:b w:val="1"/>
          <w:bCs w:val="1"/>
          <w:sz w:val="22"/>
          <w:szCs w:val="22"/>
          <w:rtl w:val="0"/>
        </w:rPr>
        <w:t xml:space="preserve">doce de agosto de dos mil veintiséis,</w:t>
      </w:r>
      <w:r w:rsidDel="00000000" w:rsidR="00000000" w:rsidRPr="00000000">
        <w:rPr>
          <w:rFonts w:ascii="Palatino Linotype" w:cs="Palatino Linotype" w:eastAsia="Palatino Linotype" w:hAnsi="Palatino Linotype"/>
          <w:sz w:val="22"/>
          <w:szCs w:val="22"/>
          <w:rtl w:val="0"/>
        </w:rPr>
        <w:t xml:space="preserve"> la Comisionada Ponente determinó el cierre de instrucción en términos de la fracción VI del artículo 185 de la Ley de Transparencia y Acceso a la Información Pública del Estado de México y Municipios.</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razón de que fue debidamente sustanciado el expediente electrónico y no existe diligencia pendiente de desahogo, se emite la Resolución que conforme a Derecho proceda, de acuerdo con los siguientes: </w:t>
      </w:r>
    </w:p>
    <w:p w:rsidR="00000000" w:rsidDel="00000000" w:rsidP="00000000" w:rsidRDefault="00000000" w:rsidRPr="00000000" w14:paraId="00000027">
      <w:pPr>
        <w:widowControl w:val="0"/>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 C O N S I D E R A N D O S</w:t>
      </w:r>
    </w:p>
    <w:p w:rsidR="00000000" w:rsidDel="00000000" w:rsidP="00000000" w:rsidRDefault="00000000" w:rsidRPr="00000000" w14:paraId="00000028">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Competencia.</w:t>
      </w:r>
      <w:r w:rsidDel="00000000" w:rsidR="00000000" w:rsidRPr="00000000">
        <w:rPr>
          <w:rFonts w:ascii="Palatino Linotype" w:cs="Palatino Linotype" w:eastAsia="Palatino Linotype" w:hAnsi="Palatino Linotype"/>
          <w:sz w:val="22"/>
          <w:szCs w:val="22"/>
          <w:rtl w:val="0"/>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rsidR="00000000" w:rsidDel="00000000" w:rsidP="00000000" w:rsidRDefault="00000000" w:rsidRPr="00000000" w14:paraId="00000029">
      <w:pPr>
        <w:spacing w:after="240" w:before="240" w:line="360" w:lineRule="auto"/>
        <w:jc w:val="both"/>
        <w:rPr>
          <w:rFonts w:ascii="Palatino Linotype" w:cs="Palatino Linotype" w:eastAsia="Palatino Linotype" w:hAnsi="Palatino Linotype"/>
          <w:sz w:val="22"/>
          <w:szCs w:val="22"/>
        </w:rPr>
      </w:pPr>
      <w:bookmarkStart w:colFirst="0" w:colLast="0" w:name="_heading=h.tyjcwt" w:id="7"/>
      <w:bookmarkEnd w:id="7"/>
      <w:r w:rsidDel="00000000" w:rsidR="00000000" w:rsidRPr="00000000">
        <w:rPr>
          <w:rFonts w:ascii="Palatino Linotype" w:cs="Palatino Linotype" w:eastAsia="Palatino Linotype" w:hAnsi="Palatino Linotype"/>
          <w:b w:val="1"/>
          <w:bCs w:val="1"/>
          <w:sz w:val="22"/>
          <w:szCs w:val="22"/>
          <w:rtl w:val="0"/>
        </w:rPr>
        <w:t xml:space="preserve">Segundo. Oportunidad y Procedibilidad del Recurso de Revisión</w:t>
      </w:r>
      <w:r w:rsidDel="00000000" w:rsidR="00000000" w:rsidRPr="00000000">
        <w:rPr>
          <w:rFonts w:ascii="Palatino Linotype" w:cs="Palatino Linotype" w:eastAsia="Palatino Linotype" w:hAnsi="Palatino Linotype"/>
          <w:sz w:val="22"/>
          <w:szCs w:val="22"/>
          <w:rtl w:val="0"/>
        </w:rPr>
        <w:t xml:space="preserve">.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rsidR="00000000" w:rsidDel="00000000" w:rsidP="00000000" w:rsidRDefault="00000000" w:rsidRPr="00000000" w14:paraId="0000002A">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recurso de revisión fue interpuesto dentro del plazo de quince días hábiles, previsto en el artículo 178 de la Ley de Transparencia y Acceso a la Información Pública del Estado de México y Municipios, toda vez que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remitió la respuesta a la solicitud de información el </w:t>
      </w:r>
      <w:r w:rsidDel="00000000" w:rsidR="00000000" w:rsidRPr="00000000">
        <w:rPr>
          <w:rFonts w:ascii="Palatino Linotype" w:cs="Palatino Linotype" w:eastAsia="Palatino Linotype" w:hAnsi="Palatino Linotype"/>
          <w:b w:val="1"/>
          <w:bCs w:val="1"/>
          <w:sz w:val="22"/>
          <w:szCs w:val="22"/>
          <w:rtl w:val="0"/>
        </w:rPr>
        <w:t xml:space="preserve">diecinueve de junio de dos mil veintiséis, </w:t>
      </w:r>
      <w:r w:rsidDel="00000000" w:rsidR="00000000" w:rsidRPr="00000000">
        <w:rPr>
          <w:rFonts w:ascii="Palatino Linotype" w:cs="Palatino Linotype" w:eastAsia="Palatino Linotype" w:hAnsi="Palatino Linotype"/>
          <w:sz w:val="22"/>
          <w:szCs w:val="22"/>
          <w:rtl w:val="0"/>
        </w:rPr>
        <w:t xml:space="preserve">mientras que el recurso de revisión interpuesto por </w:t>
      </w:r>
      <w:r w:rsidDel="00000000" w:rsidR="00000000" w:rsidRPr="00000000">
        <w:rPr>
          <w:rFonts w:ascii="Palatino Linotype" w:cs="Palatino Linotype" w:eastAsia="Palatino Linotype" w:hAnsi="Palatino Linotype"/>
          <w:b w:val="1"/>
          <w:bCs w:val="1"/>
          <w:sz w:val="22"/>
          <w:szCs w:val="22"/>
          <w:rtl w:val="0"/>
        </w:rPr>
        <w:t xml:space="preserve">la parte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se tuvo por presentado el </w:t>
      </w:r>
      <w:r w:rsidDel="00000000" w:rsidR="00000000" w:rsidRPr="00000000">
        <w:rPr>
          <w:rFonts w:ascii="Palatino Linotype" w:cs="Palatino Linotype" w:eastAsia="Palatino Linotype" w:hAnsi="Palatino Linotype"/>
          <w:b w:val="1"/>
          <w:bCs w:val="1"/>
          <w:sz w:val="22"/>
          <w:szCs w:val="22"/>
          <w:rtl w:val="0"/>
        </w:rPr>
        <w:t xml:space="preserve">veintitrés de junio de dos mil veintiséis</w:t>
      </w:r>
      <w:r w:rsidDel="00000000" w:rsidR="00000000" w:rsidRPr="00000000">
        <w:rPr>
          <w:rFonts w:ascii="Palatino Linotype" w:cs="Palatino Linotype" w:eastAsia="Palatino Linotype" w:hAnsi="Palatino Linotype"/>
          <w:sz w:val="22"/>
          <w:szCs w:val="22"/>
          <w:rtl w:val="0"/>
        </w:rPr>
        <w:t xml:space="preserve"> esto es, al segundo día hábil </w:t>
      </w:r>
      <w:r w:rsidDel="00000000" w:rsidR="00000000" w:rsidRPr="00000000">
        <w:rPr>
          <w:rFonts w:ascii="Palatino Linotype" w:cs="Palatino Linotype" w:eastAsia="Palatino Linotype" w:hAnsi="Palatino Linotype"/>
          <w:b w:val="1"/>
          <w:bCs w:val="1"/>
          <w:sz w:val="22"/>
          <w:szCs w:val="22"/>
          <w:rtl w:val="0"/>
        </w:rPr>
        <w:t xml:space="preserve">en que se tuvo conocimiento de la respuesta impugnada</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2B">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este sentido, se concluye que el presente recurso de revisión se encuentra dentro de los márgenes temporales previstos en las disposiciones legales referidas.</w:t>
      </w:r>
    </w:p>
    <w:p w:rsidR="00000000" w:rsidDel="00000000" w:rsidP="00000000" w:rsidRDefault="00000000" w:rsidRPr="00000000" w14:paraId="0000002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otro lado, es de suma importancia mencionar que, si bien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no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proporcionó nombre,</w:t>
      </w:r>
      <w:r w:rsidDel="00000000" w:rsidR="00000000" w:rsidRPr="00000000">
        <w:rPr>
          <w:rFonts w:ascii="Palatino Linotype" w:cs="Palatino Linotype" w:eastAsia="Palatino Linotype" w:hAnsi="Palatino Linotype"/>
          <w:sz w:val="22"/>
          <w:szCs w:val="22"/>
          <w:rtl w:val="0"/>
        </w:rPr>
        <w:t xml:space="preserve"> como se advierte en el detalle de seguimiento del SAIMEX; sin embargo, el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rsidR="00000000" w:rsidDel="00000000" w:rsidP="00000000" w:rsidRDefault="00000000" w:rsidRPr="00000000" w14:paraId="0000002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E">
      <w:pPr>
        <w:spacing w:line="276" w:lineRule="auto"/>
        <w:ind w:left="851" w:right="902"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Las solicitudes </w:t>
      </w:r>
      <w:r w:rsidDel="00000000" w:rsidR="00000000" w:rsidRPr="00000000">
        <w:rPr>
          <w:rFonts w:ascii="Palatino Linotype" w:cs="Palatino Linotype" w:eastAsia="Palatino Linotype" w:hAnsi="Palatino Linotype"/>
          <w:i w:val="1"/>
          <w:iCs w:val="1"/>
          <w:sz w:val="22"/>
          <w:szCs w:val="22"/>
          <w:rtl w:val="0"/>
        </w:rPr>
        <w:t xml:space="preserve">anónimas, con nombre incompleto o seudónimo </w:t>
      </w:r>
      <w:r w:rsidDel="00000000" w:rsidR="00000000" w:rsidRPr="00000000">
        <w:rPr>
          <w:rFonts w:ascii="Palatino Linotype" w:cs="Palatino Linotype" w:eastAsia="Palatino Linotype" w:hAnsi="Palatino Linotype"/>
          <w:b w:val="1"/>
          <w:bCs w:val="1"/>
          <w:i w:val="1"/>
          <w:iCs w:val="1"/>
          <w:sz w:val="22"/>
          <w:szCs w:val="22"/>
          <w:rtl w:val="0"/>
        </w:rPr>
        <w:t xml:space="preserve">serán procedentes para su trámite por parte del sujeto obligado ante quien se presente</w:t>
      </w:r>
      <w:r w:rsidDel="00000000" w:rsidR="00000000" w:rsidRPr="00000000">
        <w:rPr>
          <w:rFonts w:ascii="Palatino Linotype" w:cs="Palatino Linotype" w:eastAsia="Palatino Linotype" w:hAnsi="Palatino Linotype"/>
          <w:i w:val="1"/>
          <w:iCs w:val="1"/>
          <w:sz w:val="22"/>
          <w:szCs w:val="22"/>
          <w:rtl w:val="0"/>
        </w:rPr>
        <w:t xml:space="preserve">. No podrá requerirse información adicional con motivo del nombre proporcionado por el solicitante."</w:t>
      </w:r>
      <w:r w:rsidDel="00000000" w:rsidR="00000000" w:rsidRPr="00000000">
        <w:rPr>
          <w:rtl w:val="0"/>
        </w:rPr>
      </w:r>
    </w:p>
    <w:p w:rsidR="00000000" w:rsidDel="00000000" w:rsidP="00000000" w:rsidRDefault="00000000" w:rsidRPr="00000000" w14:paraId="0000002F">
      <w:pPr>
        <w:tabs>
          <w:tab w:val="left" w:leader="none" w:pos="7938"/>
        </w:tabs>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mismo tiempo, por cuanto hace a la procedibilidad del recurso de revisión, una vez realizado el análisis del formato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SAIMEX.</w:t>
      </w:r>
    </w:p>
    <w:p w:rsidR="00000000" w:rsidDel="00000000" w:rsidP="00000000" w:rsidRDefault="00000000" w:rsidRPr="00000000" w14:paraId="00000030">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Finalmente, se advierte que resulta procedente la interposición del recurso, según lo manifestado por </w:t>
      </w:r>
      <w:r w:rsidDel="00000000" w:rsidR="00000000" w:rsidRPr="00000000">
        <w:rPr>
          <w:rFonts w:ascii="Palatino Linotype" w:cs="Palatino Linotype" w:eastAsia="Palatino Linotype" w:hAnsi="Palatino Linotype"/>
          <w:b w:val="1"/>
          <w:bCs w:val="1"/>
          <w:sz w:val="22"/>
          <w:szCs w:val="22"/>
          <w:rtl w:val="0"/>
        </w:rPr>
        <w:t xml:space="preserve">la parte</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sus motivos de inconformidad, de acuerdo al artículo 179, fracción V del ordenamiento legal citado, que a la letra dice: </w:t>
      </w:r>
    </w:p>
    <w:p w:rsidR="00000000" w:rsidDel="00000000" w:rsidP="00000000" w:rsidRDefault="00000000" w:rsidRPr="00000000" w14:paraId="00000031">
      <w:pPr>
        <w:spacing w:line="360" w:lineRule="auto"/>
        <w:ind w:left="567"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179.</w:t>
      </w:r>
      <w:r w:rsidDel="00000000" w:rsidR="00000000" w:rsidRPr="00000000">
        <w:rPr>
          <w:rFonts w:ascii="Palatino Linotype" w:cs="Palatino Linotype" w:eastAsia="Palatino Linotype" w:hAnsi="Palatino Linotype"/>
          <w:i w:val="1"/>
          <w:iCs w:val="1"/>
          <w:sz w:val="22"/>
          <w:szCs w:val="22"/>
          <w:rtl w:val="0"/>
        </w:rPr>
        <w:t xml:space="preserve"> El recurso de revisión es un medio de protección que la Ley otorga a los particulares, para hacer valer su derecho de acceso a la información pública, y procederá en contra de las siguientes causas:</w:t>
      </w:r>
    </w:p>
    <w:p w:rsidR="00000000" w:rsidDel="00000000" w:rsidP="00000000" w:rsidRDefault="00000000" w:rsidRPr="00000000" w14:paraId="00000032">
      <w:pPr>
        <w:spacing w:line="360" w:lineRule="auto"/>
        <w:ind w:left="567"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 La negativa a la información solicitada;</w:t>
      </w:r>
    </w:p>
    <w:p w:rsidR="00000000" w:rsidDel="00000000" w:rsidP="00000000" w:rsidRDefault="00000000" w:rsidRPr="00000000" w14:paraId="00000033">
      <w:pPr>
        <w:spacing w:line="360" w:lineRule="auto"/>
        <w:ind w:left="567"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w:t>
      </w:r>
    </w:p>
    <w:p w:rsidR="00000000" w:rsidDel="00000000" w:rsidP="00000000" w:rsidRDefault="00000000" w:rsidRPr="00000000" w14:paraId="00000034">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Materia de la revisión. </w:t>
      </w:r>
      <w:r w:rsidDel="00000000" w:rsidR="00000000" w:rsidRPr="00000000">
        <w:rPr>
          <w:rFonts w:ascii="Palatino Linotype" w:cs="Palatino Linotype" w:eastAsia="Palatino Linotype" w:hAnsi="Palatino Linotype"/>
          <w:sz w:val="22"/>
          <w:szCs w:val="22"/>
          <w:rtl w:val="0"/>
        </w:rPr>
        <w:t xml:space="preserve">De la revisión a las constancias y documentos que obran en el expediente electrónico se advierte, que el tema sobre el que este Organismo Garante de Transparencia y Acceso a la Información se pronunciará será: </w:t>
      </w:r>
      <w:r w:rsidDel="00000000" w:rsidR="00000000" w:rsidRPr="00000000">
        <w:rPr>
          <w:rFonts w:ascii="Palatino Linotype" w:cs="Palatino Linotype" w:eastAsia="Palatino Linotype" w:hAnsi="Palatino Linotype"/>
          <w:b w:val="1"/>
          <w:bCs w:val="1"/>
          <w:sz w:val="22"/>
          <w:szCs w:val="22"/>
          <w:rtl w:val="0"/>
        </w:rPr>
        <w:t xml:space="preserve">verificar si la información proporcionada por el Sujeto Obligado es adecuada y suficiente para satisfacer el derecho de acceso a la información pública </w:t>
      </w:r>
      <w:r w:rsidDel="00000000" w:rsidR="00000000" w:rsidRPr="00000000">
        <w:rPr>
          <w:rFonts w:ascii="Palatino Linotype" w:cs="Palatino Linotype" w:eastAsia="Palatino Linotype" w:hAnsi="Palatino Linotype"/>
          <w:sz w:val="22"/>
          <w:szCs w:val="22"/>
          <w:rtl w:val="0"/>
        </w:rPr>
        <w:t xml:space="preserve">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o en su defecto, en caso de ser procedente, ordenar la entrega de información.</w:t>
      </w:r>
      <w:r w:rsidDel="00000000" w:rsidR="00000000" w:rsidRPr="00000000">
        <w:rPr>
          <w:rtl w:val="0"/>
        </w:rPr>
      </w:r>
    </w:p>
    <w:p w:rsidR="00000000" w:rsidDel="00000000" w:rsidP="00000000" w:rsidRDefault="00000000" w:rsidRPr="00000000" w14:paraId="00000035">
      <w:pPr>
        <w:spacing w:after="240" w:before="240" w:line="360" w:lineRule="auto"/>
        <w:jc w:val="both"/>
        <w:rPr>
          <w:rFonts w:ascii="Palatino Linotype" w:cs="Palatino Linotype" w:eastAsia="Palatino Linotype" w:hAnsi="Palatino Linotype"/>
          <w:sz w:val="22"/>
          <w:szCs w:val="22"/>
        </w:rPr>
      </w:pPr>
      <w:bookmarkStart w:colFirst="0" w:colLast="0" w:name="_heading=h.2et92p0" w:id="8"/>
      <w:bookmarkEnd w:id="8"/>
      <w:r w:rsidDel="00000000" w:rsidR="00000000" w:rsidRPr="00000000">
        <w:rPr>
          <w:rFonts w:ascii="Palatino Linotype" w:cs="Palatino Linotype" w:eastAsia="Palatino Linotype" w:hAnsi="Palatino Linotype"/>
          <w:b w:val="1"/>
          <w:bCs w:val="1"/>
          <w:sz w:val="22"/>
          <w:szCs w:val="22"/>
          <w:rtl w:val="0"/>
        </w:rPr>
        <w:t xml:space="preserve">Cuarto. Estudio del asunto. </w:t>
      </w:r>
      <w:r w:rsidDel="00000000" w:rsidR="00000000" w:rsidRPr="00000000">
        <w:rPr>
          <w:rFonts w:ascii="Palatino Linotype" w:cs="Palatino Linotype" w:eastAsia="Palatino Linotype" w:hAnsi="Palatino Linotype"/>
          <w:sz w:val="22"/>
          <w:szCs w:val="22"/>
          <w:rtl w:val="0"/>
        </w:rPr>
        <w:t xml:space="preserve">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rsidR="00000000" w:rsidDel="00000000" w:rsidP="00000000" w:rsidRDefault="00000000" w:rsidRPr="00000000" w14:paraId="00000036">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4</w:t>
      </w:r>
      <w:r w:rsidDel="00000000" w:rsidR="00000000" w:rsidRPr="00000000">
        <w:rPr>
          <w:rFonts w:ascii="Palatino Linotype" w:cs="Palatino Linotype" w:eastAsia="Palatino Linotype" w:hAnsi="Palatino Linotype"/>
          <w:i w:val="1"/>
          <w:iCs w:val="1"/>
          <w:sz w:val="22"/>
          <w:szCs w:val="22"/>
          <w:rtl w:val="0"/>
        </w:rPr>
        <w:t xml:space="preserve">. El derecho humano de acceso a la información pública es la prerrogativa de las personas para buscar, difundir, investigar, recabar, recibir y solicitar información pública, sin necesidad de acreditar personalidad ni interés jurídico. </w:t>
      </w:r>
    </w:p>
    <w:p w:rsidR="00000000" w:rsidDel="00000000" w:rsidP="00000000" w:rsidRDefault="00000000" w:rsidRPr="00000000" w14:paraId="00000037">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Toda la información generada, obtenida, adquirida, transformada, administrada o en posesión de los sujetos obligados es pública y accesible de manera permanente a cualquier persona</w:t>
      </w:r>
      <w:r w:rsidDel="00000000" w:rsidR="00000000" w:rsidRPr="00000000">
        <w:rPr>
          <w:rFonts w:ascii="Palatino Linotype" w:cs="Palatino Linotype" w:eastAsia="Palatino Linotype" w:hAnsi="Palatino Linotype"/>
          <w:i w:val="1"/>
          <w:iCs w:val="1"/>
          <w:sz w:val="22"/>
          <w:szCs w:val="22"/>
          <w:rtl w:val="0"/>
        </w:rPr>
        <w:t xml:space="preserve">,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rsidR="00000000" w:rsidDel="00000000" w:rsidP="00000000" w:rsidRDefault="00000000" w:rsidRPr="00000000" w14:paraId="00000038">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deben poner en práctica, políticas y programas de acceso a la información que se apeguen a criterios de publicidad, veracidad, oportunidad, precisión y suficiencia en beneficio de los solicitantes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39">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rsidR="00000000" w:rsidDel="00000000" w:rsidP="00000000" w:rsidRDefault="00000000" w:rsidRPr="00000000" w14:paraId="0000003A">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12.-</w:t>
      </w:r>
      <w:r w:rsidDel="00000000" w:rsidR="00000000" w:rsidRPr="00000000">
        <w:rPr>
          <w:rFonts w:ascii="Palatino Linotype" w:cs="Palatino Linotype" w:eastAsia="Palatino Linotype" w:hAnsi="Palatino Linotype"/>
          <w:i w:val="1"/>
          <w:iCs w:val="1"/>
          <w:sz w:val="22"/>
          <w:szCs w:val="22"/>
          <w:rtl w:val="0"/>
        </w:rPr>
        <w:t xml:space="preserve"> Quienes generen, recopilen, administren, manejen, procesen, archiven o conserven información pública serán responsables de la misma en los términos de las disposiciones jurídicas aplicables. </w:t>
      </w:r>
    </w:p>
    <w:p w:rsidR="00000000" w:rsidDel="00000000" w:rsidP="00000000" w:rsidRDefault="00000000" w:rsidRPr="00000000" w14:paraId="0000003B">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sólo proporcionarán la información pública que se les requiera y que obre en sus archivos y en el estado en que ésta se encuentre</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La obligación de proporcionar información no comprende el procesamiento de la misma, ni el presentarla conforme al interés del solicitante; no estarán obligados a generarla, resumirla, efectuar cálculos o practicar investigaciones.”</w:t>
      </w:r>
      <w:r w:rsidDel="00000000" w:rsidR="00000000" w:rsidRPr="00000000">
        <w:rPr>
          <w:rtl w:val="0"/>
        </w:rPr>
      </w:r>
    </w:p>
    <w:p w:rsidR="00000000" w:rsidDel="00000000" w:rsidP="00000000" w:rsidRDefault="00000000" w:rsidRPr="00000000" w14:paraId="0000003C">
      <w:pPr>
        <w:spacing w:after="240" w:before="240" w:line="360" w:lineRule="auto"/>
        <w:ind w:right="-93"/>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rsidR="00000000" w:rsidDel="00000000" w:rsidP="00000000" w:rsidRDefault="00000000" w:rsidRPr="00000000" w14:paraId="0000003D">
      <w:pPr>
        <w:spacing w:after="240" w:before="240"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Sirve de apoyo a lo anterior, el criterio orientador con clave de control SO/003/2017, emitido por el entonces Instituto Nacional de Transparencia, Acceso a la Información y Protección de Datos Personales, que por rubro y texto, dispone lo siguiente:</w:t>
      </w:r>
      <w:r w:rsidDel="00000000" w:rsidR="00000000" w:rsidRPr="00000000">
        <w:rPr>
          <w:rFonts w:ascii="Palatino Linotype" w:cs="Palatino Linotype" w:eastAsia="Palatino Linotype" w:hAnsi="Palatino Linotype"/>
          <w:b w:val="1"/>
          <w:bCs w:val="1"/>
          <w:sz w:val="22"/>
          <w:szCs w:val="22"/>
          <w:rtl w:val="0"/>
        </w:rPr>
        <w:t xml:space="preserve"> </w:t>
      </w:r>
    </w:p>
    <w:p w:rsidR="00000000" w:rsidDel="00000000" w:rsidP="00000000" w:rsidRDefault="00000000" w:rsidRPr="00000000" w14:paraId="0000003E">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No existe obligación de elaborar documentos ad hoc para atender las solicitudes de acceso a la información.</w:t>
      </w:r>
      <w:r w:rsidDel="00000000" w:rsidR="00000000" w:rsidRPr="00000000">
        <w:rPr>
          <w:rFonts w:ascii="Palatino Linotype" w:cs="Palatino Linotype" w:eastAsia="Palatino Linotype" w:hAnsi="Palatino Linotype"/>
          <w:i w:val="1"/>
          <w:iCs w:val="1"/>
          <w:sz w:val="22"/>
          <w:szCs w:val="22"/>
          <w:rtl w:val="0"/>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rsidR="00000000" w:rsidDel="00000000" w:rsidP="00000000" w:rsidRDefault="00000000" w:rsidRPr="00000000" w14:paraId="0000003F">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rsidR="00000000" w:rsidDel="00000000" w:rsidP="00000000" w:rsidRDefault="00000000" w:rsidRPr="00000000" w14:paraId="00000040">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rsidR="00000000" w:rsidDel="00000000" w:rsidP="00000000" w:rsidRDefault="00000000" w:rsidRPr="00000000" w14:paraId="00000041">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 </w:t>
      </w:r>
      <w:r w:rsidDel="00000000" w:rsidR="00000000" w:rsidRPr="00000000">
        <w:rPr>
          <w:rFonts w:ascii="Palatino Linotype" w:cs="Palatino Linotype" w:eastAsia="Palatino Linotype" w:hAnsi="Palatino Linotype"/>
          <w:i w:val="1"/>
          <w:iCs w:val="1"/>
          <w:sz w:val="22"/>
          <w:szCs w:val="22"/>
          <w:rtl w:val="0"/>
        </w:rPr>
        <w:t xml:space="preserve">Para los efectos de la presente Ley se entenderá por:</w:t>
      </w:r>
    </w:p>
    <w:p w:rsidR="00000000" w:rsidDel="00000000" w:rsidP="00000000" w:rsidRDefault="00000000" w:rsidRPr="00000000" w14:paraId="00000042">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43">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 Documento:</w:t>
      </w:r>
      <w:r w:rsidDel="00000000" w:rsidR="00000000" w:rsidRPr="00000000">
        <w:rPr>
          <w:rFonts w:ascii="Palatino Linotype" w:cs="Palatino Linotype" w:eastAsia="Palatino Linotype" w:hAnsi="Palatino Linotype"/>
          <w:i w:val="1"/>
          <w:iCs w:val="1"/>
          <w:sz w:val="22"/>
          <w:szCs w:val="22"/>
          <w:rtl w:val="0"/>
        </w:rPr>
        <w:t xml:space="preserve"> Los expedientes, reportes, estudios, actas</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rsidR="00000000" w:rsidDel="00000000" w:rsidP="00000000" w:rsidRDefault="00000000" w:rsidRPr="00000000" w14:paraId="00000044">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rsidR="00000000" w:rsidDel="00000000" w:rsidP="00000000" w:rsidRDefault="00000000" w:rsidRPr="00000000" w14:paraId="00000045">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INFORMACIÓN PÚBLICA, CONCEPTO DE, EN MATERIA DE TRANSPARENCIA. INTERPRETACIÓN SISTEMÁTICA DE LOS ARTÍCULOS 2°, FRACCIÓN V, XV, Y XVI, 3°, 4°, 11 Y 41.</w:t>
      </w:r>
      <w:r w:rsidDel="00000000" w:rsidR="00000000" w:rsidRPr="00000000">
        <w:rPr>
          <w:rFonts w:ascii="Palatino Linotype" w:cs="Palatino Linotype" w:eastAsia="Palatino Linotype" w:hAnsi="Palatino Linotype"/>
          <w:i w:val="1"/>
          <w:iCs w:val="1"/>
          <w:sz w:val="22"/>
          <w:szCs w:val="22"/>
          <w:rtl w:val="0"/>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rsidR="00000000" w:rsidDel="00000000" w:rsidP="00000000" w:rsidRDefault="00000000" w:rsidRPr="00000000" w14:paraId="00000046">
      <w:pPr>
        <w:spacing w:after="240" w:before="240"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consecuencia el acceso a la información se refiere a que se cumplan cualquiera de los siguientes tres supuestos:</w:t>
      </w:r>
    </w:p>
    <w:p w:rsidR="00000000" w:rsidDel="00000000" w:rsidP="00000000" w:rsidRDefault="00000000" w:rsidRPr="00000000" w14:paraId="00000047">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1) Que se trate de información registrada en cualquier soporte documental, que en ejercicio de las atribuciones conferidas, sea generada por los Sujetos Obligados;</w:t>
      </w:r>
    </w:p>
    <w:p w:rsidR="00000000" w:rsidDel="00000000" w:rsidP="00000000" w:rsidRDefault="00000000" w:rsidRPr="00000000" w14:paraId="00000048">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2) Que se trate de información registrada en cualquier soporte documental, que en ejercicio de las atribuciones conferidas, sea administrada por los Sujetos Obligados, y</w:t>
      </w:r>
    </w:p>
    <w:p w:rsidR="00000000" w:rsidDel="00000000" w:rsidP="00000000" w:rsidRDefault="00000000" w:rsidRPr="00000000" w14:paraId="00000049">
      <w:pPr>
        <w:spacing w:after="240" w:before="240" w:line="360"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3) Que se trate de información registrada en cualquier soporte documental, que en ejercicio de las atribuciones conferidas, se encuentre en posesión de los Sujetos Obligados.”</w:t>
      </w:r>
    </w:p>
    <w:p w:rsidR="00000000" w:rsidDel="00000000" w:rsidP="00000000" w:rsidRDefault="00000000" w:rsidRPr="00000000" w14:paraId="0000004A">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rsidR="00000000" w:rsidDel="00000000" w:rsidP="00000000" w:rsidRDefault="00000000" w:rsidRPr="00000000" w14:paraId="0000004B">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rsidR="00000000" w:rsidDel="00000000" w:rsidP="00000000" w:rsidRDefault="00000000" w:rsidRPr="00000000" w14:paraId="0000004C">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del análisis de la solicitud de información, motivo del recurso de revisión que ahora se resuelve, se advierte que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requirió al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le proporcione, lo siguiente:</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240" w:line="360" w:lineRule="auto"/>
        <w:ind w:left="720" w:right="51" w:hanging="360"/>
        <w:jc w:val="both"/>
        <w:rPr>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Número de medidores de agua fueron instalados, reemplazados o retirados durante 2024, 2025 y 2026.</w:t>
      </w:r>
    </w:p>
    <w:p w:rsidR="00000000" w:rsidDel="00000000" w:rsidP="00000000" w:rsidRDefault="00000000" w:rsidRPr="00000000" w14:paraId="0000004E">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 relación a la información requerida, si bien el particular precisó que requería también del ejercicio dos mil veintiséis, dicha exigencia no es atendible, en razón de que el ejercicio solicitado aún no ha terminado, por lo que ordenar la entrega de información de todo el ejercicio dos mil veintiséis corresponde a hechos futuros.</w:t>
      </w:r>
    </w:p>
    <w:p w:rsidR="00000000" w:rsidDel="00000000" w:rsidP="00000000" w:rsidRDefault="00000000" w:rsidRPr="00000000" w14:paraId="0000004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ahí que, la información solicitada de la cual procede su entrega es a la generada previo a la fecha de la solicitud, por lo que respecto de dicho ejercicio, </w:t>
      </w:r>
      <w:r w:rsidDel="00000000" w:rsidR="00000000" w:rsidRPr="00000000">
        <w:rPr>
          <w:rFonts w:ascii="Palatino Linotype" w:cs="Palatino Linotype" w:eastAsia="Palatino Linotype" w:hAnsi="Palatino Linotype"/>
          <w:b w:val="1"/>
          <w:bCs w:val="1"/>
          <w:sz w:val="22"/>
          <w:szCs w:val="22"/>
          <w:rtl w:val="0"/>
        </w:rPr>
        <w:t xml:space="preserve">resulta dable tener como temporalidad de entrega de la información el periodo comprendido del 01 de enero al 29 de mayo de 2026.</w:t>
      </w:r>
      <w:r w:rsidDel="00000000" w:rsidR="00000000" w:rsidRPr="00000000">
        <w:rPr>
          <w:rtl w:val="0"/>
        </w:rPr>
      </w:r>
    </w:p>
    <w:p w:rsidR="00000000" w:rsidDel="00000000" w:rsidP="00000000" w:rsidRDefault="00000000" w:rsidRPr="00000000" w14:paraId="0000005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respuesta,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se pronunció por conducto del Director de Administración, Finanzas y Comercialización del OPDAPAS Zinacantepec, quien refirió que lo solicitado forma parte de bases de datos administrativas que contienen información individualizada de usuarios, que corresponde a información confidencial y por tanto no era posible remitir la misma.</w:t>
      </w:r>
    </w:p>
    <w:p w:rsidR="00000000" w:rsidDel="00000000" w:rsidP="00000000" w:rsidRDefault="00000000" w:rsidRPr="00000000" w14:paraId="0000005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Inconforme con la respuesta,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promovió el presente medio de impugnación señalando a manera de motivos de inconformidad la negativa a la entrega de la información.</w:t>
      </w:r>
    </w:p>
    <w:p w:rsidR="00000000" w:rsidDel="00000000" w:rsidP="00000000" w:rsidRDefault="00000000" w:rsidRPr="00000000" w14:paraId="0000005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de las constancias que obran en el SAIMEX se advierte que las partes fueron omisas en rendir manifestaciones o alegatos que conforme a derecho resultaran procedentes.</w:t>
      </w:r>
    </w:p>
    <w:p w:rsidR="00000000" w:rsidDel="00000000" w:rsidP="00000000" w:rsidRDefault="00000000" w:rsidRPr="00000000" w14:paraId="0000005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atendiendo la naturaleza de la información requerida conviene indicar que el Organismo Público Descentralizado de Agua Potable, Alcantarillado y Saneamiento del Municipio de Zinacantepec, conforme su Manual de Organización, tiene como atribución, </w:t>
      </w:r>
      <w:r w:rsidDel="00000000" w:rsidR="00000000" w:rsidRPr="00000000">
        <w:rPr>
          <w:rFonts w:ascii="Palatino Linotype" w:cs="Palatino Linotype" w:eastAsia="Palatino Linotype" w:hAnsi="Palatino Linotype"/>
          <w:b w:val="1"/>
          <w:bCs w:val="1"/>
          <w:sz w:val="22"/>
          <w:szCs w:val="22"/>
          <w:rtl w:val="0"/>
        </w:rPr>
        <w:t xml:space="preserve">regular y controlar las tomas domiciliarias, comerciales, industriales y públicas, así como los usos del agua y descargas al sistema de alcantarillado.</w:t>
      </w:r>
      <w:r w:rsidDel="00000000" w:rsidR="00000000" w:rsidRPr="00000000">
        <w:rPr>
          <w:rtl w:val="0"/>
        </w:rPr>
      </w:r>
    </w:p>
    <w:p w:rsidR="00000000" w:rsidDel="00000000" w:rsidP="00000000" w:rsidRDefault="00000000" w:rsidRPr="00000000" w14:paraId="0000005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Consecuentemente, debe señalarse que el mantenimiento o control de las tomas de agua incluye de manera directa la revisión, el desmontaje, la limpieza de filtros y, cuando el aparato cumple su ciclo de vida o presenta fallas, la instalación o sustitución de medidores; lo cual conoce el Organismo de Agua de mérito.</w:t>
      </w:r>
    </w:p>
    <w:p w:rsidR="00000000" w:rsidDel="00000000" w:rsidP="00000000" w:rsidRDefault="00000000" w:rsidRPr="00000000" w14:paraId="0000005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del análisis al marco normativo que regula al Organismo de Agua de mérito, se advierte que conforme su Manual de Organización este cuenta con un Departamento de Operación y Mantenimiento, el cual se encarga de </w:t>
      </w:r>
      <w:r w:rsidDel="00000000" w:rsidR="00000000" w:rsidRPr="00000000">
        <w:rPr>
          <w:rFonts w:ascii="Palatino Linotype" w:cs="Palatino Linotype" w:eastAsia="Palatino Linotype" w:hAnsi="Palatino Linotype"/>
          <w:sz w:val="22"/>
          <w:szCs w:val="22"/>
          <w:u w:val="single"/>
          <w:rtl w:val="0"/>
        </w:rPr>
        <w:t xml:space="preserve">realizar los trabajos primarios de diagnóstico y atención de las tomas domiciliarias y redes de distribución por obstrucción en el flujo de agua potable.</w:t>
      </w:r>
      <w:r w:rsidDel="00000000" w:rsidR="00000000" w:rsidRPr="00000000">
        <w:rPr>
          <w:rtl w:val="0"/>
        </w:rPr>
      </w:r>
    </w:p>
    <w:p w:rsidR="00000000" w:rsidDel="00000000" w:rsidP="00000000" w:rsidRDefault="00000000" w:rsidRPr="00000000" w14:paraId="0000005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E">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tanto, dicha unidad administrativa puede conocer la cantidad de medidores de agua que fueron instalados, reemplazados o retirados durante el periodo solicitado.</w:t>
      </w:r>
    </w:p>
    <w:p w:rsidR="00000000" w:rsidDel="00000000" w:rsidP="00000000" w:rsidRDefault="00000000" w:rsidRPr="00000000" w14:paraId="0000005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0">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No obstante, no pasa inadvertido para este Organismo Garante que, en el caso quien se pronunció fue la Dirección de Administración, Finanzas y Comercialización del OPDAPAS Zinacantepec.</w:t>
      </w:r>
    </w:p>
    <w:p w:rsidR="00000000" w:rsidDel="00000000" w:rsidP="00000000" w:rsidRDefault="00000000" w:rsidRPr="00000000" w14:paraId="00000061">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tanto, no se puede tener por cumplido el procedimiento establecido por el artículo 162 de la Ley de Transparencia y Acceso a la Información Pública del Estado de México y Municipios, ya que no se turnó la solicitud al área que puede conocer de la información requerida, de conformidad con la fracción XXXIX del artículo tercero de la legislación local vigente en materia de transparencia: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ind w:left="864" w:right="864" w:firstLine="0"/>
        <w:jc w:val="both"/>
        <w:rPr/>
      </w:pPr>
      <w:r w:rsidDel="00000000" w:rsidR="00000000" w:rsidRPr="00000000">
        <w:rPr>
          <w:rFonts w:ascii="Palatino Linotype" w:cs="Palatino Linotype" w:eastAsia="Palatino Linotype" w:hAnsi="Palatino Linotype"/>
          <w:i w:val="1"/>
          <w:iCs w:val="1"/>
          <w:sz w:val="22"/>
          <w:szCs w:val="22"/>
          <w:rtl w:val="0"/>
        </w:rPr>
        <w:t xml:space="preserve">XXXIX. Servidor público habilitado: Persona encargada dentro de las diversas unidades administrativas o áreas del sujeto obligado, de apoyar, gestionar y entregar la información o datos personales que se ubiquen en la misma, a sus respectivas unidades de transparencia; respecto de las solicitudes presentadas y aportar en primera instancia el fundamento y motivación de la clasificación de la información. </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ffffff" w:val="clear"/>
        <w:spacing w:line="360" w:lineRule="auto"/>
        <w:jc w:val="both"/>
        <w:rPr>
          <w:sz w:val="22"/>
          <w:szCs w:val="22"/>
        </w:rPr>
      </w:pPr>
      <w:r w:rsidDel="00000000" w:rsidR="00000000" w:rsidRPr="00000000">
        <w:rPr>
          <w:rFonts w:ascii="Palatino Linotype" w:cs="Palatino Linotype" w:eastAsia="Palatino Linotype" w:hAnsi="Palatino Linotype"/>
          <w:sz w:val="22"/>
          <w:szCs w:val="22"/>
          <w:rtl w:val="0"/>
        </w:rPr>
        <w:t xml:space="preserve">En este orden de ideas, se advierte que la Unidad de Transparencia NO cumplió con lo expresado en el artículo 162 de la Ley de Transparencia y Acceso a la Información Pública del Estado de México y Municipios, el cual menciona lo siguiente: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ind w:left="864" w:right="864" w:firstLine="0"/>
        <w:jc w:val="both"/>
        <w:rPr/>
      </w:pPr>
      <w:r w:rsidDel="00000000" w:rsidR="00000000" w:rsidRPr="00000000">
        <w:rPr>
          <w:rFonts w:ascii="Palatino Linotype" w:cs="Palatino Linotype" w:eastAsia="Palatino Linotype" w:hAnsi="Palatino Linotype"/>
          <w:i w:val="1"/>
          <w:iCs w:val="1"/>
          <w:sz w:val="22"/>
          <w:szCs w:val="22"/>
          <w:rtl w:val="0"/>
        </w:rPr>
        <w:t xml:space="preserve">“Artículo 162. Las unidades de transparencia deberán garantizar que las solicitudes </w:t>
      </w:r>
      <w:r w:rsidDel="00000000" w:rsidR="00000000" w:rsidRPr="00000000">
        <w:rPr>
          <w:rFonts w:ascii="Palatino Linotype" w:cs="Palatino Linotype" w:eastAsia="Palatino Linotype" w:hAnsi="Palatino Linotype"/>
          <w:b w:val="1"/>
          <w:bCs w:val="1"/>
          <w:i w:val="1"/>
          <w:iCs w:val="1"/>
          <w:sz w:val="22"/>
          <w:szCs w:val="22"/>
          <w:rtl w:val="0"/>
        </w:rPr>
        <w:t xml:space="preserve">se turnen a todas las Áreas competentes </w:t>
      </w:r>
      <w:r w:rsidDel="00000000" w:rsidR="00000000" w:rsidRPr="00000000">
        <w:rPr>
          <w:rFonts w:ascii="Palatino Linotype" w:cs="Palatino Linotype" w:eastAsia="Palatino Linotype" w:hAnsi="Palatino Linotype"/>
          <w:i w:val="1"/>
          <w:iCs w:val="1"/>
          <w:sz w:val="22"/>
          <w:szCs w:val="22"/>
          <w:rtl w:val="0"/>
        </w:rPr>
        <w:t xml:space="preserve">que cuenten con la información o deban tenerla de acuerdo a sus facultades, competencias y funciones, con el objeto de que realicen una búsqueda exhaustiva y razonable de la información solicitada.”</w:t>
      </w:r>
      <w:r w:rsidDel="00000000" w:rsidR="00000000" w:rsidRPr="00000000">
        <w:rPr>
          <w:rtl w:val="0"/>
        </w:rPr>
      </w:r>
    </w:p>
    <w:p w:rsidR="00000000" w:rsidDel="00000000" w:rsidP="00000000" w:rsidRDefault="00000000" w:rsidRPr="00000000" w14:paraId="00000069">
      <w:pPr>
        <w:widowControl w:val="0"/>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esta manera, en el caso NO se cumplió con el procedimiento de turnar la solicitud de información a la unidad administrativa que conforme sus atribuciones puede contar con la información requerida.</w:t>
      </w:r>
    </w:p>
    <w:p w:rsidR="00000000" w:rsidDel="00000000" w:rsidP="00000000" w:rsidRDefault="00000000" w:rsidRPr="00000000" w14:paraId="0000006B">
      <w:pPr>
        <w:spacing w:line="360" w:lineRule="auto"/>
        <w:ind w:right="49"/>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6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Máxime que del análisis a la respuesta emitida por la Dirección de Administración, Finanzas y Comercialización del OPDAPAS Zinacantepec, se advierte que esta no colma la pretensión del particular, pues únicamente se limitó a indicar que lo solicitado forma parte de bases de datos administrativas que contiene información individualizada de usuarios, que corresponde a información confidencial y por tanto no era posible remitir la misma.</w:t>
      </w:r>
    </w:p>
    <w:p w:rsidR="00000000" w:rsidDel="00000000" w:rsidP="00000000" w:rsidRDefault="00000000" w:rsidRPr="00000000" w14:paraId="0000006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E">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Sin embargo, lo solicitado corresponde a información estadística, al requerirse únicamente el número de medidores instalados, reemplazados o retirados cuya naturaleza es pública.</w:t>
      </w:r>
    </w:p>
    <w:p w:rsidR="00000000" w:rsidDel="00000000" w:rsidP="00000000" w:rsidRDefault="00000000" w:rsidRPr="00000000" w14:paraId="0000006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51" w:firstLine="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tl w:val="0"/>
        </w:rPr>
        <w:t xml:space="preserve">Sirve de apoyo a lo anterior, el Criterio orientador con clave de control SO/008/2023, emitido por el entonces Instituto Nacional de Transparencia y Acceso a la Información y Protección de Datos Personales, INAI, de rubro y texto siguientes:</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51"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1" w:right="900"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Ejercicio del derecho de Acceso a la Información Pública. La información estadística es de naturaleza pública, independientemente de la materia con la que se encuentre vinculada. </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Considerando que la información estadística es el producto de un conjunto de resultados cuantitativos obtenidos de un proceso sistemático de captación de datos primarios obtenidos sobre hechos que constan en documentos que los sujetos obligados poseen, derivado del ejercicio de sus atribuciones; con base en lo dispuesto por el artículo 70 fracción XLVIII de la Ley General de Transparencia y Acceso a la Información Pública,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los sujetos obligados deberán poner a disposición del público, entre otra, la relativa a la que con base en la información estadística</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responda a las preguntas hechas con más frecuencia por el público, por lo que es posible afirmar que la información estadística es de naturaleza pública, </w:t>
      </w:r>
      <w:r w:rsidDel="00000000" w:rsidR="00000000" w:rsidRPr="00000000">
        <w:rPr>
          <w:rFonts w:ascii="Palatino Linotype" w:cs="Palatino Linotype" w:eastAsia="Palatino Linotype" w:hAnsi="Palatino Linotype"/>
          <w:b w:val="1"/>
          <w:bCs w:val="1"/>
          <w:i w:val="1"/>
          <w:iCs w:val="1"/>
          <w:smallCaps w:val="0"/>
          <w:strike w:val="0"/>
          <w:color w:val="000000"/>
          <w:sz w:val="22"/>
          <w:szCs w:val="22"/>
          <w:u w:val="none"/>
          <w:shd w:fill="auto" w:val="clear"/>
          <w:vertAlign w:val="baseline"/>
          <w:rtl w:val="0"/>
        </w:rPr>
        <w:t xml:space="preserve">siempre y cuando los datos estadísticos no se encuentren individualizados o personalizados a casos o situaciones específicas,</w:t>
      </w:r>
      <w:r w:rsidDel="00000000" w:rsidR="00000000" w:rsidRPr="00000000">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tl w:val="0"/>
        </w:rPr>
        <w:t xml:space="preserve"> que pudieran llegar a justificar su clasificación.”</w:t>
      </w:r>
    </w:p>
    <w:p w:rsidR="00000000" w:rsidDel="00000000" w:rsidP="00000000" w:rsidRDefault="00000000" w:rsidRPr="00000000" w14:paraId="0000007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5">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De ahí que los motivos de inconformidad hechos valer por la parte </w:t>
      </w:r>
      <w:r w:rsidDel="00000000" w:rsidR="00000000" w:rsidRPr="00000000">
        <w:rPr>
          <w:rFonts w:ascii="Palatino Linotype" w:cs="Palatino Linotype" w:eastAsia="Palatino Linotype" w:hAnsi="Palatino Linotype"/>
          <w:b w:val="1"/>
          <w:bCs w:val="1"/>
          <w:sz w:val="22"/>
          <w:szCs w:val="22"/>
          <w:rtl w:val="0"/>
        </w:rPr>
        <w:t xml:space="preserve">Recurrente devienen fundados, </w:t>
      </w:r>
      <w:r w:rsidDel="00000000" w:rsidR="00000000" w:rsidRPr="00000000">
        <w:rPr>
          <w:rFonts w:ascii="Palatino Linotype" w:cs="Palatino Linotype" w:eastAsia="Palatino Linotype" w:hAnsi="Palatino Linotype"/>
          <w:sz w:val="22"/>
          <w:szCs w:val="22"/>
          <w:rtl w:val="0"/>
        </w:rPr>
        <w:t xml:space="preserve">siendo procedente </w:t>
      </w:r>
      <w:r w:rsidDel="00000000" w:rsidR="00000000" w:rsidRPr="00000000">
        <w:rPr>
          <w:rFonts w:ascii="Palatino Linotype" w:cs="Palatino Linotype" w:eastAsia="Palatino Linotype" w:hAnsi="Palatino Linotype"/>
          <w:b w:val="1"/>
          <w:bCs w:val="1"/>
          <w:sz w:val="22"/>
          <w:szCs w:val="22"/>
          <w:rtl w:val="0"/>
        </w:rPr>
        <w:t xml:space="preserve">revocar la respuesta y ordenar la entrega, previa búsqueda exhaustiva y razonable, de ser procedente en versión pública, de los documentos donde conste o se advierta lo siguiente:</w:t>
      </w:r>
    </w:p>
    <w:p w:rsidR="00000000" w:rsidDel="00000000" w:rsidP="00000000" w:rsidRDefault="00000000" w:rsidRPr="00000000" w14:paraId="00000076">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El número de medidores de agua instalados, reemplazados o retirados en el periodo comprendido del 01 de enero de 2024 al 29 de mayo de 2026.</w:t>
      </w:r>
    </w:p>
    <w:p w:rsidR="00000000" w:rsidDel="00000000" w:rsidP="00000000" w:rsidRDefault="00000000" w:rsidRPr="00000000" w14:paraId="00000078">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Quinto. Versión Pública. </w:t>
      </w:r>
      <w:r w:rsidDel="00000000" w:rsidR="00000000" w:rsidRPr="00000000">
        <w:rPr>
          <w:rFonts w:ascii="Palatino Linotype" w:cs="Palatino Linotype" w:eastAsia="Palatino Linotype" w:hAnsi="Palatino Linotype"/>
          <w:sz w:val="22"/>
          <w:szCs w:val="22"/>
          <w:rtl w:val="0"/>
        </w:rPr>
        <w:t xml:space="preserve">Cómo fue debidamente apuntado,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rsidR="00000000" w:rsidDel="00000000" w:rsidP="00000000" w:rsidRDefault="00000000" w:rsidRPr="00000000" w14:paraId="00000079">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rsidR="00000000" w:rsidDel="00000000" w:rsidP="00000000" w:rsidRDefault="00000000" w:rsidRPr="00000000" w14:paraId="0000007A">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este modo, en armonía entre los principios constitucionales de máxima publicidad y de protección de datos personales, la ley permite la elaboración de versiones públicas en las que se suprima aquella información relacionada con la vida privada de las personas.</w:t>
      </w:r>
    </w:p>
    <w:p w:rsidR="00000000" w:rsidDel="00000000" w:rsidP="00000000" w:rsidRDefault="00000000" w:rsidRPr="00000000" w14:paraId="0000007B">
      <w:pPr>
        <w:spacing w:after="240" w:before="240"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los artículos 3, fracciones IX, XX, XXI, XXXII, XLV; 6, 91, 132, 137, 143, fracción I, de la Ley de Transparencia y Acceso a la Información Pública del Estado de México y Municipios vigente establecen:</w:t>
      </w:r>
    </w:p>
    <w:p w:rsidR="00000000" w:rsidDel="00000000" w:rsidP="00000000" w:rsidRDefault="00000000" w:rsidRPr="00000000" w14:paraId="0000007C">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w:t>
      </w:r>
      <w:r w:rsidDel="00000000" w:rsidR="00000000" w:rsidRPr="00000000">
        <w:rPr>
          <w:rFonts w:ascii="Palatino Linotype" w:cs="Palatino Linotype" w:eastAsia="Palatino Linotype" w:hAnsi="Palatino Linotype"/>
          <w:i w:val="1"/>
          <w:iCs w:val="1"/>
          <w:sz w:val="22"/>
          <w:szCs w:val="22"/>
          <w:rtl w:val="0"/>
        </w:rPr>
        <w:t xml:space="preserve"> Para los efectos de la presente Ley se entenderá por:</w:t>
      </w:r>
    </w:p>
    <w:p w:rsidR="00000000" w:rsidDel="00000000" w:rsidP="00000000" w:rsidRDefault="00000000" w:rsidRPr="00000000" w14:paraId="0000007D">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7E">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IX. Datos personales</w:t>
      </w:r>
      <w:r w:rsidDel="00000000" w:rsidR="00000000" w:rsidRPr="00000000">
        <w:rPr>
          <w:rFonts w:ascii="Palatino Linotype" w:cs="Palatino Linotype" w:eastAsia="Palatino Linotype" w:hAnsi="Palatino Linotype"/>
          <w:i w:val="1"/>
          <w:iCs w:val="1"/>
          <w:sz w:val="22"/>
          <w:szCs w:val="22"/>
          <w:rtl w:val="0"/>
        </w:rPr>
        <w:t xml:space="preserve">: La información concerniente a una persona, identificada o identificable según lo dispuesto por la Ley de Protección de Datos Personales del Estado de México;</w:t>
      </w:r>
    </w:p>
    <w:p w:rsidR="00000000" w:rsidDel="00000000" w:rsidP="00000000" w:rsidRDefault="00000000" w:rsidRPr="00000000" w14:paraId="0000007F">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80">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 Información clasificada</w:t>
      </w:r>
      <w:r w:rsidDel="00000000" w:rsidR="00000000" w:rsidRPr="00000000">
        <w:rPr>
          <w:rFonts w:ascii="Palatino Linotype" w:cs="Palatino Linotype" w:eastAsia="Palatino Linotype" w:hAnsi="Palatino Linotype"/>
          <w:i w:val="1"/>
          <w:iCs w:val="1"/>
          <w:sz w:val="22"/>
          <w:szCs w:val="22"/>
          <w:rtl w:val="0"/>
        </w:rPr>
        <w:t xml:space="preserve">: Aquella considerada por la presente Ley como reservada o confidencial;</w:t>
      </w:r>
    </w:p>
    <w:p w:rsidR="00000000" w:rsidDel="00000000" w:rsidP="00000000" w:rsidRDefault="00000000" w:rsidRPr="00000000" w14:paraId="00000081">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XXI. Información confidencial</w:t>
      </w:r>
      <w:r w:rsidDel="00000000" w:rsidR="00000000" w:rsidRPr="00000000">
        <w:rPr>
          <w:rFonts w:ascii="Palatino Linotype" w:cs="Palatino Linotype" w:eastAsia="Palatino Linotype" w:hAnsi="Palatino Linotype"/>
          <w:i w:val="1"/>
          <w:iCs w:val="1"/>
          <w:sz w:val="22"/>
          <w:szCs w:val="22"/>
          <w:rtl w:val="0"/>
        </w:rPr>
        <w:t xml:space="preserve">: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rsidR="00000000" w:rsidDel="00000000" w:rsidP="00000000" w:rsidRDefault="00000000" w:rsidRPr="00000000" w14:paraId="00000082">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83">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XXXII. Protección de Datos Personales</w:t>
      </w:r>
      <w:r w:rsidDel="00000000" w:rsidR="00000000" w:rsidRPr="00000000">
        <w:rPr>
          <w:rFonts w:ascii="Palatino Linotype" w:cs="Palatino Linotype" w:eastAsia="Palatino Linotype" w:hAnsi="Palatino Linotype"/>
          <w:i w:val="1"/>
          <w:iCs w:val="1"/>
          <w:sz w:val="22"/>
          <w:szCs w:val="22"/>
          <w:rtl w:val="0"/>
        </w:rPr>
        <w:t xml:space="preserve">: Derecho humano que tutela la privacidad de datos personales en poder de los sujetos obligados y sujetos particulares;</w:t>
      </w:r>
    </w:p>
    <w:p w:rsidR="00000000" w:rsidDel="00000000" w:rsidP="00000000" w:rsidRDefault="00000000" w:rsidRPr="00000000" w14:paraId="00000084">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85">
      <w:pPr>
        <w:tabs>
          <w:tab w:val="left" w:leader="none" w:pos="1276"/>
        </w:tabs>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XLV. Versión pública</w:t>
      </w:r>
      <w:r w:rsidDel="00000000" w:rsidR="00000000" w:rsidRPr="00000000">
        <w:rPr>
          <w:rFonts w:ascii="Palatino Linotype" w:cs="Palatino Linotype" w:eastAsia="Palatino Linotype" w:hAnsi="Palatino Linotype"/>
          <w:i w:val="1"/>
          <w:iCs w:val="1"/>
          <w:sz w:val="22"/>
          <w:szCs w:val="22"/>
          <w:rtl w:val="0"/>
        </w:rPr>
        <w:t xml:space="preserve">: Documento en el que se elimine, suprime o borra la información clasificada como reservada o confidencial para permitir su acceso.</w:t>
      </w:r>
    </w:p>
    <w:p w:rsidR="00000000" w:rsidDel="00000000" w:rsidP="00000000" w:rsidRDefault="00000000" w:rsidRPr="00000000" w14:paraId="00000086">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Artículo 6</w:t>
      </w:r>
      <w:r w:rsidDel="00000000" w:rsidR="00000000" w:rsidRPr="00000000">
        <w:rPr>
          <w:rFonts w:ascii="Palatino Linotype" w:cs="Palatino Linotype" w:eastAsia="Palatino Linotype" w:hAnsi="Palatino Linotype"/>
          <w:i w:val="1"/>
          <w:iCs w:val="1"/>
          <w:sz w:val="22"/>
          <w:szCs w:val="22"/>
          <w:rtl w:val="0"/>
        </w:rPr>
        <w:t xml:space="preserve">.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rsidR="00000000" w:rsidDel="00000000" w:rsidP="00000000" w:rsidRDefault="00000000" w:rsidRPr="00000000" w14:paraId="00000087">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88">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91.</w:t>
      </w:r>
      <w:r w:rsidDel="00000000" w:rsidR="00000000" w:rsidRPr="00000000">
        <w:rPr>
          <w:rFonts w:ascii="Palatino Linotype" w:cs="Palatino Linotype" w:eastAsia="Palatino Linotype" w:hAnsi="Palatino Linotype"/>
          <w:i w:val="1"/>
          <w:iCs w:val="1"/>
          <w:sz w:val="22"/>
          <w:szCs w:val="22"/>
          <w:rtl w:val="0"/>
        </w:rPr>
        <w:t xml:space="preserve"> El acceso a la información pública será restringido excepcionalmente, cuando ésta sea clasificada como reservada o confidencial.</w:t>
        <w:br w:type="textWrapping"/>
        <w:t xml:space="preserve">…</w:t>
      </w:r>
    </w:p>
    <w:p w:rsidR="00000000" w:rsidDel="00000000" w:rsidP="00000000" w:rsidRDefault="00000000" w:rsidRPr="00000000" w14:paraId="00000089">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132.</w:t>
      </w:r>
      <w:r w:rsidDel="00000000" w:rsidR="00000000" w:rsidRPr="00000000">
        <w:rPr>
          <w:rFonts w:ascii="Palatino Linotype" w:cs="Palatino Linotype" w:eastAsia="Palatino Linotype" w:hAnsi="Palatino Linotype"/>
          <w:i w:val="1"/>
          <w:iCs w:val="1"/>
          <w:sz w:val="22"/>
          <w:szCs w:val="22"/>
          <w:rtl w:val="0"/>
        </w:rPr>
        <w:t xml:space="preserve"> La clasificación de la información se llevará a cabo en el momento en que:</w:t>
      </w:r>
    </w:p>
    <w:p w:rsidR="00000000" w:rsidDel="00000000" w:rsidP="00000000" w:rsidRDefault="00000000" w:rsidRPr="00000000" w14:paraId="0000008A">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Se reciba una solicitud de acceso a la información;</w:t>
      </w:r>
    </w:p>
    <w:p w:rsidR="00000000" w:rsidDel="00000000" w:rsidP="00000000" w:rsidRDefault="00000000" w:rsidRPr="00000000" w14:paraId="0000008B">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Se determine mediante resolución de autoridad competente; o</w:t>
      </w:r>
    </w:p>
    <w:p w:rsidR="00000000" w:rsidDel="00000000" w:rsidP="00000000" w:rsidRDefault="00000000" w:rsidRPr="00000000" w14:paraId="0000008C">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Se generen versiones públicas para dar cumplimiento a las obligaciones de transparencia previstas en esta Ley.</w:t>
      </w:r>
    </w:p>
    <w:p w:rsidR="00000000" w:rsidDel="00000000" w:rsidP="00000000" w:rsidRDefault="00000000" w:rsidRPr="00000000" w14:paraId="0000008D">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tl w:val="0"/>
        </w:rPr>
      </w:r>
    </w:p>
    <w:p w:rsidR="00000000" w:rsidDel="00000000" w:rsidP="00000000" w:rsidRDefault="00000000" w:rsidRPr="00000000" w14:paraId="0000008E">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137.</w:t>
      </w:r>
      <w:r w:rsidDel="00000000" w:rsidR="00000000" w:rsidRPr="00000000">
        <w:rPr>
          <w:rFonts w:ascii="Palatino Linotype" w:cs="Palatino Linotype" w:eastAsia="Palatino Linotype" w:hAnsi="Palatino Linotype"/>
          <w:i w:val="1"/>
          <w:iCs w:val="1"/>
          <w:sz w:val="22"/>
          <w:szCs w:val="22"/>
          <w:rtl w:val="0"/>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rsidR="00000000" w:rsidDel="00000000" w:rsidP="00000000" w:rsidRDefault="00000000" w:rsidRPr="00000000" w14:paraId="0000008F">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Artículo 143.</w:t>
      </w:r>
      <w:r w:rsidDel="00000000" w:rsidR="00000000" w:rsidRPr="00000000">
        <w:rPr>
          <w:rFonts w:ascii="Palatino Linotype" w:cs="Palatino Linotype" w:eastAsia="Palatino Linotype" w:hAnsi="Palatino Linotype"/>
          <w:i w:val="1"/>
          <w:iCs w:val="1"/>
          <w:sz w:val="22"/>
          <w:szCs w:val="22"/>
          <w:rtl w:val="0"/>
        </w:rPr>
        <w:t xml:space="preserve"> Para los efectos de esta Ley se considera información confidencial, la clasificada como tal, de manera permanente, por su naturaleza, cuando:</w:t>
      </w:r>
    </w:p>
    <w:p w:rsidR="00000000" w:rsidDel="00000000" w:rsidP="00000000" w:rsidRDefault="00000000" w:rsidRPr="00000000" w14:paraId="00000090">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Se refiera a la información privada y los datos personales concernientes a una persona física o jurídico colectiva identificada o identificable...”</w:t>
      </w:r>
    </w:p>
    <w:p w:rsidR="00000000" w:rsidDel="00000000" w:rsidP="00000000" w:rsidRDefault="00000000" w:rsidRPr="00000000" w14:paraId="00000091">
      <w:pPr>
        <w:spacing w:after="240" w:before="240"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rsidR="00000000" w:rsidDel="00000000" w:rsidP="00000000" w:rsidRDefault="00000000" w:rsidRPr="00000000" w14:paraId="00000092">
      <w:pPr>
        <w:spacing w:after="240" w:before="240"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rsidR="00000000" w:rsidDel="00000000" w:rsidP="00000000" w:rsidRDefault="00000000" w:rsidRPr="00000000" w14:paraId="00000093">
      <w:pPr>
        <w:spacing w:after="240" w:before="240" w:line="360" w:lineRule="auto"/>
        <w:ind w:right="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tal contexto, 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rsidR="00000000" w:rsidDel="00000000" w:rsidP="00000000" w:rsidRDefault="00000000" w:rsidRPr="00000000" w14:paraId="00000094">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49.</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Los Comités de Transparencia</w:t>
      </w:r>
      <w:r w:rsidDel="00000000" w:rsidR="00000000" w:rsidRPr="00000000">
        <w:rPr>
          <w:rFonts w:ascii="Palatino Linotype" w:cs="Palatino Linotype" w:eastAsia="Palatino Linotype" w:hAnsi="Palatino Linotype"/>
          <w:i w:val="1"/>
          <w:iCs w:val="1"/>
          <w:sz w:val="22"/>
          <w:szCs w:val="22"/>
          <w:rtl w:val="0"/>
        </w:rPr>
        <w:t xml:space="preserve"> tendrán las siguientes atribuciones:</w:t>
      </w:r>
    </w:p>
    <w:p w:rsidR="00000000" w:rsidDel="00000000" w:rsidP="00000000" w:rsidRDefault="00000000" w:rsidRPr="00000000" w14:paraId="00000095">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VIII. Aprobar, modificar o revocar la clasificación de la información</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96">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53.</w:t>
      </w:r>
      <w:r w:rsidDel="00000000" w:rsidR="00000000" w:rsidRPr="00000000">
        <w:rPr>
          <w:rFonts w:ascii="Palatino Linotype" w:cs="Palatino Linotype" w:eastAsia="Palatino Linotype" w:hAnsi="Palatino Linotype"/>
          <w:i w:val="1"/>
          <w:iCs w:val="1"/>
          <w:sz w:val="22"/>
          <w:szCs w:val="22"/>
          <w:rtl w:val="0"/>
        </w:rPr>
        <w:t xml:space="preserve"> Las </w:t>
      </w:r>
      <w:r w:rsidDel="00000000" w:rsidR="00000000" w:rsidRPr="00000000">
        <w:rPr>
          <w:rFonts w:ascii="Palatino Linotype" w:cs="Palatino Linotype" w:eastAsia="Palatino Linotype" w:hAnsi="Palatino Linotype"/>
          <w:b w:val="1"/>
          <w:bCs w:val="1"/>
          <w:i w:val="1"/>
          <w:iCs w:val="1"/>
          <w:sz w:val="22"/>
          <w:szCs w:val="22"/>
          <w:rtl w:val="0"/>
        </w:rPr>
        <w:t xml:space="preserve">Unidades de Transparencia</w:t>
      </w:r>
      <w:r w:rsidDel="00000000" w:rsidR="00000000" w:rsidRPr="00000000">
        <w:rPr>
          <w:rFonts w:ascii="Palatino Linotype" w:cs="Palatino Linotype" w:eastAsia="Palatino Linotype" w:hAnsi="Palatino Linotype"/>
          <w:i w:val="1"/>
          <w:iCs w:val="1"/>
          <w:sz w:val="22"/>
          <w:szCs w:val="22"/>
          <w:rtl w:val="0"/>
        </w:rPr>
        <w:t xml:space="preserve"> tendrán las siguientes </w:t>
      </w:r>
      <w:r w:rsidDel="00000000" w:rsidR="00000000" w:rsidRPr="00000000">
        <w:rPr>
          <w:rFonts w:ascii="Palatino Linotype" w:cs="Palatino Linotype" w:eastAsia="Palatino Linotype" w:hAnsi="Palatino Linotype"/>
          <w:b w:val="1"/>
          <w:bCs w:val="1"/>
          <w:i w:val="1"/>
          <w:iCs w:val="1"/>
          <w:sz w:val="22"/>
          <w:szCs w:val="22"/>
          <w:rtl w:val="0"/>
        </w:rPr>
        <w:t xml:space="preserve">funciones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97">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 Presentar ante el Comité, el proyecto de clasificación de información</w:t>
      </w:r>
      <w:r w:rsidDel="00000000" w:rsidR="00000000" w:rsidRPr="00000000">
        <w:rPr>
          <w:rFonts w:ascii="Palatino Linotype" w:cs="Palatino Linotype" w:eastAsia="Palatino Linotype" w:hAnsi="Palatino Linotype"/>
          <w:i w:val="1"/>
          <w:iCs w:val="1"/>
          <w:sz w:val="22"/>
          <w:szCs w:val="22"/>
          <w:rtl w:val="0"/>
        </w:rPr>
        <w:t xml:space="preserve">…” </w:t>
      </w:r>
    </w:p>
    <w:p w:rsidR="00000000" w:rsidDel="00000000" w:rsidP="00000000" w:rsidRDefault="00000000" w:rsidRPr="00000000" w14:paraId="00000098">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59.</w:t>
      </w:r>
      <w:r w:rsidDel="00000000" w:rsidR="00000000" w:rsidRPr="00000000">
        <w:rPr>
          <w:rFonts w:ascii="Palatino Linotype" w:cs="Palatino Linotype" w:eastAsia="Palatino Linotype" w:hAnsi="Palatino Linotype"/>
          <w:i w:val="1"/>
          <w:iCs w:val="1"/>
          <w:sz w:val="22"/>
          <w:szCs w:val="22"/>
          <w:rtl w:val="0"/>
        </w:rPr>
        <w:t xml:space="preserve"> Los </w:t>
      </w:r>
      <w:r w:rsidDel="00000000" w:rsidR="00000000" w:rsidRPr="00000000">
        <w:rPr>
          <w:rFonts w:ascii="Palatino Linotype" w:cs="Palatino Linotype" w:eastAsia="Palatino Linotype" w:hAnsi="Palatino Linotype"/>
          <w:b w:val="1"/>
          <w:bCs w:val="1"/>
          <w:i w:val="1"/>
          <w:iCs w:val="1"/>
          <w:sz w:val="22"/>
          <w:szCs w:val="22"/>
          <w:rtl w:val="0"/>
        </w:rPr>
        <w:t xml:space="preserve">servidores públicos habilitados</w:t>
      </w:r>
      <w:r w:rsidDel="00000000" w:rsidR="00000000" w:rsidRPr="00000000">
        <w:rPr>
          <w:rFonts w:ascii="Palatino Linotype" w:cs="Palatino Linotype" w:eastAsia="Palatino Linotype" w:hAnsi="Palatino Linotype"/>
          <w:i w:val="1"/>
          <w:iCs w:val="1"/>
          <w:sz w:val="22"/>
          <w:szCs w:val="22"/>
          <w:rtl w:val="0"/>
        </w:rPr>
        <w:t xml:space="preserve"> tendrán las </w:t>
      </w:r>
      <w:r w:rsidDel="00000000" w:rsidR="00000000" w:rsidRPr="00000000">
        <w:rPr>
          <w:rFonts w:ascii="Palatino Linotype" w:cs="Palatino Linotype" w:eastAsia="Palatino Linotype" w:hAnsi="Palatino Linotype"/>
          <w:b w:val="1"/>
          <w:bCs w:val="1"/>
          <w:i w:val="1"/>
          <w:iCs w:val="1"/>
          <w:sz w:val="22"/>
          <w:szCs w:val="22"/>
          <w:rtl w:val="0"/>
        </w:rPr>
        <w:t xml:space="preserve">funciones</w:t>
      </w:r>
      <w:r w:rsidDel="00000000" w:rsidR="00000000" w:rsidRPr="00000000">
        <w:rPr>
          <w:rFonts w:ascii="Palatino Linotype" w:cs="Palatino Linotype" w:eastAsia="Palatino Linotype" w:hAnsi="Palatino Linotype"/>
          <w:i w:val="1"/>
          <w:iCs w:val="1"/>
          <w:sz w:val="22"/>
          <w:szCs w:val="22"/>
          <w:rtl w:val="0"/>
        </w:rPr>
        <w:t xml:space="preserve"> siguientes:</w:t>
      </w:r>
    </w:p>
    <w:p w:rsidR="00000000" w:rsidDel="00000000" w:rsidP="00000000" w:rsidRDefault="00000000" w:rsidRPr="00000000" w14:paraId="00000099">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 Integrar y presentar al responsable de la Unidad de Transparencia la propuesta de clasificación de información</w:t>
      </w:r>
      <w:r w:rsidDel="00000000" w:rsidR="00000000" w:rsidRPr="00000000">
        <w:rPr>
          <w:rFonts w:ascii="Palatino Linotype" w:cs="Palatino Linotype" w:eastAsia="Palatino Linotype" w:hAnsi="Palatino Linotype"/>
          <w:i w:val="1"/>
          <w:iCs w:val="1"/>
          <w:sz w:val="22"/>
          <w:szCs w:val="22"/>
          <w:rtl w:val="0"/>
        </w:rPr>
        <w:t xml:space="preserve">, la cual tendrá los fundamentos y argumentos en que se basa dicha propuesta…”</w:t>
      </w:r>
    </w:p>
    <w:p w:rsidR="00000000" w:rsidDel="00000000" w:rsidP="00000000" w:rsidRDefault="00000000" w:rsidRPr="00000000" w14:paraId="0000009A">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rsidR="00000000" w:rsidDel="00000000" w:rsidP="00000000" w:rsidRDefault="00000000" w:rsidRPr="00000000" w14:paraId="0000009B">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Para lo cual, a su vez en el caso de información de carácter confidencial, se debe atender a lo que señala el artículo 149 de la Ley de Transparencia Local vigente, que se lee como sigue:</w:t>
      </w:r>
    </w:p>
    <w:p w:rsidR="00000000" w:rsidDel="00000000" w:rsidP="00000000" w:rsidRDefault="00000000" w:rsidRPr="00000000" w14:paraId="0000009C">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149.</w:t>
      </w:r>
      <w:r w:rsidDel="00000000" w:rsidR="00000000" w:rsidRPr="00000000">
        <w:rPr>
          <w:rFonts w:ascii="Palatino Linotype" w:cs="Palatino Linotype" w:eastAsia="Palatino Linotype" w:hAnsi="Palatino Linotype"/>
          <w:i w:val="1"/>
          <w:iCs w:val="1"/>
          <w:sz w:val="22"/>
          <w:szCs w:val="22"/>
          <w:rtl w:val="0"/>
        </w:rPr>
        <w:t xml:space="preserve"> El </w:t>
      </w:r>
      <w:r w:rsidDel="00000000" w:rsidR="00000000" w:rsidRPr="00000000">
        <w:rPr>
          <w:rFonts w:ascii="Palatino Linotype" w:cs="Palatino Linotype" w:eastAsia="Palatino Linotype" w:hAnsi="Palatino Linotype"/>
          <w:b w:val="1"/>
          <w:bCs w:val="1"/>
          <w:i w:val="1"/>
          <w:iCs w:val="1"/>
          <w:sz w:val="22"/>
          <w:szCs w:val="22"/>
          <w:rtl w:val="0"/>
        </w:rPr>
        <w:t xml:space="preserve">acuerdo que clasifique la información como confidencial</w:t>
      </w:r>
      <w:r w:rsidDel="00000000" w:rsidR="00000000" w:rsidRPr="00000000">
        <w:rPr>
          <w:rFonts w:ascii="Palatino Linotype" w:cs="Palatino Linotype" w:eastAsia="Palatino Linotype" w:hAnsi="Palatino Linotype"/>
          <w:i w:val="1"/>
          <w:iCs w:val="1"/>
          <w:sz w:val="22"/>
          <w:szCs w:val="22"/>
          <w:rtl w:val="0"/>
        </w:rPr>
        <w:t xml:space="preserve"> deberá contener un razonamiento lógico en el que demuestre que la información se encuentra en alguna o algunas de las hipótesis previstas en la presente Ley.” </w:t>
      </w:r>
    </w:p>
    <w:p w:rsidR="00000000" w:rsidDel="00000000" w:rsidP="00000000" w:rsidRDefault="00000000" w:rsidRPr="00000000" w14:paraId="0000009D">
      <w:pP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240" w:before="240"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Asimismo, respecto a las formalidades que deberá llevar el acuerdo de clasificación que deberá emitir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 su Comité de Transparencia, los Lineamientos Quincuagésimo y Quincuagésimo primero de los Lineamientos Generales en Materia de Clasificación y Desclasificación de la Información, así como para la Elaboración de Versiones Públicas, vigentes a la fecha de presentación de la solicitud, señalan lo siguiente:</w:t>
      </w:r>
    </w:p>
    <w:p w:rsidR="00000000" w:rsidDel="00000000" w:rsidP="00000000" w:rsidRDefault="00000000" w:rsidRPr="00000000" w14:paraId="0000009F">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 “Quincuagésimo. </w:t>
      </w:r>
      <w:r w:rsidDel="00000000" w:rsidR="00000000" w:rsidRPr="00000000">
        <w:rPr>
          <w:rFonts w:ascii="Palatino Linotype" w:cs="Palatino Linotype" w:eastAsia="Palatino Linotype" w:hAnsi="Palatino Linotype"/>
          <w:i w:val="1"/>
          <w:iCs w:val="1"/>
          <w:sz w:val="22"/>
          <w:szCs w:val="22"/>
          <w:rtl w:val="0"/>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primero. </w:t>
      </w:r>
      <w:r w:rsidDel="00000000" w:rsidR="00000000" w:rsidRPr="00000000">
        <w:rPr>
          <w:rFonts w:ascii="Palatino Linotype" w:cs="Palatino Linotype" w:eastAsia="Palatino Linotype" w:hAnsi="Palatino Linotype"/>
          <w:i w:val="1"/>
          <w:iCs w:val="1"/>
          <w:sz w:val="22"/>
          <w:szCs w:val="22"/>
          <w:rtl w:val="0"/>
        </w:rPr>
        <w:t xml:space="preserve">Toda acta del Comité de Transparencia deberá contener: </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El número de sesión y fecha; </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El nombre del área que solicitó la clasificación de información; </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La fundamentación legal y motivación correspondiente; </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w:t>
      </w:r>
      <w:r w:rsidDel="00000000" w:rsidR="00000000" w:rsidRPr="00000000">
        <w:rPr>
          <w:rFonts w:ascii="Palatino Linotype" w:cs="Palatino Linotype" w:eastAsia="Palatino Linotype" w:hAnsi="Palatino Linotype"/>
          <w:i w:val="1"/>
          <w:iCs w:val="1"/>
          <w:sz w:val="22"/>
          <w:szCs w:val="22"/>
          <w:rtl w:val="0"/>
        </w:rPr>
        <w:t xml:space="preserve">. La resolución o resoluciones aprobadas; y </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V</w:t>
      </w:r>
      <w:r w:rsidDel="00000000" w:rsidR="00000000" w:rsidRPr="00000000">
        <w:rPr>
          <w:rFonts w:ascii="Palatino Linotype" w:cs="Palatino Linotype" w:eastAsia="Palatino Linotype" w:hAnsi="Palatino Linotype"/>
          <w:i w:val="1"/>
          <w:iCs w:val="1"/>
          <w:sz w:val="22"/>
          <w:szCs w:val="22"/>
          <w:rtl w:val="0"/>
        </w:rPr>
        <w:t xml:space="preserve">. La rúbrica o firma digital de cada integrante del Comité de Transparencia. </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Las resoluciones del Comité en las que se haya determinado confirmar o modificar la clasificación de información pública como reservada, deberán incluir, cuando menos: </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Los motivos y razonamientos que sustenten la confirmación o modificación de la prueba de daño;</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Descripción de las partes o secciones reservadas, en caso de clasificación parcial</w:t>
      </w:r>
      <w:r w:rsidDel="00000000" w:rsidR="00000000" w:rsidRPr="00000000">
        <w:rPr>
          <w:rFonts w:ascii="Palatino Linotype" w:cs="Palatino Linotype" w:eastAsia="Palatino Linotype" w:hAnsi="Palatino Linotype"/>
          <w:b w:val="1"/>
          <w:bCs w:val="1"/>
          <w:i w:val="1"/>
          <w:iCs w:val="1"/>
          <w:sz w:val="22"/>
          <w:szCs w:val="22"/>
          <w:rtl w:val="0"/>
        </w:rPr>
        <w:t xml:space="preserve">; </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El periodo por el que mantendrá su clasificación y fecha de expiración; y </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IV.</w:t>
      </w:r>
      <w:r w:rsidDel="00000000" w:rsidR="00000000" w:rsidRPr="00000000">
        <w:rPr>
          <w:rFonts w:ascii="Palatino Linotype" w:cs="Palatino Linotype" w:eastAsia="Palatino Linotype" w:hAnsi="Palatino Linotype"/>
          <w:i w:val="1"/>
          <w:iCs w:val="1"/>
          <w:sz w:val="22"/>
          <w:szCs w:val="22"/>
          <w:rtl w:val="0"/>
        </w:rPr>
        <w:t xml:space="preserve"> El nombre del titular y área encargada de realizar la versión pública del documento, en su caso. </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casos en que se clasifique la información como reservada siempre se entregará o anexará la prueba de daño con la respuesta al solicitante. </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casos de resoluciones del Comité de Transparencia en las que se confirme la clasificación de información confidencial solo se deberán de identificar los tipos de datos protegidos, de conformidad con el lineamiento trigésimo octavo.</w:t>
      </w:r>
    </w:p>
    <w:p w:rsidR="00000000" w:rsidDel="00000000" w:rsidP="00000000" w:rsidRDefault="00000000" w:rsidRPr="00000000" w14:paraId="000000AD">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Para la elaboración de las versiones públicas, además, se deberán observar las formalidades establecidas en los Lineamientos Quincuagésimo segundo, Quincuagésimo cuarto, Quincuagésimo quinto, Quincuagésimo séptimo y Quincuagésimo octavo, que establecen lo siguiente:</w:t>
      </w:r>
    </w:p>
    <w:p w:rsidR="00000000" w:rsidDel="00000000" w:rsidP="00000000" w:rsidRDefault="00000000" w:rsidRPr="00000000" w14:paraId="000000AE">
      <w:pP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Quincuagésimo segundo</w:t>
      </w:r>
      <w:r w:rsidDel="00000000" w:rsidR="00000000" w:rsidRPr="00000000">
        <w:rPr>
          <w:rFonts w:ascii="Palatino Linotype" w:cs="Palatino Linotype" w:eastAsia="Palatino Linotype" w:hAnsi="Palatino Linotype"/>
          <w:i w:val="1"/>
          <w:iCs w:val="1"/>
          <w:sz w:val="22"/>
          <w:szCs w:val="22"/>
          <w:rtl w:val="0"/>
        </w:rPr>
        <w:t xml:space="preserve">.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rsidR="00000000" w:rsidDel="00000000" w:rsidP="00000000" w:rsidRDefault="00000000" w:rsidRPr="00000000" w14:paraId="000000AF">
      <w:pP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el caso específico de la clasificación y elaboración de versiones públicas de documentos que contengan información confidencial, las áreas de los sujetos obligados deberán: </w:t>
      </w:r>
    </w:p>
    <w:p w:rsidR="00000000" w:rsidDel="00000000" w:rsidP="00000000" w:rsidRDefault="00000000" w:rsidRPr="00000000" w14:paraId="000000B0">
      <w:pP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Fijar la fecha en que se elaboró la versión pública y la fecha en la cual el Comité de Transparencia confirmó dicha versión;</w:t>
      </w:r>
    </w:p>
    <w:p w:rsidR="00000000" w:rsidDel="00000000" w:rsidP="00000000" w:rsidRDefault="00000000" w:rsidRPr="00000000" w14:paraId="000000B1">
      <w:pP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Señalar dentro del documento el tipo de información confidencial que fue testada en cada caso específico, de conformidad con el lineamiento trigésimo octavo; y</w:t>
      </w:r>
    </w:p>
    <w:p w:rsidR="00000000" w:rsidDel="00000000" w:rsidP="00000000" w:rsidRDefault="00000000" w:rsidRPr="00000000" w14:paraId="000000B2">
      <w:pP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Señalar las personas o instancias autorizadas a acceder a la información clasificada.</w:t>
      </w:r>
    </w:p>
    <w:p w:rsidR="00000000" w:rsidDel="00000000" w:rsidP="00000000" w:rsidRDefault="00000000" w:rsidRPr="00000000" w14:paraId="000000B3">
      <w:pP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los documentos de difusión electrónica, señalar en la primera hoja y en el nombre del archivo, que la versión pública corresponde a un documento que contiene información confidencial.”</w:t>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120" w:before="120" w:lineRule="auto"/>
        <w:ind w:left="851" w:right="900"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120" w:before="120" w:lineRule="auto"/>
        <w:ind w:left="851" w:right="900"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cuarto. </w:t>
      </w:r>
      <w:r w:rsidDel="00000000" w:rsidR="00000000" w:rsidRPr="00000000">
        <w:rPr>
          <w:rFonts w:ascii="Palatino Linotype" w:cs="Palatino Linotype" w:eastAsia="Palatino Linotype" w:hAnsi="Palatino Linotype"/>
          <w:i w:val="1"/>
          <w:iCs w:val="1"/>
          <w:sz w:val="22"/>
          <w:szCs w:val="22"/>
          <w:rtl w:val="0"/>
        </w:rPr>
        <w:t xml:space="preserve">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Del="00000000" w:rsidR="00000000" w:rsidRPr="00000000">
        <w:rPr>
          <w:rFonts w:ascii="Palatino Linotype" w:cs="Palatino Linotype" w:eastAsia="Palatino Linotype" w:hAnsi="Palatino Linotype"/>
          <w:b w:val="1"/>
          <w:bCs w:val="1"/>
          <w:i w:val="1"/>
          <w:iCs w:val="1"/>
          <w:sz w:val="22"/>
          <w:szCs w:val="22"/>
          <w:rtl w:val="0"/>
        </w:rPr>
        <w:t xml:space="preserve"> </w:t>
      </w:r>
    </w:p>
    <w:p w:rsidR="00000000" w:rsidDel="00000000" w:rsidP="00000000" w:rsidRDefault="00000000" w:rsidRPr="00000000" w14:paraId="000000B6">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quinto. </w:t>
      </w:r>
      <w:r w:rsidDel="00000000" w:rsidR="00000000" w:rsidRPr="00000000">
        <w:rPr>
          <w:rFonts w:ascii="Palatino Linotype" w:cs="Palatino Linotype" w:eastAsia="Palatino Linotype" w:hAnsi="Palatino Linotype"/>
          <w:i w:val="1"/>
          <w:iCs w:val="1"/>
          <w:sz w:val="22"/>
          <w:szCs w:val="22"/>
          <w:rtl w:val="0"/>
        </w:rPr>
        <w:t xml:space="preserve">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rsidR="00000000" w:rsidDel="00000000" w:rsidP="00000000" w:rsidRDefault="00000000" w:rsidRPr="00000000" w14:paraId="000000B7">
      <w:pPr>
        <w:spacing w:after="120" w:before="120" w:lineRule="auto"/>
        <w:ind w:left="851" w:right="902"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0B8">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séptimo</w:t>
      </w:r>
      <w:r w:rsidDel="00000000" w:rsidR="00000000" w:rsidRPr="00000000">
        <w:rPr>
          <w:rFonts w:ascii="Palatino Linotype" w:cs="Palatino Linotype" w:eastAsia="Palatino Linotype" w:hAnsi="Palatino Linotype"/>
          <w:i w:val="1"/>
          <w:iCs w:val="1"/>
          <w:sz w:val="22"/>
          <w:szCs w:val="22"/>
          <w:rtl w:val="0"/>
        </w:rPr>
        <w:t xml:space="preserve">. Se considera, en principio, como información pública y no podrá omitirse de las versiones públicas la siguiente: </w:t>
      </w:r>
    </w:p>
    <w:p w:rsidR="00000000" w:rsidDel="00000000" w:rsidP="00000000" w:rsidRDefault="00000000" w:rsidRPr="00000000" w14:paraId="000000B9">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w:t>
      </w:r>
      <w:r w:rsidDel="00000000" w:rsidR="00000000" w:rsidRPr="00000000">
        <w:rPr>
          <w:rFonts w:ascii="Palatino Linotype" w:cs="Palatino Linotype" w:eastAsia="Palatino Linotype" w:hAnsi="Palatino Linotype"/>
          <w:i w:val="1"/>
          <w:iCs w:val="1"/>
          <w:sz w:val="22"/>
          <w:szCs w:val="22"/>
          <w:rtl w:val="0"/>
        </w:rPr>
        <w:t xml:space="preserve">. La relativa a las Obligaciones de Transparencia que contempla el Título V de la Ley General y las demás disposiciones legales aplicables; </w:t>
      </w:r>
    </w:p>
    <w:p w:rsidR="00000000" w:rsidDel="00000000" w:rsidP="00000000" w:rsidRDefault="00000000" w:rsidRPr="00000000" w14:paraId="000000BA">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i w:val="1"/>
          <w:iCs w:val="1"/>
          <w:sz w:val="22"/>
          <w:szCs w:val="22"/>
          <w:rtl w:val="0"/>
        </w:rPr>
        <w:t xml:space="preserve"> El nombre de los integrantes de los sujetos obligados en los documentos, y sus firmas autógrafas o digitales, cuando sean utilizados en el ejercicio de las facultades conferidas para el desempeño del servicio público, y</w:t>
      </w:r>
    </w:p>
    <w:p w:rsidR="00000000" w:rsidDel="00000000" w:rsidP="00000000" w:rsidRDefault="00000000" w:rsidRPr="00000000" w14:paraId="000000BB">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III</w:t>
      </w:r>
      <w:r w:rsidDel="00000000" w:rsidR="00000000" w:rsidRPr="00000000">
        <w:rPr>
          <w:rFonts w:ascii="Palatino Linotype" w:cs="Palatino Linotype" w:eastAsia="Palatino Linotype" w:hAnsi="Palatino Linotype"/>
          <w:i w:val="1"/>
          <w:iCs w:val="1"/>
          <w:sz w:val="22"/>
          <w:szCs w:val="22"/>
          <w:rtl w:val="0"/>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rsidR="00000000" w:rsidDel="00000000" w:rsidP="00000000" w:rsidRDefault="00000000" w:rsidRPr="00000000" w14:paraId="000000BC">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Lo anterior, siempre y cuando no se acredite alguna causal de clasificación, prevista en las leyes o en los tratados internacionales suscritas por el Estado mexicano.  </w:t>
      </w:r>
    </w:p>
    <w:p w:rsidR="00000000" w:rsidDel="00000000" w:rsidP="00000000" w:rsidRDefault="00000000" w:rsidRPr="00000000" w14:paraId="000000BD">
      <w:pPr>
        <w:spacing w:after="120" w:before="12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Quincuagésimo octavo</w:t>
      </w:r>
      <w:r w:rsidDel="00000000" w:rsidR="00000000" w:rsidRPr="00000000">
        <w:rPr>
          <w:rFonts w:ascii="Palatino Linotype" w:cs="Palatino Linotype" w:eastAsia="Palatino Linotype" w:hAnsi="Palatino Linotype"/>
          <w:i w:val="1"/>
          <w:iCs w:val="1"/>
          <w:sz w:val="22"/>
          <w:szCs w:val="22"/>
          <w:rtl w:val="0"/>
        </w:rPr>
        <w:t xml:space="preserve">. Los sujetos obligados garantizarán que los sistemas o medios empleados para eliminar la información en las versiones públicas sean irreversibles, de tal forma que no permitan su recuperación o la visualización de la misma.”</w:t>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con fundamento en lo prescrito en los artículos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fracción III, así como 188 de la Ley de Transparencia y Acceso a la Información Pública del Estado de México y Municipios, este Pleno:</w:t>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240" w:before="240" w:line="360" w:lineRule="auto"/>
        <w:jc w:val="center"/>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III. R E S U E L V E</w:t>
      </w:r>
      <w:r w:rsidDel="00000000" w:rsidR="00000000" w:rsidRPr="00000000">
        <w:rPr>
          <w:rtl w:val="0"/>
        </w:rPr>
      </w:r>
    </w:p>
    <w:p w:rsidR="00000000" w:rsidDel="00000000" w:rsidP="00000000" w:rsidRDefault="00000000" w:rsidRPr="00000000" w14:paraId="000000C0">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w:t>
      </w:r>
      <w:r w:rsidDel="00000000" w:rsidR="00000000" w:rsidRPr="00000000">
        <w:rPr>
          <w:rFonts w:ascii="Palatino Linotype" w:cs="Palatino Linotype" w:eastAsia="Palatino Linotype" w:hAnsi="Palatino Linotype"/>
          <w:sz w:val="22"/>
          <w:szCs w:val="22"/>
          <w:rtl w:val="0"/>
        </w:rPr>
        <w:t xml:space="preserve">Resultan </w:t>
      </w:r>
      <w:r w:rsidDel="00000000" w:rsidR="00000000" w:rsidRPr="00000000">
        <w:rPr>
          <w:rFonts w:ascii="Palatino Linotype" w:cs="Palatino Linotype" w:eastAsia="Palatino Linotype" w:hAnsi="Palatino Linotype"/>
          <w:b w:val="1"/>
          <w:bCs w:val="1"/>
          <w:sz w:val="22"/>
          <w:szCs w:val="22"/>
          <w:rtl w:val="0"/>
        </w:rPr>
        <w:t xml:space="preserve">fundadas</w:t>
      </w:r>
      <w:r w:rsidDel="00000000" w:rsidR="00000000" w:rsidRPr="00000000">
        <w:rPr>
          <w:rFonts w:ascii="Palatino Linotype" w:cs="Palatino Linotype" w:eastAsia="Palatino Linotype" w:hAnsi="Palatino Linotype"/>
          <w:sz w:val="22"/>
          <w:szCs w:val="22"/>
          <w:rtl w:val="0"/>
        </w:rPr>
        <w:t xml:space="preserve"> las razones o motivos de inconformidad hechos valer por la parte</w:t>
      </w:r>
      <w:r w:rsidDel="00000000" w:rsidR="00000000" w:rsidRPr="00000000">
        <w:rPr>
          <w:rFonts w:ascii="Palatino Linotype" w:cs="Palatino Linotype" w:eastAsia="Palatino Linotype" w:hAnsi="Palatino Linotype"/>
          <w:b w:val="1"/>
          <w:bCs w:val="1"/>
          <w:sz w:val="22"/>
          <w:szCs w:val="22"/>
          <w:rtl w:val="0"/>
        </w:rPr>
        <w:t xml:space="preserve"> Recurrente</w:t>
      </w:r>
      <w:r w:rsidDel="00000000" w:rsidR="00000000" w:rsidRPr="00000000">
        <w:rPr>
          <w:rFonts w:ascii="Palatino Linotype" w:cs="Palatino Linotype" w:eastAsia="Palatino Linotype" w:hAnsi="Palatino Linotype"/>
          <w:sz w:val="22"/>
          <w:szCs w:val="22"/>
          <w:rtl w:val="0"/>
        </w:rPr>
        <w:t xml:space="preserve"> en el recurso de revisión </w:t>
      </w:r>
      <w:r w:rsidDel="00000000" w:rsidR="00000000" w:rsidRPr="00000000">
        <w:rPr>
          <w:rFonts w:ascii="Palatino Linotype" w:cs="Palatino Linotype" w:eastAsia="Palatino Linotype" w:hAnsi="Palatino Linotype"/>
          <w:b w:val="1"/>
          <w:bCs w:val="1"/>
          <w:sz w:val="22"/>
          <w:szCs w:val="22"/>
          <w:rtl w:val="0"/>
        </w:rPr>
        <w:t xml:space="preserve">06649/INFOEM/IP/RR/2026</w:t>
      </w:r>
      <w:r w:rsidDel="00000000" w:rsidR="00000000" w:rsidRPr="00000000">
        <w:rPr>
          <w:rFonts w:ascii="Palatino Linotype" w:cs="Palatino Linotype" w:eastAsia="Palatino Linotype" w:hAnsi="Palatino Linotype"/>
          <w:sz w:val="22"/>
          <w:szCs w:val="22"/>
          <w:rtl w:val="0"/>
        </w:rPr>
        <w:t xml:space="preserve">; por lo que, en términos del </w:t>
      </w:r>
      <w:r w:rsidDel="00000000" w:rsidR="00000000" w:rsidRPr="00000000">
        <w:rPr>
          <w:rFonts w:ascii="Palatino Linotype" w:cs="Palatino Linotype" w:eastAsia="Palatino Linotype" w:hAnsi="Palatino Linotype"/>
          <w:b w:val="1"/>
          <w:bCs w:val="1"/>
          <w:sz w:val="22"/>
          <w:szCs w:val="22"/>
          <w:rtl w:val="0"/>
        </w:rPr>
        <w:t xml:space="preserve">Considerando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Cuarto </w:t>
      </w:r>
      <w:r w:rsidDel="00000000" w:rsidR="00000000" w:rsidRPr="00000000">
        <w:rPr>
          <w:rFonts w:ascii="Palatino Linotype" w:cs="Palatino Linotype" w:eastAsia="Palatino Linotype" w:hAnsi="Palatino Linotype"/>
          <w:sz w:val="22"/>
          <w:szCs w:val="22"/>
          <w:rtl w:val="0"/>
        </w:rPr>
        <w:t xml:space="preserve">de esta resolución, se </w:t>
      </w:r>
      <w:r w:rsidDel="00000000" w:rsidR="00000000" w:rsidRPr="00000000">
        <w:rPr>
          <w:rFonts w:ascii="Palatino Linotype" w:cs="Palatino Linotype" w:eastAsia="Palatino Linotype" w:hAnsi="Palatino Linotype"/>
          <w:b w:val="1"/>
          <w:bCs w:val="1"/>
          <w:sz w:val="22"/>
          <w:szCs w:val="22"/>
          <w:rtl w:val="0"/>
        </w:rPr>
        <w:t xml:space="preserve">Revoca </w:t>
      </w:r>
      <w:r w:rsidDel="00000000" w:rsidR="00000000" w:rsidRPr="00000000">
        <w:rPr>
          <w:rFonts w:ascii="Palatino Linotype" w:cs="Palatino Linotype" w:eastAsia="Palatino Linotype" w:hAnsi="Palatino Linotype"/>
          <w:sz w:val="22"/>
          <w:szCs w:val="22"/>
          <w:rtl w:val="0"/>
        </w:rPr>
        <w:t xml:space="preserve">la respuesta emitida por el </w:t>
      </w:r>
      <w:r w:rsidDel="00000000" w:rsidR="00000000" w:rsidRPr="00000000">
        <w:rPr>
          <w:rFonts w:ascii="Palatino Linotype" w:cs="Palatino Linotype" w:eastAsia="Palatino Linotype" w:hAnsi="Palatino Linotype"/>
          <w:b w:val="1"/>
          <w:bCs w:val="1"/>
          <w:sz w:val="22"/>
          <w:szCs w:val="22"/>
          <w:rtl w:val="0"/>
        </w:rPr>
        <w:t xml:space="preserve">Sujeto Obligado.</w:t>
      </w:r>
    </w:p>
    <w:p w:rsidR="00000000" w:rsidDel="00000000" w:rsidP="00000000" w:rsidRDefault="00000000" w:rsidRPr="00000000" w14:paraId="000000C1">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C2">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Segundo. </w:t>
      </w:r>
      <w:r w:rsidDel="00000000" w:rsidR="00000000" w:rsidRPr="00000000">
        <w:rPr>
          <w:rFonts w:ascii="Palatino Linotype" w:cs="Palatino Linotype" w:eastAsia="Palatino Linotype" w:hAnsi="Palatino Linotype"/>
          <w:sz w:val="22"/>
          <w:szCs w:val="22"/>
          <w:rtl w:val="0"/>
        </w:rPr>
        <w:t xml:space="preserve">Se </w:t>
      </w:r>
      <w:r w:rsidDel="00000000" w:rsidR="00000000" w:rsidRPr="00000000">
        <w:rPr>
          <w:rFonts w:ascii="Palatino Linotype" w:cs="Palatino Linotype" w:eastAsia="Palatino Linotype" w:hAnsi="Palatino Linotype"/>
          <w:b w:val="1"/>
          <w:bCs w:val="1"/>
          <w:sz w:val="22"/>
          <w:szCs w:val="22"/>
          <w:rtl w:val="0"/>
        </w:rPr>
        <w:t xml:space="preserve">Ordena</w:t>
      </w:r>
      <w:r w:rsidDel="00000000" w:rsidR="00000000" w:rsidRPr="00000000">
        <w:rPr>
          <w:rFonts w:ascii="Palatino Linotype" w:cs="Palatino Linotype" w:eastAsia="Palatino Linotype" w:hAnsi="Palatino Linotype"/>
          <w:sz w:val="22"/>
          <w:szCs w:val="22"/>
          <w:rtl w:val="0"/>
        </w:rPr>
        <w:t xml:space="preserve"> al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términos de los Considerandos </w:t>
      </w:r>
      <w:r w:rsidDel="00000000" w:rsidR="00000000" w:rsidRPr="00000000">
        <w:rPr>
          <w:rFonts w:ascii="Palatino Linotype" w:cs="Palatino Linotype" w:eastAsia="Palatino Linotype" w:hAnsi="Palatino Linotype"/>
          <w:b w:val="1"/>
          <w:bCs w:val="1"/>
          <w:sz w:val="22"/>
          <w:szCs w:val="22"/>
          <w:rtl w:val="0"/>
        </w:rPr>
        <w:t xml:space="preserve">Cuarto y Quinto </w:t>
      </w:r>
      <w:r w:rsidDel="00000000" w:rsidR="00000000" w:rsidRPr="00000000">
        <w:rPr>
          <w:rFonts w:ascii="Palatino Linotype" w:cs="Palatino Linotype" w:eastAsia="Palatino Linotype" w:hAnsi="Palatino Linotype"/>
          <w:sz w:val="22"/>
          <w:szCs w:val="22"/>
          <w:rtl w:val="0"/>
        </w:rPr>
        <w:t xml:space="preserve">de esta resolución, </w:t>
      </w:r>
      <w:r w:rsidDel="00000000" w:rsidR="00000000" w:rsidRPr="00000000">
        <w:rPr>
          <w:rFonts w:ascii="Palatino Linotype" w:cs="Palatino Linotype" w:eastAsia="Palatino Linotype" w:hAnsi="Palatino Linotype"/>
          <w:b w:val="1"/>
          <w:bCs w:val="1"/>
          <w:sz w:val="22"/>
          <w:szCs w:val="22"/>
          <w:rtl w:val="0"/>
        </w:rPr>
        <w:t xml:space="preserve">haga entrega vía Sistema de Acceso a la Información Mexiquense (SAIMEX), previa búsqueda exhaustiva y razonable, de ser procedente en versión pública,</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el o los documentos donde conste o se advierta lo siguiente:</w:t>
      </w:r>
    </w:p>
    <w:p w:rsidR="00000000" w:rsidDel="00000000" w:rsidP="00000000" w:rsidRDefault="00000000" w:rsidRPr="00000000" w14:paraId="000000C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El número de medidores de agua instalados, reemplazados o retirados en el periodo comprendido del 01 de enero de 2024 al 29 de mayo de 2026.</w:t>
      </w:r>
    </w:p>
    <w:p w:rsidR="00000000" w:rsidDel="00000000" w:rsidP="00000000" w:rsidRDefault="00000000" w:rsidRPr="00000000" w14:paraId="000000C5">
      <w:pPr>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ind w:right="134"/>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Para la entrega en versión pública, se deberá emitir el Acuerdo del Comité de Transparencia de acuerdo con la Ley de Transparencia y Acceso a la Información Pública del Estado de México y Municipios, en el que funde y motive las razones sobre los datos que se supriman o eliminen de los soportes documentales objeto de las versiones públicas que se formulen y se pongan a disposición de la parte Recurrente.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49" w:firstLine="0"/>
        <w:jc w:val="both"/>
        <w:rPr>
          <w:rFonts w:ascii="Palatino Linotype" w:cs="Palatino Linotype" w:eastAsia="Palatino Linotype" w:hAnsi="Palatino Linotype"/>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al Titular de la Unidad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rsidR="00000000" w:rsidDel="00000000" w:rsidP="00000000" w:rsidRDefault="00000000" w:rsidRPr="00000000" w14:paraId="000000C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A">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Cuarto.</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al Titular de la Unidad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que de conformidad con el artículo 198 de la Ley de Transparencia y Acceso a la Información Pública del Estado de México y Municipios, de considerarlo procedente, de manera fundada y motivada, podrá solicitar una ampliación de plazo para el cumplimiento de la presente resolución.</w:t>
      </w:r>
    </w:p>
    <w:p w:rsidR="00000000" w:rsidDel="00000000" w:rsidP="00000000" w:rsidRDefault="00000000" w:rsidRPr="00000000" w14:paraId="000000CB">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C">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Quinto. Notifíquese vía SAIMEX, </w:t>
      </w:r>
      <w:r w:rsidDel="00000000" w:rsidR="00000000" w:rsidRPr="00000000">
        <w:rPr>
          <w:rFonts w:ascii="Palatino Linotype" w:cs="Palatino Linotype" w:eastAsia="Palatino Linotype" w:hAnsi="Palatino Linotype"/>
          <w:sz w:val="22"/>
          <w:szCs w:val="22"/>
          <w:rtl w:val="0"/>
        </w:rPr>
        <w:t xml:space="preserve">la presente resolución a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y hágase del conocimiento que en caso de que considere que la presente resolución le causa algún perjuicio, podrá promover el Juicio de Amparo en los términos de las leyes aplicables, de acuerdo a lo estipulado por el artículo 196 de la Ley de Transparencia y Acceso a la Información Pública del Estado de México y Municipios.</w:t>
      </w:r>
    </w:p>
    <w:p w:rsidR="00000000" w:rsidDel="00000000" w:rsidP="00000000" w:rsidRDefault="00000000" w:rsidRPr="00000000" w14:paraId="000000CD">
      <w:pPr>
        <w:spacing w:after="240" w:before="240"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SHARON CRISTINA MORALES MARTÍNEZ, LUIS GUSTAVO PARRA NORIEGA Y GUADALUPE RAMÍREZ PEÑA; EN LA VIGÉSIMA NOVENA SESIÓN ORDINARIA, CELEBRADA EL DIECINUEVE DE AGOSTO DE DOS MIL VEINTISÉIS, ANTE EL SECRETARIO TÉCNICO DEL PLENO ALEXIS TAPIA RAMÍREZ.</w:t>
      </w:r>
    </w:p>
    <w:p w:rsidR="00000000" w:rsidDel="00000000" w:rsidP="00000000" w:rsidRDefault="00000000" w:rsidRPr="00000000" w14:paraId="000000CE">
      <w:pPr>
        <w:spacing w:after="240" w:before="240" w:line="360" w:lineRule="auto"/>
        <w:jc w:val="both"/>
        <w:rPr>
          <w:rFonts w:ascii="Palatino Linotype" w:cs="Palatino Linotype" w:eastAsia="Palatino Linotype" w:hAnsi="Palatino Linotype"/>
          <w:sz w:val="22"/>
          <w:szCs w:val="22"/>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701" w:top="1985" w:left="1701" w:right="170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tabs>
        <w:tab w:val="center" w:leader="none" w:pos="4252"/>
        <w:tab w:val="right" w:leader="none" w:pos="8504"/>
      </w:tabs>
      <w:ind w:firstLine="708"/>
      <w:rPr>
        <w:rFonts w:ascii="Cambria" w:cs="Cambria" w:eastAsia="Cambria" w:hAnsi="Cambria"/>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tabs>
        <w:tab w:val="center" w:leader="none" w:pos="4252"/>
        <w:tab w:val="right" w:leader="none" w:pos="8504"/>
      </w:tabs>
      <w:rPr>
        <w:rFonts w:ascii="Cambria" w:cs="Cambria" w:eastAsia="Cambria" w:hAnsi="Cambria"/>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rPr>
        <w:rFonts w:ascii="Cambria" w:cs="Cambria" w:eastAsia="Cambria" w:hAnsi="Cambria"/>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-1080134</wp:posOffset>
          </wp:positionH>
          <wp:positionV relativeFrom="paragraph">
            <wp:posOffset>-499554</wp:posOffset>
          </wp:positionV>
          <wp:extent cx="7809865" cy="10165715"/>
          <wp:effectExtent b="0" l="0" r="0" t="0"/>
          <wp:wrapNone/>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1"/>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shd w:fill="auto" w:val="clear"/>
        </w:tcPr>
        <w:p w:rsidR="00000000" w:rsidDel="00000000" w:rsidP="00000000" w:rsidRDefault="00000000" w:rsidRPr="00000000" w14:paraId="000000D0">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shd w:fill="auto" w:val="clear"/>
          <w:vAlign w:val="center"/>
        </w:tcPr>
        <w:p w:rsidR="00000000" w:rsidDel="00000000" w:rsidP="00000000" w:rsidRDefault="00000000" w:rsidRPr="00000000" w14:paraId="000000D1">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06649/INFOEM/IP/RR/2026</w:t>
          </w:r>
        </w:p>
      </w:tc>
    </w:tr>
    <w:tr>
      <w:trPr>
        <w:cantSplit w:val="0"/>
        <w:trHeight w:val="228" w:hRule="atLeast"/>
        <w:tblHeader w:val="0"/>
      </w:trPr>
      <w:tc>
        <w:tcPr>
          <w:shd w:fill="auto" w:val="clear"/>
          <w:vAlign w:val="center"/>
        </w:tcPr>
        <w:p w:rsidR="00000000" w:rsidDel="00000000" w:rsidP="00000000" w:rsidRDefault="00000000" w:rsidRPr="00000000" w14:paraId="000000D2">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shd w:fill="auto" w:val="clear"/>
          <w:vAlign w:val="center"/>
        </w:tcPr>
        <w:p w:rsidR="00000000" w:rsidDel="00000000" w:rsidP="00000000" w:rsidRDefault="00000000" w:rsidRPr="00000000" w14:paraId="000000D3">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Organismo Público Descentralizado para la Prestación de Los Servicios de Agua Potable Alcantarillado y Saneamiento de Zinacantepec</w:t>
          </w:r>
        </w:p>
      </w:tc>
    </w:tr>
    <w:tr>
      <w:trPr>
        <w:cantSplit w:val="0"/>
        <w:tblHeader w:val="0"/>
      </w:trPr>
      <w:tc>
        <w:tcPr>
          <w:shd w:fill="auto" w:val="clear"/>
          <w:vAlign w:val="center"/>
        </w:tcPr>
        <w:p w:rsidR="00000000" w:rsidDel="00000000" w:rsidP="00000000" w:rsidRDefault="00000000" w:rsidRPr="00000000" w14:paraId="000000D4">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shd w:fill="auto" w:val="clear"/>
          <w:vAlign w:val="center"/>
        </w:tcPr>
        <w:p w:rsidR="00000000" w:rsidDel="00000000" w:rsidP="00000000" w:rsidRDefault="00000000" w:rsidRPr="00000000" w14:paraId="000000D5">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0D6">
    <w:pPr>
      <w:rPr>
        <w:rFonts w:ascii="Cambria" w:cs="Cambria" w:eastAsia="Cambria" w:hAnsi="Cambria"/>
        <w:color w:val="000000"/>
      </w:rPr>
    </w:pPr>
    <w:r w:rsidDel="00000000" w:rsidR="00000000" w:rsidRPr="00000000">
      <w:rPr>
        <w:rFonts w:ascii="Cambria" w:cs="Cambria" w:eastAsia="Cambria" w:hAnsi="Cambria"/>
        <w:color w:val="000000"/>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pacing w:line="276" w:lineRule="auto"/>
      <w:rPr>
        <w:rFonts w:ascii="Palatino Linotype" w:cs="Palatino Linotype" w:eastAsia="Palatino Linotype" w:hAnsi="Palatino Linotype"/>
        <w:color w:val="000000"/>
        <w:sz w:val="16"/>
        <w:szCs w:val="16"/>
      </w:rPr>
    </w:pPr>
    <w:r w:rsidDel="00000000" w:rsidR="00000000" w:rsidRPr="00000000">
      <w:rPr>
        <w:rFonts w:ascii="Palatino Linotype" w:cs="Palatino Linotype" w:eastAsia="Palatino Linotype" w:hAnsi="Palatino Linotype"/>
        <w:color w:val="000000"/>
        <w:sz w:val="16"/>
        <w:szCs w:val="16"/>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-1080127</wp:posOffset>
          </wp:positionH>
          <wp:positionV relativeFrom="paragraph">
            <wp:posOffset>-369902</wp:posOffset>
          </wp:positionV>
          <wp:extent cx="7809865" cy="10165715"/>
          <wp:effectExtent b="0" l="0" r="0" t="0"/>
          <wp:wrapNone/>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2"/>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shd w:fill="auto" w:val="clear"/>
        </w:tcPr>
        <w:p w:rsidR="00000000" w:rsidDel="00000000" w:rsidP="00000000" w:rsidRDefault="00000000" w:rsidRPr="00000000" w14:paraId="000000D8">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shd w:fill="auto" w:val="clear"/>
          <w:vAlign w:val="center"/>
        </w:tcPr>
        <w:p w:rsidR="00000000" w:rsidDel="00000000" w:rsidP="00000000" w:rsidRDefault="00000000" w:rsidRPr="00000000" w14:paraId="000000D9">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06649/INFOEM/IP/RR/2026</w:t>
          </w:r>
        </w:p>
      </w:tc>
    </w:tr>
    <w:tr>
      <w:trPr>
        <w:cantSplit w:val="0"/>
        <w:tblHeader w:val="0"/>
      </w:trPr>
      <w:tc>
        <w:tcPr>
          <w:shd w:fill="auto" w:val="clear"/>
        </w:tcPr>
        <w:p w:rsidR="00000000" w:rsidDel="00000000" w:rsidP="00000000" w:rsidRDefault="00000000" w:rsidRPr="00000000" w14:paraId="000000DA">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Recurrente</w:t>
          </w:r>
        </w:p>
      </w:tc>
      <w:tc>
        <w:tcPr>
          <w:shd w:fill="auto" w:val="clear"/>
          <w:vAlign w:val="center"/>
        </w:tcPr>
        <w:p w:rsidR="00000000" w:rsidDel="00000000" w:rsidP="00000000" w:rsidRDefault="00000000" w:rsidRPr="00000000" w14:paraId="000000DB">
          <w:pPr>
            <w:ind w:right="175"/>
            <w:jc w:val="both"/>
            <w:rPr>
              <w:rFonts w:ascii="Palatino Linotype" w:cs="Palatino Linotype" w:eastAsia="Palatino Linotype" w:hAnsi="Palatino Linotype"/>
              <w:b w:val="1"/>
              <w:bCs w:val="1"/>
              <w:sz w:val="22"/>
              <w:szCs w:val="22"/>
            </w:rPr>
          </w:pPr>
          <w:r w:rsidDel="00000000" w:rsidR="00000000" w:rsidRPr="00000000">
            <w:rPr>
              <w:rtl w:val="0"/>
            </w:rPr>
          </w:r>
        </w:p>
      </w:tc>
    </w:tr>
    <w:tr>
      <w:trPr>
        <w:cantSplit w:val="0"/>
        <w:trHeight w:val="228" w:hRule="atLeast"/>
        <w:tblHeader w:val="0"/>
      </w:trPr>
      <w:tc>
        <w:tcPr>
          <w:shd w:fill="auto" w:val="clear"/>
          <w:vAlign w:val="center"/>
        </w:tcPr>
        <w:p w:rsidR="00000000" w:rsidDel="00000000" w:rsidP="00000000" w:rsidRDefault="00000000" w:rsidRPr="00000000" w14:paraId="000000DC">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shd w:fill="auto" w:val="clear"/>
          <w:vAlign w:val="center"/>
        </w:tcPr>
        <w:p w:rsidR="00000000" w:rsidDel="00000000" w:rsidP="00000000" w:rsidRDefault="00000000" w:rsidRPr="00000000" w14:paraId="000000DD">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Organismo Público Descentralizado para la Prestación de Los Servicios de Agua Potable Alcantarillado y Saneamiento de Zinacantepec</w:t>
          </w:r>
        </w:p>
      </w:tc>
    </w:tr>
    <w:tr>
      <w:trPr>
        <w:cantSplit w:val="0"/>
        <w:tblHeader w:val="0"/>
      </w:trPr>
      <w:tc>
        <w:tcPr>
          <w:shd w:fill="auto" w:val="clear"/>
          <w:vAlign w:val="center"/>
        </w:tcPr>
        <w:p w:rsidR="00000000" w:rsidDel="00000000" w:rsidP="00000000" w:rsidRDefault="00000000" w:rsidRPr="00000000" w14:paraId="000000DE">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shd w:fill="auto" w:val="clear"/>
          <w:vAlign w:val="center"/>
        </w:tcPr>
        <w:p w:rsidR="00000000" w:rsidDel="00000000" w:rsidP="00000000" w:rsidRDefault="00000000" w:rsidRPr="00000000" w14:paraId="000000DF">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0E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7"/>
      <w:numFmt w:val="bullet"/>
      <w:lvlText w:val="●"/>
      <w:lvlJc w:val="left"/>
      <w:pPr>
        <w:ind w:left="720" w:hanging="360"/>
      </w:pPr>
      <w:rPr>
        <w:rFonts w:ascii="Noto Sans Symbols" w:cs="Noto Sans Symbols" w:eastAsia="Noto Sans Symbols" w:hAnsi="Noto Sans Symbols"/>
        <w:b w:val="0"/>
        <w:bCs w:val="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36609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366091"/>
      <w:sz w:val="26"/>
      <w:szCs w:val="26"/>
    </w:rPr>
  </w:style>
  <w:style w:type="paragraph" w:styleId="Heading3">
    <w:name w:val="heading 3"/>
    <w:basedOn w:val="Normal"/>
    <w:next w:val="Normal"/>
    <w:pPr>
      <w:keepNext w:val="1"/>
      <w:spacing w:after="60" w:before="240" w:lineRule="auto"/>
      <w:ind w:left="2160" w:hanging="720"/>
    </w:pPr>
    <w:rPr>
      <w:rFonts w:ascii="Calibri" w:cs="Calibri" w:eastAsia="Calibri" w:hAnsi="Calibri"/>
      <w:b w:val="1"/>
      <w:bCs w:val="1"/>
      <w:sz w:val="26"/>
      <w:szCs w:val="26"/>
    </w:rPr>
  </w:style>
  <w:style w:type="paragraph" w:styleId="Heading4">
    <w:name w:val="heading 4"/>
    <w:basedOn w:val="Normal"/>
    <w:next w:val="Normal"/>
    <w:pPr>
      <w:keepNext w:val="1"/>
      <w:spacing w:after="60" w:before="240" w:lineRule="auto"/>
      <w:ind w:left="2880" w:hanging="720"/>
    </w:pPr>
    <w:rPr>
      <w:rFonts w:ascii="Cambria" w:cs="Cambria" w:eastAsia="Cambria" w:hAnsi="Cambria"/>
      <w:b w:val="1"/>
      <w:bCs w:val="1"/>
      <w:sz w:val="28"/>
      <w:szCs w:val="28"/>
    </w:rPr>
  </w:style>
  <w:style w:type="paragraph" w:styleId="Heading5">
    <w:name w:val="heading 5"/>
    <w:basedOn w:val="Normal"/>
    <w:next w:val="Normal"/>
    <w:pPr>
      <w:spacing w:after="60" w:before="240" w:lineRule="auto"/>
      <w:ind w:left="3600" w:hanging="720"/>
    </w:pPr>
    <w:rPr>
      <w:rFonts w:ascii="Cambria" w:cs="Cambria" w:eastAsia="Cambria" w:hAnsi="Cambria"/>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115.0" w:type="dxa"/>
        <w:bottom w:w="0.0" w:type="dxa"/>
        <w:right w:w="115.0" w:type="dxa"/>
      </w:tblCellMar>
    </w:tblPr>
  </w:style>
  <w:style w:type="table" w:styleId="a0" w:customStyle="1">
    <w:basedOn w:val="TableNormal"/>
    <w:tblPr>
      <w:tblStyleRowBandSize w:val="1"/>
      <w:tblStyleColBandSize w:val="1"/>
      <w:tblCellMar>
        <w:top w:w="0.0" w:type="dxa"/>
        <w:left w:w="115.0" w:type="dxa"/>
        <w:bottom w:w="0.0" w:type="dxa"/>
        <w:right w:w="115.0" w:type="dxa"/>
      </w:tblCellMar>
    </w:tblPr>
  </w:style>
  <w:style w:type="paragraph" w:styleId="Encabezado">
    <w:name w:val="header"/>
    <w:basedOn w:val="Normal"/>
    <w:link w:val="EncabezadoCar"/>
    <w:uiPriority w:val="99"/>
    <w:unhideWhenUsed w:val="1"/>
    <w:rsid w:val="00DD6A3B"/>
    <w:pPr>
      <w:tabs>
        <w:tab w:val="center" w:pos="4419"/>
        <w:tab w:val="right" w:pos="8838"/>
      </w:tabs>
    </w:pPr>
  </w:style>
  <w:style w:type="character" w:styleId="EncabezadoCar" w:customStyle="1">
    <w:name w:val="Encabezado Car"/>
    <w:basedOn w:val="Fuentedeprrafopredeter"/>
    <w:link w:val="Encabezado"/>
    <w:uiPriority w:val="99"/>
    <w:rsid w:val="00DD6A3B"/>
  </w:style>
  <w:style w:type="paragraph" w:styleId="Piedepgina">
    <w:name w:val="footer"/>
    <w:basedOn w:val="Normal"/>
    <w:link w:val="PiedepginaCar"/>
    <w:uiPriority w:val="99"/>
    <w:unhideWhenUsed w:val="1"/>
    <w:rsid w:val="00DD6A3B"/>
    <w:pPr>
      <w:tabs>
        <w:tab w:val="center" w:pos="4419"/>
        <w:tab w:val="right" w:pos="8838"/>
      </w:tabs>
    </w:pPr>
  </w:style>
  <w:style w:type="character" w:styleId="PiedepginaCar" w:customStyle="1">
    <w:name w:val="Pie de página Car"/>
    <w:basedOn w:val="Fuentedeprrafopredeter"/>
    <w:link w:val="Piedepgina"/>
    <w:uiPriority w:val="99"/>
    <w:rsid w:val="00DD6A3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val="1"/>
    <w:rsid w:val="000D1F09"/>
    <w:pPr>
      <w:ind w:left="720"/>
      <w:contextualSpacing w:val="1"/>
    </w:pPr>
  </w:style>
  <w:style w:type="character" w:styleId="PrrafodelistaCar" w:customStyle="1">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val="1"/>
    <w:locked w:val="1"/>
    <w:rsid w:val="005270B4"/>
  </w:style>
  <w:style w:type="paragraph" w:styleId="NormalWeb">
    <w:name w:val="Normal (Web)"/>
    <w:basedOn w:val="Normal"/>
    <w:uiPriority w:val="99"/>
    <w:unhideWhenUsed w:val="1"/>
    <w:rsid w:val="00206140"/>
    <w:pPr>
      <w:spacing w:after="100" w:afterAutospacing="1" w:before="100" w:beforeAutospacing="1"/>
    </w:pPr>
    <w:rPr>
      <w:lang w:val="es-ES"/>
    </w:rPr>
  </w:style>
  <w:style w:type="paragraph" w:styleId="Sinespaciado">
    <w:name w:val="No Spacing"/>
    <w:aliases w:val="Francesa"/>
    <w:link w:val="SinespaciadoCar"/>
    <w:uiPriority w:val="1"/>
    <w:qFormat w:val="1"/>
    <w:rsid w:val="002F7865"/>
    <w:rPr>
      <w:rFonts w:asciiTheme="minorHAnsi" w:cstheme="minorBidi" w:eastAsiaTheme="minorHAnsi" w:hAnsiTheme="minorHAnsi"/>
      <w:sz w:val="22"/>
      <w:szCs w:val="22"/>
      <w:lang w:eastAsia="en-US"/>
    </w:rPr>
  </w:style>
  <w:style w:type="character" w:styleId="SinespaciadoCar" w:customStyle="1">
    <w:name w:val="Sin espaciado Car"/>
    <w:aliases w:val="Francesa Car"/>
    <w:link w:val="Sinespaciado"/>
    <w:uiPriority w:val="1"/>
    <w:locked w:val="1"/>
    <w:rsid w:val="002F7865"/>
    <w:rPr>
      <w:rFonts w:asciiTheme="minorHAnsi" w:cstheme="minorBidi" w:eastAsiaTheme="minorHAnsi" w:hAnsiTheme="minorHAnsi"/>
      <w:sz w:val="22"/>
      <w:szCs w:val="22"/>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yXYrkiDAOUJbSGUG3EOj71zdxQ==">CgMxLjAyDmguOWx5czNzZWFrOXVoMgloLjRkMzRvZzgyCGguZ2pkZ3hzMgloLjNkeTZ2a20yCWguMzBqMHpsbDIJaC4yczhleW8xMg5oLmp3eXdxZ3d6cHU3ZTIIaC50eWpjd3QyCWguMmV0OTJwMDgAciExaVk2dnV0aURVTmRoUG1nNFBBdWUwc01LekliRy1oOFo=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2026-09-04T17:14:00Z</dcterms:created>
  <dc:creator>INFOEM603</dc:creator>
</cp:coreProperties>
</file>