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veinticinco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bookmarkStart w:colFirst="0" w:colLast="0" w:name="_heading=h.blhowqprcwk6" w:id="0"/>
      <w:bookmarkEnd w:id="0"/>
      <w:r w:rsidDel="00000000" w:rsidR="00000000" w:rsidRPr="00000000">
        <w:rPr>
          <w:rtl w:val="0"/>
        </w:rPr>
      </w:r>
    </w:p>
    <w:p w:rsidR="00000000" w:rsidDel="00000000" w:rsidP="00000000" w:rsidRDefault="00000000" w:rsidRPr="00000000" w14:paraId="0000000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06509/INFOEM/IP/RR/2026</w:t>
      </w:r>
      <w:r w:rsidDel="00000000" w:rsidR="00000000" w:rsidRPr="00000000">
        <w:rPr>
          <w:rFonts w:ascii="Palatino Linotype" w:cs="Palatino Linotype" w:eastAsia="Palatino Linotype" w:hAnsi="Palatino Linotype"/>
          <w:sz w:val="22"/>
          <w:szCs w:val="22"/>
          <w:rtl w:val="0"/>
        </w:rPr>
        <w:t xml:space="preserve">, interpuesto por</w:t>
      </w:r>
      <w:r w:rsidDel="00000000" w:rsidR="00000000" w:rsidRPr="00000000">
        <w:rPr>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una persona que no proporcionó nombre o seudónimo para ser identificado,</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 </w:t>
      </w:r>
      <w:r w:rsidDel="00000000" w:rsidR="00000000" w:rsidRPr="00000000">
        <w:rPr>
          <w:rFonts w:ascii="Palatino Linotype" w:cs="Palatino Linotype" w:eastAsia="Palatino Linotype" w:hAnsi="Palatino Linotype"/>
          <w:b w:val="1"/>
          <w:bCs w:val="1"/>
          <w:sz w:val="22"/>
          <w:szCs w:val="22"/>
          <w:rtl w:val="0"/>
        </w:rPr>
        <w:t xml:space="preserve">01905/TOLUCA/IP/2026,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Ayuntamiento de Toluca,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4">
      <w:pP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6">
      <w:pPr>
        <w:spacing w:line="360" w:lineRule="auto"/>
        <w:jc w:val="both"/>
        <w:rPr>
          <w:rFonts w:ascii="Palatino Linotype" w:cs="Palatino Linotype" w:eastAsia="Palatino Linotype" w:hAnsi="Palatino Linotype"/>
          <w:sz w:val="22"/>
          <w:szCs w:val="22"/>
        </w:rPr>
      </w:pPr>
      <w:bookmarkStart w:colFirst="0" w:colLast="0" w:name="_heading=h.4d34og8" w:id="1"/>
      <w:bookmarkEnd w:id="1"/>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veintisiete de mayo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solicitud de acceso a la información pública, mediante la cual requirió la información siguiente: </w:t>
      </w:r>
    </w:p>
    <w:p w:rsidR="00000000" w:rsidDel="00000000" w:rsidP="00000000" w:rsidRDefault="00000000" w:rsidRPr="00000000" w14:paraId="0000000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8">
      <w:pPr>
        <w:ind w:left="851" w:right="902" w:firstLine="0"/>
        <w:jc w:val="both"/>
        <w:rPr>
          <w:rFonts w:ascii="Palatino Linotype" w:cs="Palatino Linotype" w:eastAsia="Palatino Linotype" w:hAnsi="Palatino Linotype"/>
          <w:i w:val="1"/>
          <w:iCs w:val="1"/>
          <w:sz w:val="22"/>
          <w:szCs w:val="22"/>
        </w:rPr>
      </w:pPr>
      <w:bookmarkStart w:colFirst="0" w:colLast="0" w:name="_heading=h.gjdgxs" w:id="2"/>
      <w:bookmarkEnd w:id="2"/>
      <w:r w:rsidDel="00000000" w:rsidR="00000000" w:rsidRPr="00000000">
        <w:rPr>
          <w:rFonts w:ascii="Palatino Linotype" w:cs="Palatino Linotype" w:eastAsia="Palatino Linotype" w:hAnsi="Palatino Linotype"/>
          <w:i w:val="1"/>
          <w:iCs w:val="1"/>
          <w:sz w:val="22"/>
          <w:szCs w:val="22"/>
          <w:rtl w:val="0"/>
        </w:rPr>
        <w:t xml:space="preserve"> “Quiero conocer cuantas bajas de personal han ocurrido en este ayuntamiento y la causa de la baja, es decir renuncia, despido, muerte, etc” (sic) </w:t>
      </w:r>
    </w:p>
    <w:p w:rsidR="00000000" w:rsidDel="00000000" w:rsidP="00000000" w:rsidRDefault="00000000" w:rsidRPr="00000000" w14:paraId="00000009">
      <w:pPr>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A">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b w:val="1"/>
          <w:bCs w:val="1"/>
          <w:sz w:val="22"/>
          <w:szCs w:val="22"/>
        </w:rPr>
      </w:pPr>
      <w:bookmarkStart w:colFirst="0" w:colLast="0" w:name="_heading=h.3dy6vkm" w:id="3"/>
      <w:bookmarkEnd w:id="3"/>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w:t>
      </w:r>
      <w:r w:rsidDel="00000000" w:rsidR="00000000" w:rsidRPr="00000000">
        <w:rPr>
          <w:rFonts w:ascii="Palatino Linotype" w:cs="Palatino Linotype" w:eastAsia="Palatino Linotype" w:hAnsi="Palatino Linotype"/>
          <w:b w:val="1"/>
          <w:bCs w:val="1"/>
          <w:sz w:val="22"/>
          <w:szCs w:val="22"/>
          <w:rtl w:val="0"/>
        </w:rPr>
        <w:t xml:space="preserve">de SAIMEX</w:t>
      </w:r>
    </w:p>
    <w:p w:rsidR="00000000" w:rsidDel="00000000" w:rsidP="00000000" w:rsidRDefault="00000000" w:rsidRPr="00000000" w14:paraId="0000000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w:t>
      </w:r>
      <w:r w:rsidDel="00000000" w:rsidR="00000000" w:rsidRPr="00000000">
        <w:rPr>
          <w:rFonts w:ascii="Palatino Linotype" w:cs="Palatino Linotype" w:eastAsia="Palatino Linotype" w:hAnsi="Palatino Linotype"/>
          <w:b w:val="1"/>
          <w:bCs w:val="1"/>
          <w:sz w:val="22"/>
          <w:szCs w:val="22"/>
          <w:rtl w:val="0"/>
        </w:rPr>
        <w:t xml:space="preserve"> dieciséis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 SAIMEX, sustancialmente en los términos siguientes:</w:t>
      </w:r>
    </w:p>
    <w:p w:rsidR="00000000" w:rsidDel="00000000" w:rsidP="00000000" w:rsidRDefault="00000000" w:rsidRPr="00000000" w14:paraId="0000000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F">
      <w:pPr>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atención a la solicitud con folio 01905/TOLUCA/IP/2026, me permito adjuntar al presente la respuesta correspondiente, Sin más por el momento, reciba un saludo......” (sic)</w:t>
      </w:r>
    </w:p>
    <w:p w:rsidR="00000000" w:rsidDel="00000000" w:rsidP="00000000" w:rsidRDefault="00000000" w:rsidRPr="00000000" w14:paraId="00000010">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11">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adjuntó a su escrito de respuesta, los archivos electrónicos que a continuación se describen:</w:t>
      </w:r>
    </w:p>
    <w:p w:rsidR="00000000" w:rsidDel="00000000" w:rsidP="00000000" w:rsidRDefault="00000000" w:rsidRPr="00000000" w14:paraId="0000001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3">
      <w:pPr>
        <w:numPr>
          <w:ilvl w:val="0"/>
          <w:numId w:val="5"/>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10 de junio de 2026, a través del cual la Directora General de Administración remite la respuesta de la Dirección de Recursos Humanos.</w:t>
      </w:r>
    </w:p>
    <w:p w:rsidR="00000000" w:rsidDel="00000000" w:rsidP="00000000" w:rsidRDefault="00000000" w:rsidRPr="00000000" w14:paraId="00000014">
      <w:pPr>
        <w:numPr>
          <w:ilvl w:val="0"/>
          <w:numId w:val="5"/>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10 de junio de 2026, a través del cual la Directora de Recursos Humanos refiere que lo requerido corresponde a manifestaciones que constituyen un derecho de petición.</w:t>
      </w:r>
    </w:p>
    <w:p w:rsidR="00000000" w:rsidDel="00000000" w:rsidP="00000000" w:rsidRDefault="00000000" w:rsidRPr="00000000" w14:paraId="00000015">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diecinueve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6">
      <w:pPr>
        <w:spacing w:line="360" w:lineRule="auto"/>
        <w:ind w:right="49"/>
        <w:jc w:val="both"/>
        <w:rPr>
          <w:rFonts w:ascii="Palatino Linotype" w:cs="Palatino Linotype" w:eastAsia="Palatino Linotype" w:hAnsi="Palatino Linotype"/>
          <w:b w:val="1"/>
          <w:bCs w:val="1"/>
          <w:sz w:val="18"/>
          <w:szCs w:val="18"/>
        </w:rPr>
      </w:pPr>
      <w:r w:rsidDel="00000000" w:rsidR="00000000" w:rsidRPr="00000000">
        <w:rPr>
          <w:rtl w:val="0"/>
        </w:rPr>
      </w:r>
    </w:p>
    <w:p w:rsidR="00000000" w:rsidDel="00000000" w:rsidP="00000000" w:rsidRDefault="00000000" w:rsidRPr="00000000" w14:paraId="00000017">
      <w:pPr>
        <w:tabs>
          <w:tab w:val="left" w:leader="none" w:pos="2745"/>
        </w:tabs>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8">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“Falta información” (sic)</w:t>
      </w:r>
    </w:p>
    <w:p w:rsidR="00000000" w:rsidDel="00000000" w:rsidP="00000000" w:rsidRDefault="00000000" w:rsidRPr="00000000" w14:paraId="00000019">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A">
      <w:pPr>
        <w:spacing w:line="360" w:lineRule="auto"/>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1B">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“Violan mis derechos humanos” (sic)</w:t>
      </w:r>
    </w:p>
    <w:p w:rsidR="00000000" w:rsidDel="00000000" w:rsidP="00000000" w:rsidRDefault="00000000" w:rsidRPr="00000000" w14:paraId="0000001C">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D">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E">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F">
      <w:pPr>
        <w:spacing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w:t>
      </w:r>
      <w:r w:rsidDel="00000000" w:rsidR="00000000" w:rsidRPr="00000000">
        <w:rPr>
          <w:rFonts w:ascii="Palatino Linotype" w:cs="Palatino Linotype" w:eastAsia="Palatino Linotype" w:hAnsi="Palatino Linotype"/>
          <w:b w:val="1"/>
          <w:bCs w:val="1"/>
          <w:sz w:val="22"/>
          <w:szCs w:val="22"/>
          <w:rtl w:val="0"/>
        </w:rPr>
        <w:t xml:space="preserve"> veintidós de junio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p>
    <w:p w:rsidR="00000000" w:rsidDel="00000000" w:rsidP="00000000" w:rsidRDefault="00000000" w:rsidRPr="00000000" w14:paraId="0000002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1">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constancias del expediente electrónico del SAIMEX, se observa que </w:t>
      </w:r>
    </w:p>
    <w:p w:rsidR="00000000" w:rsidDel="00000000" w:rsidP="00000000" w:rsidRDefault="00000000" w:rsidRPr="00000000" w14:paraId="00000022">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fecha treinta de junio de la presente anualidad rindió su informe justificado a través de dos archivos electrónicos, ratificando en lo sustancial la respuesta inicial.</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Documentos que fue puesto a la vista de la parte Recurrente; no obstante fue omisa en hacer valer manifestaciones o rendir alegatos que conforme a derecho resultaran procedentes.</w:t>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del término para resolver</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doce de agosto de dos mil veintiséis</w:t>
      </w:r>
      <w:r w:rsidDel="00000000" w:rsidR="00000000" w:rsidRPr="00000000">
        <w:rPr>
          <w:rFonts w:ascii="Palatino Linotype" w:cs="Palatino Linotype" w:eastAsia="Palatino Linotype" w:hAnsi="Palatino Linotype"/>
          <w:sz w:val="22"/>
          <w:szCs w:val="22"/>
          <w:rtl w:val="0"/>
        </w:rPr>
        <w:t xml:space="preserve">, se amplió el término para resolver el recurso de revisión en términos del artículo 181 párrafo tercero de la Ley de Transparencia y Acceso a la Información Pública del Estado de México y Municipios.</w:t>
      </w:r>
    </w:p>
    <w:p w:rsidR="00000000" w:rsidDel="00000000" w:rsidP="00000000" w:rsidRDefault="00000000" w:rsidRPr="00000000" w14:paraId="0000002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360"/>
        </w:tabs>
        <w:spacing w:line="360" w:lineRule="auto"/>
        <w:ind w:right="49"/>
        <w:jc w:val="both"/>
        <w:rPr>
          <w:rFonts w:ascii="Palatino Linotype" w:cs="Palatino Linotype" w:eastAsia="Palatino Linotype" w:hAnsi="Palatino Linotype"/>
          <w:sz w:val="22"/>
          <w:szCs w:val="22"/>
        </w:rPr>
      </w:pPr>
      <w:bookmarkStart w:colFirst="0" w:colLast="0" w:name="_heading=h.jwywqgwzpu7e" w:id="6"/>
      <w:bookmarkEnd w:id="6"/>
      <w:r w:rsidDel="00000000" w:rsidR="00000000" w:rsidRPr="00000000">
        <w:rPr>
          <w:rFonts w:ascii="Palatino Linotype" w:cs="Palatino Linotype" w:eastAsia="Palatino Linotype" w:hAnsi="Palatino Linotype"/>
          <w:b w:val="1"/>
          <w:bCs w:val="1"/>
          <w:sz w:val="22"/>
          <w:szCs w:val="22"/>
          <w:rtl w:val="0"/>
        </w:rPr>
        <w:t xml:space="preserve">8.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con fecha </w:t>
      </w:r>
      <w:r w:rsidDel="00000000" w:rsidR="00000000" w:rsidRPr="00000000">
        <w:rPr>
          <w:rFonts w:ascii="Palatino Linotype" w:cs="Palatino Linotype" w:eastAsia="Palatino Linotype" w:hAnsi="Palatino Linotype"/>
          <w:b w:val="1"/>
          <w:bCs w:val="1"/>
          <w:sz w:val="22"/>
          <w:szCs w:val="22"/>
          <w:rtl w:val="0"/>
        </w:rPr>
        <w:t xml:space="preserve">dieciocho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2B">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2C">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2D">
      <w:pPr>
        <w:spacing w:after="240" w:before="240" w:line="360" w:lineRule="auto"/>
        <w:jc w:val="both"/>
        <w:rPr>
          <w:rFonts w:ascii="Palatino Linotype" w:cs="Palatino Linotype" w:eastAsia="Palatino Linotype" w:hAnsi="Palatino Linotype"/>
          <w:sz w:val="22"/>
          <w:szCs w:val="22"/>
        </w:rPr>
      </w:pPr>
      <w:bookmarkStart w:colFirst="0" w:colLast="0" w:name="_heading=h.tyjcwt" w:id="7"/>
      <w:bookmarkEnd w:id="7"/>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2E">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w:t>
      </w:r>
      <w:r w:rsidDel="00000000" w:rsidR="00000000" w:rsidRPr="00000000">
        <w:rPr>
          <w:rFonts w:ascii="Palatino Linotype" w:cs="Palatino Linotype" w:eastAsia="Palatino Linotype" w:hAnsi="Palatino Linotype"/>
          <w:b w:val="1"/>
          <w:bCs w:val="1"/>
          <w:sz w:val="22"/>
          <w:szCs w:val="22"/>
          <w:rtl w:val="0"/>
        </w:rPr>
        <w:t xml:space="preserve">dieciséis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tuvo por presentado el </w:t>
      </w:r>
      <w:r w:rsidDel="00000000" w:rsidR="00000000" w:rsidRPr="00000000">
        <w:rPr>
          <w:rFonts w:ascii="Palatino Linotype" w:cs="Palatino Linotype" w:eastAsia="Palatino Linotype" w:hAnsi="Palatino Linotype"/>
          <w:b w:val="1"/>
          <w:bCs w:val="1"/>
          <w:sz w:val="22"/>
          <w:szCs w:val="22"/>
          <w:rtl w:val="0"/>
        </w:rPr>
        <w:t xml:space="preserve">diecinueve de junio de dos mil veintiséis</w:t>
      </w:r>
      <w:r w:rsidDel="00000000" w:rsidR="00000000" w:rsidRPr="00000000">
        <w:rPr>
          <w:rFonts w:ascii="Palatino Linotype" w:cs="Palatino Linotype" w:eastAsia="Palatino Linotype" w:hAnsi="Palatino Linotype"/>
          <w:sz w:val="22"/>
          <w:szCs w:val="22"/>
          <w:rtl w:val="0"/>
        </w:rPr>
        <w:t xml:space="preserve"> esto es, al tercer día hábil </w:t>
      </w:r>
      <w:r w:rsidDel="00000000" w:rsidR="00000000" w:rsidRPr="00000000">
        <w:rPr>
          <w:rFonts w:ascii="Palatino Linotype" w:cs="Palatino Linotype" w:eastAsia="Palatino Linotype" w:hAnsi="Palatino Linotype"/>
          <w:b w:val="1"/>
          <w:bCs w:val="1"/>
          <w:sz w:val="22"/>
          <w:szCs w:val="22"/>
          <w:rtl w:val="0"/>
        </w:rPr>
        <w:t xml:space="preserve">en que se tuvo conocimiento de la respuesta impugnada</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2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se concluye que el presente recurso de revisión se encuentra dentro de los márgenes temporales previstos en las disposiciones legales referidas.</w:t>
      </w:r>
    </w:p>
    <w:p w:rsidR="00000000" w:rsidDel="00000000" w:rsidP="00000000" w:rsidRDefault="00000000" w:rsidRPr="00000000" w14:paraId="00000030">
      <w:pPr>
        <w:tabs>
          <w:tab w:val="left" w:leader="none" w:pos="7938"/>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rsidR="00000000" w:rsidDel="00000000" w:rsidP="00000000" w:rsidRDefault="00000000" w:rsidRPr="00000000" w14:paraId="00000031">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Además, por cuanto hace a la procedibilidad del recurso de revisión, es de suma importancia señalar que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no señaló un </w:t>
      </w:r>
      <w:r w:rsidDel="00000000" w:rsidR="00000000" w:rsidRPr="00000000">
        <w:rPr>
          <w:rFonts w:ascii="Palatino Linotype" w:cs="Palatino Linotype" w:eastAsia="Palatino Linotype" w:hAnsi="Palatino Linotype"/>
          <w:b w:val="1"/>
          <w:bCs w:val="1"/>
          <w:sz w:val="22"/>
          <w:szCs w:val="22"/>
          <w:rtl w:val="0"/>
        </w:rPr>
        <w:t xml:space="preserve">nombre</w:t>
      </w:r>
      <w:r w:rsidDel="00000000" w:rsidR="00000000" w:rsidRPr="00000000">
        <w:rPr>
          <w:rFonts w:ascii="Palatino Linotype" w:cs="Palatino Linotype" w:eastAsia="Palatino Linotype" w:hAnsi="Palatino Linotype"/>
          <w:sz w:val="22"/>
          <w:szCs w:val="22"/>
          <w:rtl w:val="0"/>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r w:rsidDel="00000000" w:rsidR="00000000" w:rsidRPr="00000000">
        <w:rPr>
          <w:rtl w:val="0"/>
        </w:rPr>
      </w:r>
    </w:p>
    <w:p w:rsidR="00000000" w:rsidDel="00000000" w:rsidP="00000000" w:rsidRDefault="00000000" w:rsidRPr="00000000" w14:paraId="00000032">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anónimas</w:t>
      </w:r>
      <w:r w:rsidDel="00000000" w:rsidR="00000000" w:rsidRPr="00000000">
        <w:rPr>
          <w:rFonts w:ascii="Palatino Linotype" w:cs="Palatino Linotype" w:eastAsia="Palatino Linotype" w:hAnsi="Palatino Linotype"/>
          <w:i w:val="1"/>
          <w:iCs w:val="1"/>
          <w:sz w:val="22"/>
          <w:szCs w:val="22"/>
          <w:rtl w:val="0"/>
        </w:rPr>
        <w:t xml:space="preserve">, con nombre incompleto o </w:t>
      </w:r>
      <w:r w:rsidDel="00000000" w:rsidR="00000000" w:rsidRPr="00000000">
        <w:rPr>
          <w:rFonts w:ascii="Palatino Linotype" w:cs="Palatino Linotype" w:eastAsia="Palatino Linotype" w:hAnsi="Palatino Linotype"/>
          <w:b w:val="1"/>
          <w:bCs w:val="1"/>
          <w:i w:val="1"/>
          <w:iCs w:val="1"/>
          <w:sz w:val="22"/>
          <w:szCs w:val="22"/>
          <w:rtl w:val="0"/>
        </w:rPr>
        <w:t xml:space="preserve">seudónimo</w:t>
      </w:r>
      <w:r w:rsidDel="00000000" w:rsidR="00000000" w:rsidRPr="00000000">
        <w:rPr>
          <w:rFonts w:ascii="Palatino Linotype" w:cs="Palatino Linotype" w:eastAsia="Palatino Linotype" w:hAnsi="Palatino Linotype"/>
          <w:i w:val="1"/>
          <w:iCs w:val="1"/>
          <w:sz w:val="22"/>
          <w:szCs w:val="22"/>
          <w:rtl w:val="0"/>
        </w:rPr>
        <w:t xml:space="preserve"> serán procedentes para su trámite por parte del sujeto obligado ante quien se presente. No podrá requerirse información adicional con motivo del nombre proporcionado por el solicitante."</w:t>
      </w:r>
    </w:p>
    <w:p w:rsidR="00000000" w:rsidDel="00000000" w:rsidP="00000000" w:rsidRDefault="00000000" w:rsidRPr="00000000" w14:paraId="00000033">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179, fracción I del ordenamiento legal citado, que a la letra dice: </w:t>
      </w:r>
    </w:p>
    <w:p w:rsidR="00000000" w:rsidDel="00000000" w:rsidP="00000000" w:rsidRDefault="00000000" w:rsidRPr="00000000" w14:paraId="00000034">
      <w:pPr>
        <w:spacing w:after="240" w:before="240"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35">
      <w:pPr>
        <w:spacing w:after="240" w:before="240"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La negativa a la información solicitada;</w:t>
        <w:br w:type="textWrapping"/>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36">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r w:rsidDel="00000000" w:rsidR="00000000" w:rsidRPr="00000000">
        <w:rPr>
          <w:rtl w:val="0"/>
        </w:rPr>
      </w:r>
    </w:p>
    <w:p w:rsidR="00000000" w:rsidDel="00000000" w:rsidP="00000000" w:rsidRDefault="00000000" w:rsidRPr="00000000" w14:paraId="00000037">
      <w:pPr>
        <w:spacing w:after="240" w:before="240" w:line="360" w:lineRule="auto"/>
        <w:jc w:val="both"/>
        <w:rPr>
          <w:rFonts w:ascii="Palatino Linotype" w:cs="Palatino Linotype" w:eastAsia="Palatino Linotype" w:hAnsi="Palatino Linotype"/>
          <w:sz w:val="22"/>
          <w:szCs w:val="22"/>
        </w:rPr>
      </w:pPr>
      <w:bookmarkStart w:colFirst="0" w:colLast="0" w:name="_heading=h.2et92p0" w:id="8"/>
      <w:bookmarkEnd w:id="8"/>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38">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39">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3A">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3C">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3D">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3E">
      <w:pPr>
        <w:spacing w:after="240" w:before="240"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3F">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40">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4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42">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43">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44">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5">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46">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47">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48">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49">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4A">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4B">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4C">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4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4E">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medularmente lo siguiente:</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Número de bajas de personal que se presentaron en el Ayuntamiento de Toluca.</w:t>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Documento donde conste el motivo de la baja (por renuncia, despido, muerte, entre otros).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puede advertirse, la parte solicitante fue omisa en señalar el periodo sobre el cual requería la información, siendo aplicable el criterio de interpretación 03/19 emitido por el entonces Instituto Nacional de Transparencia Acceso a la Información y Protección de Datos Personales, INAI, en el cual es del tenor literal siguiente:</w:t>
      </w:r>
    </w:p>
    <w:p w:rsidR="00000000" w:rsidDel="00000000" w:rsidP="00000000" w:rsidRDefault="00000000" w:rsidRPr="00000000" w14:paraId="0000005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6">
      <w:pPr>
        <w:tabs>
          <w:tab w:val="left" w:leader="none" w:pos="8080"/>
        </w:tabs>
        <w:spacing w:line="360" w:lineRule="auto"/>
        <w:ind w:left="567"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Periodo de búsqueda de la información</w:t>
      </w:r>
      <w:r w:rsidDel="00000000" w:rsidR="00000000" w:rsidRPr="00000000">
        <w:rPr>
          <w:rFonts w:ascii="Palatino Linotype" w:cs="Palatino Linotype" w:eastAsia="Palatino Linotype" w:hAnsi="Palatino Linotype"/>
          <w:i w:val="1"/>
          <w:iCs w:val="1"/>
          <w:sz w:val="22"/>
          <w:szCs w:val="22"/>
          <w:rtl w:val="0"/>
        </w:rPr>
        <w:t xml:space="preserve">. En el supuesto de que el particular no haya señalado el periodo respecto del cual requiere la información, o bien, de la solicitud presentada no se adviertan elementos que permitan identificarlo, deberá considerarse, para efectos de la búsqueda de la información, que el requerimiento se refiere al año inmediato anterior, contado a partir de la fecha en que se presentó la solicitud.”  </w:t>
      </w:r>
    </w:p>
    <w:p w:rsidR="00000000" w:rsidDel="00000000" w:rsidP="00000000" w:rsidRDefault="00000000" w:rsidRPr="00000000" w14:paraId="00000057">
      <w:pPr>
        <w:tabs>
          <w:tab w:val="left" w:leader="none" w:pos="8080"/>
        </w:tabs>
        <w:spacing w:line="360" w:lineRule="auto"/>
        <w:ind w:left="567"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manera que, ante la omisión por parte de la solicitante, la información que es susceptible de entrega, en su caso, corresponde a la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 hubiera generado, administre o posea en el año inmediato anterior contado a partir de la fecha de presentación de la solicitud, es decir</w:t>
      </w:r>
      <w:r w:rsidDel="00000000" w:rsidR="00000000" w:rsidRPr="00000000">
        <w:rPr>
          <w:rFonts w:ascii="Palatino Linotype" w:cs="Palatino Linotype" w:eastAsia="Palatino Linotype" w:hAnsi="Palatino Linotype"/>
          <w:b w:val="1"/>
          <w:bCs w:val="1"/>
          <w:sz w:val="22"/>
          <w:szCs w:val="22"/>
          <w:rtl w:val="0"/>
        </w:rPr>
        <w:t xml:space="preserve">, del dieciséis de junio de dos mil veinticinco al dieciséis de junio de dos mil veintiséis.</w:t>
      </w:r>
      <w:r w:rsidDel="00000000" w:rsidR="00000000" w:rsidRPr="00000000">
        <w:rPr>
          <w:rtl w:val="0"/>
        </w:rPr>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Derivado de la naturaleza de la información requerida, es necesario traer a contexto l</w:t>
      </w:r>
      <w:r w:rsidDel="00000000" w:rsidR="00000000" w:rsidRPr="00000000">
        <w:rPr>
          <w:rFonts w:ascii="Palatino Linotype" w:cs="Palatino Linotype" w:eastAsia="Palatino Linotype" w:hAnsi="Palatino Linotype"/>
          <w:sz w:val="22"/>
          <w:szCs w:val="22"/>
          <w:rtl w:val="0"/>
        </w:rPr>
        <w:t xml:space="preserve">a Ley del Trabajo de los Servidores Públicos del Estado y Municipios, establece en su artículo 5 que la relación de trabajo entre las instituciones públicas y sus servidores públicos se entiende establecida mediante</w:t>
      </w:r>
      <w:r w:rsidDel="00000000" w:rsidR="00000000" w:rsidRPr="00000000">
        <w:rPr>
          <w:rFonts w:ascii="Palatino Linotype" w:cs="Palatino Linotype" w:eastAsia="Palatino Linotype" w:hAnsi="Palatino Linotype"/>
          <w:b w:val="1"/>
          <w:bCs w:val="1"/>
          <w:sz w:val="22"/>
          <w:szCs w:val="22"/>
          <w:u w:val="single"/>
          <w:rtl w:val="0"/>
        </w:rPr>
        <w:t xml:space="preserve"> nombramiento, formato único de movimiento de personal, contrato o por cualquier otro acto que tenga como consecuencia la prestación personal subordinada del servicio y la percepción de un sueldo. </w:t>
      </w:r>
      <w:r w:rsidDel="00000000" w:rsidR="00000000" w:rsidRPr="00000000">
        <w:rPr>
          <w:rtl w:val="0"/>
        </w:rPr>
      </w:r>
    </w:p>
    <w:p w:rsidR="00000000" w:rsidDel="00000000" w:rsidP="00000000" w:rsidRDefault="00000000" w:rsidRPr="00000000" w14:paraId="0000005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Del mismo modo, el artículo 45 de ley en comento, establece que los servidores públicos prestarán sus servicios mediante nombramiento, contrato o formato único de Movimientos de Personal expedidos por quien estuviere facultado legalmente para extenderlo.</w:t>
      </w:r>
    </w:p>
    <w:p w:rsidR="00000000" w:rsidDel="00000000" w:rsidP="00000000" w:rsidRDefault="00000000" w:rsidRPr="00000000" w14:paraId="0000005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la Ley de Seguridad Social para los Servidores Públicos del Estado de México y Municipios, establece que:</w:t>
      </w:r>
    </w:p>
    <w:p w:rsidR="00000000" w:rsidDel="00000000" w:rsidP="00000000" w:rsidRDefault="00000000" w:rsidRPr="00000000" w14:paraId="0000005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6.-</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u w:val="single"/>
          <w:rtl w:val="0"/>
        </w:rPr>
        <w:t xml:space="preserve">Los derechos que otorga la presente ley a los servidores públicos se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generan a partir de su ingreso al servicio independientemente de la fecha en que el Instituto reciba las cuotas y aportaciones establecidas.</w:t>
      </w:r>
      <w:r w:rsidDel="00000000" w:rsidR="00000000" w:rsidRPr="00000000">
        <w:rPr>
          <w:rFonts w:ascii="Palatino Linotype" w:cs="Palatino Linotype" w:eastAsia="Palatino Linotype" w:hAnsi="Palatino Linotype"/>
          <w:i w:val="1"/>
          <w:iCs w:val="1"/>
          <w:sz w:val="22"/>
          <w:szCs w:val="22"/>
          <w:rtl w:val="0"/>
        </w:rPr>
        <w:t xml:space="preserve"> Las instituciones públicas deberán remitir al Instituto, en un plazo no mayor de 10 días hábiles a partir del ingreso al servicio del servidor público, los datos necesarios para su registro y control.”</w:t>
      </w:r>
    </w:p>
    <w:p w:rsidR="00000000" w:rsidDel="00000000" w:rsidP="00000000" w:rsidRDefault="00000000" w:rsidRPr="00000000" w14:paraId="00000061">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el artículo 49 de la Ley del Trabajo de los Servidores Públicos del Estado de México y Municipios determina los requisitos para tener por formalizada una relación de trabajo entre el servidor y las entidades públicas, los cuales se enlistan a continuación: </w:t>
      </w:r>
    </w:p>
    <w:p w:rsidR="00000000" w:rsidDel="00000000" w:rsidP="00000000" w:rsidRDefault="00000000" w:rsidRPr="00000000" w14:paraId="00000063">
      <w:pPr>
        <w:spacing w:line="276" w:lineRule="auto"/>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4">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Los nombramientos, contratos o formato único de Movimientos de Personal de los servidores públicos deberán contener:</w:t>
      </w:r>
    </w:p>
    <w:p w:rsidR="00000000" w:rsidDel="00000000" w:rsidP="00000000" w:rsidRDefault="00000000" w:rsidRPr="00000000" w14:paraId="00000065">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6">
      <w:pPr>
        <w:spacing w:line="276" w:lineRule="auto"/>
        <w:ind w:left="851" w:right="567"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Nombre completo del servidor público; </w:t>
      </w:r>
    </w:p>
    <w:p w:rsidR="00000000" w:rsidDel="00000000" w:rsidP="00000000" w:rsidRDefault="00000000" w:rsidRPr="00000000" w14:paraId="00000067">
      <w:pPr>
        <w:spacing w:line="276" w:lineRule="auto"/>
        <w:ind w:left="851" w:right="567"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 Cargo para el que es designado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fecha de inicio de sus servicios y lugar de adscripción; </w:t>
      </w:r>
    </w:p>
    <w:p w:rsidR="00000000" w:rsidDel="00000000" w:rsidP="00000000" w:rsidRDefault="00000000" w:rsidRPr="00000000" w14:paraId="00000068">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w:t>
      </w:r>
      <w:r w:rsidDel="00000000" w:rsidR="00000000" w:rsidRPr="00000000">
        <w:rPr>
          <w:rFonts w:ascii="Palatino Linotype" w:cs="Palatino Linotype" w:eastAsia="Palatino Linotype" w:hAnsi="Palatino Linotype"/>
          <w:b w:val="1"/>
          <w:bCs w:val="1"/>
          <w:i w:val="1"/>
          <w:iCs w:val="1"/>
          <w:sz w:val="22"/>
          <w:szCs w:val="22"/>
          <w:rtl w:val="0"/>
        </w:rPr>
        <w:t xml:space="preserve">Carácter del nombramiento, ya sea de servidores públicos generales o de confianza</w:t>
      </w:r>
      <w:r w:rsidDel="00000000" w:rsidR="00000000" w:rsidRPr="00000000">
        <w:rPr>
          <w:rFonts w:ascii="Palatino Linotype" w:cs="Palatino Linotype" w:eastAsia="Palatino Linotype" w:hAnsi="Palatino Linotype"/>
          <w:i w:val="1"/>
          <w:iCs w:val="1"/>
          <w:sz w:val="22"/>
          <w:szCs w:val="22"/>
          <w:rtl w:val="0"/>
        </w:rPr>
        <w:t xml:space="preserve">, así como la temporalidad del mismo; </w:t>
      </w:r>
    </w:p>
    <w:p w:rsidR="00000000" w:rsidDel="00000000" w:rsidP="00000000" w:rsidRDefault="00000000" w:rsidRPr="00000000" w14:paraId="00000069">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Remuneración correspondiente al puesto</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6A">
      <w:pPr>
        <w:spacing w:line="276" w:lineRule="auto"/>
        <w:ind w:left="851" w:right="567"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Jornada de trabajo; </w:t>
      </w:r>
    </w:p>
    <w:p w:rsidR="00000000" w:rsidDel="00000000" w:rsidP="00000000" w:rsidRDefault="00000000" w:rsidRPr="00000000" w14:paraId="0000006B">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 Derogada; </w:t>
      </w:r>
    </w:p>
    <w:p w:rsidR="00000000" w:rsidDel="00000000" w:rsidP="00000000" w:rsidRDefault="00000000" w:rsidRPr="00000000" w14:paraId="0000006C">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VII. Firma del servidor público autorizado para emitir el nombramiento, contrato o formato único de Movimientos de Personal, así como el fundamento legal de esa atribución.”</w:t>
      </w:r>
    </w:p>
    <w:p w:rsidR="00000000" w:rsidDel="00000000" w:rsidP="00000000" w:rsidRDefault="00000000" w:rsidRPr="00000000" w14:paraId="0000006D">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p>
    <w:p w:rsidR="00000000" w:rsidDel="00000000" w:rsidP="00000000" w:rsidRDefault="00000000" w:rsidRPr="00000000" w14:paraId="0000006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anteriormente se señaló, las relaciones laborales, se tendrán establecidas ya sea por nombramiento, formato único de movimiento de personal, contrato o por cualquier otro acto que tenga como consecuencia la prestación personal subordinada del servicio y la percepción de un sueldo, en el cual se deberá establecer como requisitos mínimos </w:t>
      </w:r>
      <w:r w:rsidDel="00000000" w:rsidR="00000000" w:rsidRPr="00000000">
        <w:rPr>
          <w:rFonts w:ascii="Palatino Linotype" w:cs="Palatino Linotype" w:eastAsia="Palatino Linotype" w:hAnsi="Palatino Linotype"/>
          <w:b w:val="1"/>
          <w:bCs w:val="1"/>
          <w:sz w:val="22"/>
          <w:szCs w:val="22"/>
          <w:rtl w:val="0"/>
        </w:rPr>
        <w:t xml:space="preserve">el nombre, cargo, fecha inicio, lugar de adscripción, carácter del nombramiento, remuneración correspondiente al puesto y jornada de trabajo</w:t>
      </w:r>
      <w:r w:rsidDel="00000000" w:rsidR="00000000" w:rsidRPr="00000000">
        <w:rPr>
          <w:rFonts w:ascii="Palatino Linotype" w:cs="Palatino Linotype" w:eastAsia="Palatino Linotype" w:hAnsi="Palatino Linotype"/>
          <w:sz w:val="22"/>
          <w:szCs w:val="22"/>
          <w:rtl w:val="0"/>
        </w:rPr>
        <w:t xml:space="preserve">, información que permite dar cuenta en efecto, del alta del servidor público dentro de la institución pública con motivo de la prestación de sus servicios. </w:t>
      </w:r>
    </w:p>
    <w:p w:rsidR="00000000" w:rsidDel="00000000" w:rsidP="00000000" w:rsidRDefault="00000000" w:rsidRPr="00000000" w14:paraId="0000007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 contrario, cuando se actualiza algún supuesto previsto en los artículos 88 y 92 de la Ley de Trabajo que causen la terminación o rescisión de la relación laboral con las instituciones públicas, como: </w:t>
      </w:r>
    </w:p>
    <w:p w:rsidR="00000000" w:rsidDel="00000000" w:rsidP="00000000" w:rsidRDefault="00000000" w:rsidRPr="00000000" w14:paraId="0000007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3">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89.</w:t>
      </w:r>
      <w:r w:rsidDel="00000000" w:rsidR="00000000" w:rsidRPr="00000000">
        <w:rPr>
          <w:rFonts w:ascii="Palatino Linotype" w:cs="Palatino Linotype" w:eastAsia="Palatino Linotype" w:hAnsi="Palatino Linotype"/>
          <w:i w:val="1"/>
          <w:iCs w:val="1"/>
          <w:sz w:val="22"/>
          <w:szCs w:val="22"/>
          <w:rtl w:val="0"/>
        </w:rPr>
        <w:t xml:space="preserve"> Son </w:t>
      </w:r>
      <w:r w:rsidDel="00000000" w:rsidR="00000000" w:rsidRPr="00000000">
        <w:rPr>
          <w:rFonts w:ascii="Palatino Linotype" w:cs="Palatino Linotype" w:eastAsia="Palatino Linotype" w:hAnsi="Palatino Linotype"/>
          <w:b w:val="1"/>
          <w:bCs w:val="1"/>
          <w:i w:val="1"/>
          <w:iCs w:val="1"/>
          <w:sz w:val="22"/>
          <w:szCs w:val="22"/>
          <w:rtl w:val="0"/>
        </w:rPr>
        <w:t xml:space="preserve">causas de terminación de la relación laboral</w:t>
      </w:r>
      <w:r w:rsidDel="00000000" w:rsidR="00000000" w:rsidRPr="00000000">
        <w:rPr>
          <w:rFonts w:ascii="Palatino Linotype" w:cs="Palatino Linotype" w:eastAsia="Palatino Linotype" w:hAnsi="Palatino Linotype"/>
          <w:i w:val="1"/>
          <w:iCs w:val="1"/>
          <w:sz w:val="22"/>
          <w:szCs w:val="22"/>
          <w:rtl w:val="0"/>
        </w:rPr>
        <w:t xml:space="preserve"> sin responsabilidad para las instituciones públicas: </w:t>
      </w:r>
    </w:p>
    <w:p w:rsidR="00000000" w:rsidDel="00000000" w:rsidP="00000000" w:rsidRDefault="00000000" w:rsidRPr="00000000" w14:paraId="00000074">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La renuncia del servidor público; </w:t>
      </w:r>
    </w:p>
    <w:p w:rsidR="00000000" w:rsidDel="00000000" w:rsidP="00000000" w:rsidRDefault="00000000" w:rsidRPr="00000000" w14:paraId="00000075">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 El mutuo consentimiento de las partes; </w:t>
      </w:r>
    </w:p>
    <w:p w:rsidR="00000000" w:rsidDel="00000000" w:rsidP="00000000" w:rsidRDefault="00000000" w:rsidRPr="00000000" w14:paraId="00000076">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El vencimiento del término o conclusión de la obra determinantes de la contratación; </w:t>
      </w:r>
    </w:p>
    <w:p w:rsidR="00000000" w:rsidDel="00000000" w:rsidP="00000000" w:rsidRDefault="00000000" w:rsidRPr="00000000" w14:paraId="00000077">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El término o conclusión de la administración en la cual fue contratado el servidor público a que se refiere el artículo 8 de ésta Ley; </w:t>
      </w:r>
    </w:p>
    <w:p w:rsidR="00000000" w:rsidDel="00000000" w:rsidP="00000000" w:rsidRDefault="00000000" w:rsidRPr="00000000" w14:paraId="00000078">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La muerte del servidor público; y</w:t>
      </w:r>
    </w:p>
    <w:p w:rsidR="00000000" w:rsidDel="00000000" w:rsidP="00000000" w:rsidRDefault="00000000" w:rsidRPr="00000000" w14:paraId="00000079">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 La incapacidad permanente del servidor público que le impida el desempeño de sus labores.</w:t>
      </w:r>
    </w:p>
    <w:p w:rsidR="00000000" w:rsidDel="00000000" w:rsidP="00000000" w:rsidRDefault="00000000" w:rsidRPr="00000000" w14:paraId="0000007A">
      <w:pPr>
        <w:spacing w:line="276" w:lineRule="auto"/>
        <w:ind w:left="851" w:right="901"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7B">
      <w:pPr>
        <w:spacing w:line="276" w:lineRule="auto"/>
        <w:ind w:left="851" w:right="901" w:firstLine="0"/>
        <w:jc w:val="center"/>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CAPITULO IX</w:t>
      </w:r>
    </w:p>
    <w:p w:rsidR="00000000" w:rsidDel="00000000" w:rsidP="00000000" w:rsidRDefault="00000000" w:rsidRPr="00000000" w14:paraId="0000007C">
      <w:pPr>
        <w:spacing w:line="276" w:lineRule="auto"/>
        <w:ind w:left="851" w:right="901" w:firstLine="0"/>
        <w:jc w:val="center"/>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De la Rescisión de la Relación Laboral</w:t>
      </w:r>
    </w:p>
    <w:p w:rsidR="00000000" w:rsidDel="00000000" w:rsidP="00000000" w:rsidRDefault="00000000" w:rsidRPr="00000000" w14:paraId="0000007D">
      <w:pPr>
        <w:spacing w:line="276" w:lineRule="auto"/>
        <w:ind w:left="851" w:right="901"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92. </w:t>
      </w:r>
      <w:r w:rsidDel="00000000" w:rsidR="00000000" w:rsidRPr="00000000">
        <w:rPr>
          <w:rFonts w:ascii="Palatino Linotype" w:cs="Palatino Linotype" w:eastAsia="Palatino Linotype" w:hAnsi="Palatino Linotype"/>
          <w:i w:val="1"/>
          <w:iCs w:val="1"/>
          <w:sz w:val="22"/>
          <w:szCs w:val="22"/>
          <w:rtl w:val="0"/>
        </w:rPr>
        <w:t xml:space="preserve">El servidor público o la institución pública podrán rescindir en cualquier tiempo, </w:t>
      </w:r>
      <w:r w:rsidDel="00000000" w:rsidR="00000000" w:rsidRPr="00000000">
        <w:rPr>
          <w:rFonts w:ascii="Palatino Linotype" w:cs="Palatino Linotype" w:eastAsia="Palatino Linotype" w:hAnsi="Palatino Linotype"/>
          <w:b w:val="1"/>
          <w:bCs w:val="1"/>
          <w:i w:val="1"/>
          <w:iCs w:val="1"/>
          <w:sz w:val="22"/>
          <w:szCs w:val="22"/>
          <w:rtl w:val="0"/>
        </w:rPr>
        <w:t xml:space="preserve">por causa justificada, la relación laboral.</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7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La institución pública debe dar aviso por escrito al servidor público las causas de la rescisión de la relación laboral, tal como lo refiere el artículo 94 de la multicitada Ley de Trabajo Local, el cual se inserta a continuación: </w:t>
      </w:r>
    </w:p>
    <w:p w:rsidR="00000000" w:rsidDel="00000000" w:rsidP="00000000" w:rsidRDefault="00000000" w:rsidRPr="00000000" w14:paraId="00000080">
      <w:pPr>
        <w:spacing w:line="360" w:lineRule="auto"/>
        <w:ind w:right="901"/>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81">
      <w:pPr>
        <w:spacing w:line="276" w:lineRule="auto"/>
        <w:ind w:left="851" w:right="901"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94.</w:t>
      </w:r>
      <w:r w:rsidDel="00000000" w:rsidR="00000000" w:rsidRPr="00000000">
        <w:rPr>
          <w:rFonts w:ascii="Palatino Linotype" w:cs="Palatino Linotype" w:eastAsia="Palatino Linotype" w:hAnsi="Palatino Linotype"/>
          <w:i w:val="1"/>
          <w:iCs w:val="1"/>
          <w:sz w:val="22"/>
          <w:szCs w:val="22"/>
          <w:rtl w:val="0"/>
        </w:rPr>
        <w:t xml:space="preserve"> La institución pública deberá dar aviso por escrito al servidor público de manera personal, de la fecha y causa o causas de la rescisión de la relación laboral.” (Sic)</w:t>
      </w:r>
      <w:r w:rsidDel="00000000" w:rsidR="00000000" w:rsidRPr="00000000">
        <w:rPr>
          <w:rtl w:val="0"/>
        </w:rPr>
      </w:r>
    </w:p>
    <w:p w:rsidR="00000000" w:rsidDel="00000000" w:rsidP="00000000" w:rsidRDefault="00000000" w:rsidRPr="00000000" w14:paraId="0000008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3">
      <w:pPr>
        <w:tabs>
          <w:tab w:val="left" w:leader="none" w:pos="3390"/>
        </w:tabs>
        <w:spacing w:line="360" w:lineRule="auto"/>
        <w:jc w:val="both"/>
        <w:rPr>
          <w:rFonts w:ascii="Palatino Linotype" w:cs="Palatino Linotype" w:eastAsia="Palatino Linotype" w:hAnsi="Palatino Linotype"/>
          <w:b w:val="1"/>
          <w:bCs w:val="1"/>
          <w:sz w:val="22"/>
          <w:szCs w:val="22"/>
          <w:u w:val="single"/>
        </w:rPr>
      </w:pPr>
      <w:r w:rsidDel="00000000" w:rsidR="00000000" w:rsidRPr="00000000">
        <w:rPr>
          <w:rFonts w:ascii="Palatino Linotype" w:cs="Palatino Linotype" w:eastAsia="Palatino Linotype" w:hAnsi="Palatino Linotype"/>
          <w:sz w:val="22"/>
          <w:szCs w:val="22"/>
          <w:rtl w:val="0"/>
        </w:rPr>
        <w:t xml:space="preserve">En ese sentido, se desprende que la relación de trabajo entre las instituciones públicas y sus servidores públicos se establece ya sea por nombramiento, contrato o formato único de movimientos de personal, y esta termina cuando se actualice alguna causal establecida en el ordenamiento en cita, es decir, en el caso que ahora nos ocupa, se </w:t>
      </w:r>
      <w:r w:rsidDel="00000000" w:rsidR="00000000" w:rsidRPr="00000000">
        <w:rPr>
          <w:rFonts w:ascii="Palatino Linotype" w:cs="Palatino Linotype" w:eastAsia="Palatino Linotype" w:hAnsi="Palatino Linotype"/>
          <w:b w:val="1"/>
          <w:bCs w:val="1"/>
          <w:sz w:val="22"/>
          <w:szCs w:val="22"/>
          <w:u w:val="single"/>
          <w:rtl w:val="0"/>
        </w:rPr>
        <w:t xml:space="preserve">entiende como alta en el servicio público, a aquel acto administrativo que supone el inicio de una relación jurídica de trabajo, y por el contrario, se entiende como baja a aquel acto que da por terminada dicha relación. </w:t>
      </w:r>
    </w:p>
    <w:p w:rsidR="00000000" w:rsidDel="00000000" w:rsidP="00000000" w:rsidRDefault="00000000" w:rsidRPr="00000000" w14:paraId="0000008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5">
      <w:pPr>
        <w:spacing w:line="360" w:lineRule="auto"/>
        <w:jc w:val="both"/>
        <w:rPr>
          <w:rFonts w:ascii="Palatino Linotype" w:cs="Palatino Linotype" w:eastAsia="Palatino Linotype" w:hAnsi="Palatino Linotype"/>
          <w:b w:val="1"/>
          <w:bCs w:val="1"/>
          <w:sz w:val="22"/>
          <w:szCs w:val="22"/>
          <w:u w:val="single"/>
        </w:rPr>
      </w:pPr>
      <w:r w:rsidDel="00000000" w:rsidR="00000000" w:rsidRPr="00000000">
        <w:rPr>
          <w:rFonts w:ascii="Palatino Linotype" w:cs="Palatino Linotype" w:eastAsia="Palatino Linotype" w:hAnsi="Palatino Linotype"/>
          <w:sz w:val="22"/>
          <w:szCs w:val="22"/>
          <w:rtl w:val="0"/>
        </w:rPr>
        <w:t xml:space="preserve">Asimismo, uno de los documentos que puede dar cuenta de las bajas presentadas en el periodo indicado sería de manera enunciativa más no limitativa el Formato Único de Movimientos de Personal de baja, al ser el </w:t>
      </w:r>
      <w:r w:rsidDel="00000000" w:rsidR="00000000" w:rsidRPr="00000000">
        <w:rPr>
          <w:rFonts w:ascii="Palatino Linotype" w:cs="Palatino Linotype" w:eastAsia="Palatino Linotype" w:hAnsi="Palatino Linotype"/>
          <w:b w:val="1"/>
          <w:bCs w:val="1"/>
          <w:sz w:val="22"/>
          <w:szCs w:val="22"/>
          <w:u w:val="single"/>
          <w:rtl w:val="0"/>
        </w:rPr>
        <w:t xml:space="preserve">documento que evidencia los movimientos de </w:t>
      </w:r>
      <w:r w:rsidDel="00000000" w:rsidR="00000000" w:rsidRPr="00000000">
        <w:rPr>
          <w:rFonts w:ascii="Palatino Linotype" w:cs="Palatino Linotype" w:eastAsia="Palatino Linotype" w:hAnsi="Palatino Linotype"/>
          <w:b w:val="1"/>
          <w:bCs w:val="1"/>
          <w:sz w:val="22"/>
          <w:szCs w:val="22"/>
          <w:rtl w:val="0"/>
        </w:rPr>
        <w:t xml:space="preserve">alta,</w:t>
      </w:r>
      <w:r w:rsidDel="00000000" w:rsidR="00000000" w:rsidRPr="00000000">
        <w:rPr>
          <w:rFonts w:ascii="Palatino Linotype" w:cs="Palatino Linotype" w:eastAsia="Palatino Linotype" w:hAnsi="Palatino Linotype"/>
          <w:b w:val="1"/>
          <w:bCs w:val="1"/>
          <w:sz w:val="22"/>
          <w:szCs w:val="22"/>
          <w:u w:val="single"/>
          <w:rtl w:val="0"/>
        </w:rPr>
        <w:t xml:space="preserve"> baja, </w:t>
      </w:r>
      <w:r w:rsidDel="00000000" w:rsidR="00000000" w:rsidRPr="00000000">
        <w:rPr>
          <w:rFonts w:ascii="Palatino Linotype" w:cs="Palatino Linotype" w:eastAsia="Palatino Linotype" w:hAnsi="Palatino Linotype"/>
          <w:b w:val="1"/>
          <w:bCs w:val="1"/>
          <w:sz w:val="22"/>
          <w:szCs w:val="22"/>
          <w:rtl w:val="0"/>
        </w:rPr>
        <w:t xml:space="preserve">transferencia, promoción, democión y licencia</w:t>
      </w:r>
      <w:r w:rsidDel="00000000" w:rsidR="00000000" w:rsidRPr="00000000">
        <w:rPr>
          <w:rFonts w:ascii="Palatino Linotype" w:cs="Palatino Linotype" w:eastAsia="Palatino Linotype" w:hAnsi="Palatino Linotype"/>
          <w:b w:val="1"/>
          <w:bCs w:val="1"/>
          <w:sz w:val="22"/>
          <w:szCs w:val="22"/>
          <w:u w:val="single"/>
          <w:rtl w:val="0"/>
        </w:rPr>
        <w:t xml:space="preserve"> de los servidores públicos, es decir, es el documento oficial en el que se establece </w:t>
      </w:r>
      <w:r w:rsidDel="00000000" w:rsidR="00000000" w:rsidRPr="00000000">
        <w:rPr>
          <w:rFonts w:ascii="Palatino Linotype" w:cs="Palatino Linotype" w:eastAsia="Palatino Linotype" w:hAnsi="Palatino Linotype"/>
          <w:b w:val="1"/>
          <w:bCs w:val="1"/>
          <w:sz w:val="22"/>
          <w:szCs w:val="22"/>
          <w:rtl w:val="0"/>
        </w:rPr>
        <w:t xml:space="preserve">la relación laboral,</w:t>
      </w:r>
      <w:r w:rsidDel="00000000" w:rsidR="00000000" w:rsidRPr="00000000">
        <w:rPr>
          <w:rFonts w:ascii="Palatino Linotype" w:cs="Palatino Linotype" w:eastAsia="Palatino Linotype" w:hAnsi="Palatino Linotype"/>
          <w:b w:val="1"/>
          <w:bCs w:val="1"/>
          <w:sz w:val="22"/>
          <w:szCs w:val="22"/>
          <w:u w:val="single"/>
          <w:rtl w:val="0"/>
        </w:rPr>
        <w:t xml:space="preserve"> el término de la misma </w:t>
      </w:r>
      <w:r w:rsidDel="00000000" w:rsidR="00000000" w:rsidRPr="00000000">
        <w:rPr>
          <w:rFonts w:ascii="Palatino Linotype" w:cs="Palatino Linotype" w:eastAsia="Palatino Linotype" w:hAnsi="Palatino Linotype"/>
          <w:b w:val="1"/>
          <w:bCs w:val="1"/>
          <w:sz w:val="22"/>
          <w:szCs w:val="22"/>
          <w:rtl w:val="0"/>
        </w:rPr>
        <w:t xml:space="preserve">o el cambio de adscripción de los servidores públicos.</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left" w:leader="none" w:pos="567"/>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Máxime que en el caso, se advierte que el particular pretende acceder a información estadística al solicitar el número de bajas presentadas durante un periodo en especifico.</w:t>
      </w:r>
    </w:p>
    <w:p w:rsidR="00000000" w:rsidDel="00000000" w:rsidP="00000000" w:rsidRDefault="00000000" w:rsidRPr="00000000" w14:paraId="0000008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por lo que corresponde al documento donde conste el motivo de la baja, uno de ellos, puede ser la renuncia.</w:t>
      </w:r>
    </w:p>
    <w:p w:rsidR="00000000" w:rsidDel="00000000" w:rsidP="00000000" w:rsidRDefault="00000000" w:rsidRPr="00000000" w14:paraId="0000008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Referente a ese documento, conviene precisar que el diccionario de la real academia española lo define como:</w:t>
      </w:r>
    </w:p>
    <w:p w:rsidR="00000000" w:rsidDel="00000000" w:rsidP="00000000" w:rsidRDefault="00000000" w:rsidRPr="00000000" w14:paraId="0000008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D">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Renuncia:</w:t>
      </w:r>
    </w:p>
    <w:p w:rsidR="00000000" w:rsidDel="00000000" w:rsidP="00000000" w:rsidRDefault="00000000" w:rsidRPr="00000000" w14:paraId="0000008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Terminación del contrato de trabajo por decisión unilateral del trabajador” (Sic)</w:t>
      </w:r>
    </w:p>
    <w:p w:rsidR="00000000" w:rsidDel="00000000" w:rsidP="00000000" w:rsidRDefault="00000000" w:rsidRPr="00000000" w14:paraId="0000008F">
      <w:pPr>
        <w:ind w:left="567"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la conclusión de una relación laboral se puede dar por renuncia del trabajador por una decisión unilateral de este.</w:t>
      </w:r>
    </w:p>
    <w:p w:rsidR="00000000" w:rsidDel="00000000" w:rsidP="00000000" w:rsidRDefault="00000000" w:rsidRPr="00000000" w14:paraId="0000009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que conveniente traer a colación lo señalado por el artículo 89 de la Ley del Trabajo de los Servidores Públicos del Estado y Municipios, en donde se establece que la terminación de la relación laboral, se puede dar por diversas razones las cuales son: </w:t>
      </w:r>
      <w:r w:rsidDel="00000000" w:rsidR="00000000" w:rsidRPr="00000000">
        <w:rPr>
          <w:rFonts w:ascii="Palatino Linotype" w:cs="Palatino Linotype" w:eastAsia="Palatino Linotype" w:hAnsi="Palatino Linotype"/>
          <w:b w:val="1"/>
          <w:bCs w:val="1"/>
          <w:sz w:val="22"/>
          <w:szCs w:val="22"/>
          <w:rtl w:val="0"/>
        </w:rPr>
        <w:t xml:space="preserve">I. La renuncia del servidor público</w:t>
      </w:r>
      <w:r w:rsidDel="00000000" w:rsidR="00000000" w:rsidRPr="00000000">
        <w:rPr>
          <w:rFonts w:ascii="Palatino Linotype" w:cs="Palatino Linotype" w:eastAsia="Palatino Linotype" w:hAnsi="Palatino Linotype"/>
          <w:sz w:val="22"/>
          <w:szCs w:val="22"/>
          <w:rtl w:val="0"/>
        </w:rPr>
        <w:t xml:space="preserve">; II. El mutuo consentimiento de las partes; III. El vencimiento del término o conclusión de la obra determinantes de la contratación; IV. La muerte del servidor público; y V. La incapacidad permanente del servidor público que le impida el desempeño de sus labores.</w:t>
      </w:r>
    </w:p>
    <w:p w:rsidR="00000000" w:rsidDel="00000000" w:rsidP="00000000" w:rsidRDefault="00000000" w:rsidRPr="00000000" w14:paraId="0000009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la Guía técnica 07. La administración del personal municipal del Instituto Nacional de Administración Pública (consultable en: </w:t>
      </w:r>
      <w:hyperlink r:id="rId8">
        <w:r w:rsidDel="00000000" w:rsidR="00000000" w:rsidRPr="00000000">
          <w:rPr>
            <w:rFonts w:ascii="Palatino Linotype" w:cs="Palatino Linotype" w:eastAsia="Palatino Linotype" w:hAnsi="Palatino Linotype"/>
            <w:sz w:val="22"/>
            <w:szCs w:val="22"/>
            <w:rtl w:val="0"/>
          </w:rPr>
          <w:t xml:space="preserve">https://biblio.juridicas.unam.mx/bjv/resultados?ti=guia+tecnica</w:t>
        </w:r>
      </w:hyperlink>
      <w:r w:rsidDel="00000000" w:rsidR="00000000" w:rsidRPr="00000000">
        <w:rPr>
          <w:rFonts w:ascii="Palatino Linotype" w:cs="Palatino Linotype" w:eastAsia="Palatino Linotype" w:hAnsi="Palatino Linotype"/>
          <w:sz w:val="22"/>
          <w:szCs w:val="22"/>
          <w:rtl w:val="0"/>
        </w:rPr>
        <w:t xml:space="preserve">) se estable que, dentro de las actividades básicas de la administración de personal, tal como lo es la terminación de la relación laboral. Esta actividad es definida de la siguiente manera: </w:t>
      </w:r>
    </w:p>
    <w:p w:rsidR="00000000" w:rsidDel="00000000" w:rsidP="00000000" w:rsidRDefault="00000000" w:rsidRPr="00000000" w14:paraId="00000095">
      <w:pPr>
        <w:spacing w:line="360" w:lineRule="auto"/>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6">
      <w:pPr>
        <w:spacing w:line="276" w:lineRule="auto"/>
        <w:ind w:left="851" w:right="618"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“Terminación de la relación laboral</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Un empleado puede dejar de prestar sus servicios al municipio por diferentes casusas, como son</w:t>
      </w:r>
      <w:r w:rsidDel="00000000" w:rsidR="00000000" w:rsidRPr="00000000">
        <w:rPr>
          <w:rFonts w:ascii="Palatino Linotype" w:cs="Palatino Linotype" w:eastAsia="Palatino Linotype" w:hAnsi="Palatino Linotype"/>
          <w:i w:val="1"/>
          <w:iCs w:val="1"/>
          <w:sz w:val="22"/>
          <w:szCs w:val="22"/>
          <w:rtl w:val="0"/>
        </w:rPr>
        <w:t xml:space="preserve">: jubilación, </w:t>
      </w:r>
      <w:r w:rsidDel="00000000" w:rsidR="00000000" w:rsidRPr="00000000">
        <w:rPr>
          <w:rFonts w:ascii="Palatino Linotype" w:cs="Palatino Linotype" w:eastAsia="Palatino Linotype" w:hAnsi="Palatino Linotype"/>
          <w:b w:val="1"/>
          <w:bCs w:val="1"/>
          <w:i w:val="1"/>
          <w:iCs w:val="1"/>
          <w:sz w:val="22"/>
          <w:szCs w:val="22"/>
          <w:rtl w:val="0"/>
        </w:rPr>
        <w:t xml:space="preserve">renuncia</w:t>
      </w:r>
      <w:r w:rsidDel="00000000" w:rsidR="00000000" w:rsidRPr="00000000">
        <w:rPr>
          <w:rFonts w:ascii="Palatino Linotype" w:cs="Palatino Linotype" w:eastAsia="Palatino Linotype" w:hAnsi="Palatino Linotype"/>
          <w:i w:val="1"/>
          <w:iCs w:val="1"/>
          <w:sz w:val="22"/>
          <w:szCs w:val="22"/>
          <w:rtl w:val="0"/>
        </w:rPr>
        <w:t xml:space="preserve">, terminación, suspensión o rescisión del contrato.” (Sic)</w:t>
      </w:r>
    </w:p>
    <w:p w:rsidR="00000000" w:rsidDel="00000000" w:rsidP="00000000" w:rsidRDefault="00000000" w:rsidRPr="00000000" w14:paraId="00000097">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donde se establece que la terminación de la relación laboral de los Servidores Públicos con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se puede dar por consentimiento unilateral del Servidor Público mediante la renuncia presentada por este último. </w:t>
      </w:r>
    </w:p>
    <w:p w:rsidR="00000000" w:rsidDel="00000000" w:rsidP="00000000" w:rsidRDefault="00000000" w:rsidRPr="00000000" w14:paraId="0000009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Sobre esta circunstancia, tiene relevancias traer al estudio, lo previsto en el artículo 24, fracción XXII, de la Ley de Transparencia y Acceso a la Información Pública del Estado de México y Municipios, el cual establece que los sujetos obligados deberán documentar todo acto que derive del ejercicio de sus facultades, competencias o funciones. </w:t>
      </w:r>
    </w:p>
    <w:p w:rsidR="00000000" w:rsidDel="00000000" w:rsidP="00000000" w:rsidRDefault="00000000" w:rsidRPr="00000000" w14:paraId="0000009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C">
      <w:pPr>
        <w:spacing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Adicionalmente que sirve como analogía el criterio 004/2006 y 15/2006 del Comité de Información emitido por el Poder Judicial sobre la publicidad de la información de los expedientes laborales de los servidores públicos que señala lo siguiente:</w:t>
      </w:r>
    </w:p>
    <w:p w:rsidR="00000000" w:rsidDel="00000000" w:rsidP="00000000" w:rsidRDefault="00000000" w:rsidRPr="00000000" w14:paraId="0000009D">
      <w:pPr>
        <w:spacing w:line="360" w:lineRule="auto"/>
        <w:ind w:right="-162"/>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E">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Criterio 04/2006</w:t>
      </w:r>
    </w:p>
    <w:p w:rsidR="00000000" w:rsidDel="00000000" w:rsidP="00000000" w:rsidRDefault="00000000" w:rsidRPr="00000000" w14:paraId="0000009F">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NOMBRAMIENTOS Y</w:t>
      </w:r>
      <w:r w:rsidDel="00000000" w:rsidR="00000000" w:rsidRPr="00000000">
        <w:rPr>
          <w:rFonts w:ascii="Palatino Linotype" w:cs="Palatino Linotype" w:eastAsia="Palatino Linotype" w:hAnsi="Palatino Linotype"/>
          <w:b w:val="1"/>
          <w:bCs w:val="1"/>
          <w:i w:val="1"/>
          <w:iCs w:val="1"/>
          <w:sz w:val="22"/>
          <w:szCs w:val="22"/>
          <w:rtl w:val="0"/>
        </w:rPr>
        <w:t xml:space="preserve"> AVISOS DE BAJA DE LOS SERVIDORES PÚBLICOS DE LA SUPREMA CORTE DE JUSTICIA DE LA NACIÓN. EL DOCUMENTO EN EL QUE CONSTEN ES PÚBLICO, CON EXCEPCIÓN DE LOS DATOS PERSONALES QUE CONTENGAN, LOS QUE CONSTITUYEN INFORMACIÓN CONFIDENCIAL QUE DEBE SUPRIMIRSE DE LA VERSIÓN PÚBLICA QUE SE GENERE. </w:t>
      </w:r>
    </w:p>
    <w:p w:rsidR="00000000" w:rsidDel="00000000" w:rsidP="00000000" w:rsidRDefault="00000000" w:rsidRPr="00000000" w14:paraId="000000A0">
      <w:pP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Los documentos </w:t>
      </w:r>
      <w:r w:rsidDel="00000000" w:rsidR="00000000" w:rsidRPr="00000000">
        <w:rPr>
          <w:rFonts w:ascii="Palatino Linotype" w:cs="Palatino Linotype" w:eastAsia="Palatino Linotype" w:hAnsi="Palatino Linotype"/>
          <w:b w:val="1"/>
          <w:bCs w:val="1"/>
          <w:i w:val="1"/>
          <w:iCs w:val="1"/>
          <w:sz w:val="22"/>
          <w:szCs w:val="22"/>
          <w:rtl w:val="0"/>
        </w:rPr>
        <w:t xml:space="preserve">relativos a los nombramientos y</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avisos de baja de los servidores públicos de la Suprema Corte de Justicia de la Nación constituyen información pública, toda vez que se trata de actos administrativos relativos al manejo de su personal y, por ende, justifican parte del ejercicio del presupuesto público asignado.</w:t>
      </w:r>
      <w:r w:rsidDel="00000000" w:rsidR="00000000" w:rsidRPr="00000000">
        <w:rPr>
          <w:rFonts w:ascii="Palatino Linotype" w:cs="Palatino Linotype" w:eastAsia="Palatino Linotype" w:hAnsi="Palatino Linotype"/>
          <w:i w:val="1"/>
          <w:iCs w:val="1"/>
          <w:sz w:val="22"/>
          <w:szCs w:val="22"/>
          <w:rtl w:val="0"/>
        </w:rPr>
        <w:t xml:space="preserve"> En este sentido, si bien se trata de información de</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naturaleza pública, lo cierto es que en acatamiento a lo dispuesto</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en la Ley Federal de Transparencia y Acceso a la Información</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Pública Gubernamental </w:t>
      </w:r>
      <w:r w:rsidDel="00000000" w:rsidR="00000000" w:rsidRPr="00000000">
        <w:rPr>
          <w:rFonts w:ascii="Palatino Linotype" w:cs="Palatino Linotype" w:eastAsia="Palatino Linotype" w:hAnsi="Palatino Linotype"/>
          <w:i w:val="1"/>
          <w:iCs w:val="1"/>
          <w:sz w:val="22"/>
          <w:szCs w:val="22"/>
          <w:u w:val="single"/>
          <w:rtl w:val="0"/>
        </w:rPr>
        <w:t xml:space="preserve">para dar acceso a los referidos</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w:t>
      </w:r>
      <w:r w:rsidDel="00000000" w:rsidR="00000000" w:rsidRPr="00000000">
        <w:rPr>
          <w:rFonts w:ascii="Palatino Linotype" w:cs="Palatino Linotype" w:eastAsia="Palatino Linotype" w:hAnsi="Palatino Linotype"/>
          <w:i w:val="1"/>
          <w:iCs w:val="1"/>
          <w:sz w:val="22"/>
          <w:szCs w:val="22"/>
          <w:u w:val="single"/>
          <w:rtl w:val="0"/>
        </w:rPr>
        <w:t xml:space="preserve">documentos es necesario generar una versión pública de la</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w:t>
      </w:r>
      <w:r w:rsidDel="00000000" w:rsidR="00000000" w:rsidRPr="00000000">
        <w:rPr>
          <w:rFonts w:ascii="Palatino Linotype" w:cs="Palatino Linotype" w:eastAsia="Palatino Linotype" w:hAnsi="Palatino Linotype"/>
          <w:i w:val="1"/>
          <w:iCs w:val="1"/>
          <w:sz w:val="22"/>
          <w:szCs w:val="22"/>
          <w:u w:val="single"/>
          <w:rtl w:val="0"/>
        </w:rPr>
        <w:t xml:space="preserve">que se supriman los datos confidenciales que contengan, como</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w:t>
      </w:r>
      <w:r w:rsidDel="00000000" w:rsidR="00000000" w:rsidRPr="00000000">
        <w:rPr>
          <w:rFonts w:ascii="Palatino Linotype" w:cs="Palatino Linotype" w:eastAsia="Palatino Linotype" w:hAnsi="Palatino Linotype"/>
          <w:i w:val="1"/>
          <w:iCs w:val="1"/>
          <w:sz w:val="22"/>
          <w:szCs w:val="22"/>
          <w:u w:val="single"/>
          <w:rtl w:val="0"/>
        </w:rPr>
        <w:t xml:space="preserve">pueden ser el domicilio, el estado civil o el teléfono particular</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w:t>
      </w:r>
      <w:r w:rsidDel="00000000" w:rsidR="00000000" w:rsidRPr="00000000">
        <w:rPr>
          <w:rFonts w:ascii="Palatino Linotype" w:cs="Palatino Linotype" w:eastAsia="Palatino Linotype" w:hAnsi="Palatino Linotype"/>
          <w:i w:val="1"/>
          <w:iCs w:val="1"/>
          <w:sz w:val="22"/>
          <w:szCs w:val="22"/>
          <w:u w:val="single"/>
          <w:rtl w:val="0"/>
        </w:rPr>
        <w:t xml:space="preserve">del servidor público respectivo.</w:t>
      </w:r>
      <w:r w:rsidDel="00000000" w:rsidR="00000000" w:rsidRPr="00000000">
        <w:rPr>
          <w:rtl w:val="0"/>
        </w:rPr>
      </w:r>
    </w:p>
    <w:p w:rsidR="00000000" w:rsidDel="00000000" w:rsidP="00000000" w:rsidRDefault="00000000" w:rsidRPr="00000000" w14:paraId="000000A1">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Clasificación de Información 10/2006-A, </w:t>
      </w:r>
      <w:r w:rsidDel="00000000" w:rsidR="00000000" w:rsidRPr="00000000">
        <w:rPr>
          <w:rFonts w:ascii="Palatino Linotype" w:cs="Palatino Linotype" w:eastAsia="Palatino Linotype" w:hAnsi="Palatino Linotype"/>
          <w:i w:val="1"/>
          <w:iCs w:val="1"/>
          <w:sz w:val="22"/>
          <w:szCs w:val="22"/>
          <w:rtl w:val="0"/>
        </w:rPr>
        <w:t xml:space="preserve">derivada de la solicitud</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de acceso a la información presentada por Aldo González</w:t>
      </w:r>
      <w:r w:rsidDel="00000000" w:rsidR="00000000" w:rsidRPr="00000000">
        <w:rPr>
          <w:rFonts w:ascii="Palatino Linotype" w:cs="Palatino Linotype" w:eastAsia="Palatino Linotype" w:hAnsi="Palatino Linotype"/>
          <w:b w:val="1"/>
          <w:bCs w:val="1"/>
          <w:i w:val="1"/>
          <w:iCs w:val="1"/>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Gutiérrez.- 11 de abril de 2006.- Unanimidad de votos.</w:t>
      </w:r>
      <w:r w:rsidDel="00000000" w:rsidR="00000000" w:rsidRPr="00000000">
        <w:rPr>
          <w:rtl w:val="0"/>
        </w:rPr>
      </w:r>
    </w:p>
    <w:p w:rsidR="00000000" w:rsidDel="00000000" w:rsidP="00000000" w:rsidRDefault="00000000" w:rsidRPr="00000000" w14:paraId="000000A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este Instituto, no quiere dejar de indicar que el documento soporte solicitado, se trata de información pública, ya que nada impide que los interesados obtengan acceso a la información que por definición legal es pública, como aquellos documentos que deban generarse en virtud de las disposiciones que regulan el presupuesto asignado, su ejecución y las contrataciones, siempre que la misma se encuentre en posesión de los sujetos obligados.</w:t>
      </w:r>
    </w:p>
    <w:p w:rsidR="00000000" w:rsidDel="00000000" w:rsidP="00000000" w:rsidRDefault="00000000" w:rsidRPr="00000000" w14:paraId="000000A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por cuanto hace a la competencia del ente obligado para conocer de la información, es de indicar que de conformidad con el Manual de Organización de la Dirección General de Administración, se establece como una de sus atribuciones de la Dirección de Recursos Humanos, el supervisar y validar los movimientos administrativos, altas, reingresos, </w:t>
      </w:r>
      <w:r w:rsidDel="00000000" w:rsidR="00000000" w:rsidRPr="00000000">
        <w:rPr>
          <w:rFonts w:ascii="Palatino Linotype" w:cs="Palatino Linotype" w:eastAsia="Palatino Linotype" w:hAnsi="Palatino Linotype"/>
          <w:b w:val="1"/>
          <w:bCs w:val="1"/>
          <w:sz w:val="22"/>
          <w:szCs w:val="22"/>
          <w:u w:val="single"/>
          <w:rtl w:val="0"/>
        </w:rPr>
        <w:t xml:space="preserve">bajas</w:t>
      </w:r>
      <w:r w:rsidDel="00000000" w:rsidR="00000000" w:rsidRPr="00000000">
        <w:rPr>
          <w:rFonts w:ascii="Palatino Linotype" w:cs="Palatino Linotype" w:eastAsia="Palatino Linotype" w:hAnsi="Palatino Linotype"/>
          <w:sz w:val="22"/>
          <w:szCs w:val="22"/>
          <w:u w:val="single"/>
          <w:rtl w:val="0"/>
        </w:rPr>
        <w:t xml:space="preserve">,</w:t>
      </w:r>
      <w:r w:rsidDel="00000000" w:rsidR="00000000" w:rsidRPr="00000000">
        <w:rPr>
          <w:rFonts w:ascii="Palatino Linotype" w:cs="Palatino Linotype" w:eastAsia="Palatino Linotype" w:hAnsi="Palatino Linotype"/>
          <w:sz w:val="22"/>
          <w:szCs w:val="22"/>
          <w:rtl w:val="0"/>
        </w:rPr>
        <w:t xml:space="preserve"> licencias, cambios de categoría y adscripción, permisos, registro de incidencias del personal, entre otros; así como, integrar su expediente personal y laboral, el cual se concentrará dentro de sus archivos. </w:t>
      </w:r>
    </w:p>
    <w:p w:rsidR="00000000" w:rsidDel="00000000" w:rsidP="00000000" w:rsidRDefault="00000000" w:rsidRPr="00000000" w14:paraId="000000A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 anterior, se colige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cuenta con facultades, atribuciones y competencia, para generar, administrar y poseer la información requerida.</w:t>
      </w:r>
    </w:p>
    <w:p w:rsidR="00000000" w:rsidDel="00000000" w:rsidP="00000000" w:rsidRDefault="00000000" w:rsidRPr="00000000" w14:paraId="000000A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9">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consecuencia, conforme lo expuesto, se pronunció la unidad administrativa competente, siguiendo el procedimiento establecido por el artículo 162 de la Ley de Transparencia y Acceso a la Información Pública del Estado de México y Municipios, ya que turnó la solicitud al área en la que podría obrar la información de conformidad con la fracción XXXIX del artículo tercero de la legislación local vigente en materia de transparencia: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ind w:left="864" w:right="864" w:firstLine="0"/>
        <w:jc w:val="both"/>
        <w:rPr/>
      </w:pPr>
      <w:r w:rsidDel="00000000" w:rsidR="00000000" w:rsidRPr="00000000">
        <w:rPr>
          <w:rFonts w:ascii="Palatino Linotype" w:cs="Palatino Linotype" w:eastAsia="Palatino Linotype" w:hAnsi="Palatino Linotype"/>
          <w:i w:val="1"/>
          <w:iCs w:val="1"/>
          <w:sz w:val="22"/>
          <w:szCs w:val="22"/>
          <w:rtl w:val="0"/>
        </w:rPr>
        <w:t xml:space="preserve">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ffffff" w:val="clear"/>
        <w:spacing w:line="360" w:lineRule="auto"/>
        <w:jc w:val="both"/>
        <w:rPr>
          <w:sz w:val="22"/>
          <w:szCs w:val="22"/>
        </w:rPr>
      </w:pPr>
      <w:r w:rsidDel="00000000" w:rsidR="00000000" w:rsidRPr="00000000">
        <w:rPr>
          <w:rFonts w:ascii="Palatino Linotype" w:cs="Palatino Linotype" w:eastAsia="Palatino Linotype" w:hAnsi="Palatino Linotype"/>
          <w:sz w:val="22"/>
          <w:szCs w:val="22"/>
          <w:rtl w:val="0"/>
        </w:rPr>
        <w:t xml:space="preserve">En este orden de ideas, se advierte que efectivamente la Unidad de Transparencia cumplió con lo expresado en el artículo 162 de la Ley de Transparencia y Acceso a la Información Pública del Estado de México y Municipios, el cual menciona lo siguiente:</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ind w:left="864" w:right="864" w:firstLine="0"/>
        <w:jc w:val="both"/>
        <w:rPr/>
      </w:pPr>
      <w:r w:rsidDel="00000000" w:rsidR="00000000" w:rsidRPr="00000000">
        <w:rPr>
          <w:rFonts w:ascii="Palatino Linotype" w:cs="Palatino Linotype" w:eastAsia="Palatino Linotype" w:hAnsi="Palatino Linotype"/>
          <w:i w:val="1"/>
          <w:iCs w:val="1"/>
          <w:sz w:val="22"/>
          <w:szCs w:val="22"/>
          <w:rtl w:val="0"/>
        </w:rPr>
        <w:t xml:space="preserve">“Artículo 162. Las unidades de transparencia deberán garantizar que las solicitudes </w:t>
      </w:r>
      <w:r w:rsidDel="00000000" w:rsidR="00000000" w:rsidRPr="00000000">
        <w:rPr>
          <w:rFonts w:ascii="Palatino Linotype" w:cs="Palatino Linotype" w:eastAsia="Palatino Linotype" w:hAnsi="Palatino Linotype"/>
          <w:b w:val="1"/>
          <w:bCs w:val="1"/>
          <w:i w:val="1"/>
          <w:iCs w:val="1"/>
          <w:sz w:val="22"/>
          <w:szCs w:val="22"/>
          <w:rtl w:val="0"/>
        </w:rPr>
        <w:t xml:space="preserve">se turnen a todas las Áreas competentes </w:t>
      </w:r>
      <w:r w:rsidDel="00000000" w:rsidR="00000000" w:rsidRPr="00000000">
        <w:rPr>
          <w:rFonts w:ascii="Palatino Linotype" w:cs="Palatino Linotype" w:eastAsia="Palatino Linotype" w:hAnsi="Palatino Linotype"/>
          <w:i w:val="1"/>
          <w:iCs w:val="1"/>
          <w:sz w:val="22"/>
          <w:szCs w:val="22"/>
          <w:rtl w:val="0"/>
        </w:rPr>
        <w:t xml:space="preserve">que cuenten con la información o deban tenerla de acuerdo a sus facultades, competencias y funciones, con el objeto de que realicen una búsqueda exhaustiva y razonable de la información solicitada.”</w:t>
      </w:r>
      <w:r w:rsidDel="00000000" w:rsidR="00000000" w:rsidRPr="00000000">
        <w:rPr>
          <w:rtl w:val="0"/>
        </w:rPr>
      </w:r>
    </w:p>
    <w:p w:rsidR="00000000" w:rsidDel="00000000" w:rsidP="00000000" w:rsidRDefault="00000000" w:rsidRPr="00000000" w14:paraId="000000B0">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esta manera, se tiene que en el caso se cumplió con el procedimiento de turnar la solicitud de información a la unidad administrativa que conforme sus atribuciones puede contar con la información requerida.</w:t>
      </w:r>
    </w:p>
    <w:p w:rsidR="00000000" w:rsidDel="00000000" w:rsidP="00000000" w:rsidRDefault="00000000" w:rsidRPr="00000000" w14:paraId="000000B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a pesar de que se pronunció la Dirección de Recursos Humanos de la Dirección General de Administración en respuesta únicamente se limitó a referir que lo solicitado corresponde a manifestaciones subjetivas.</w:t>
      </w:r>
    </w:p>
    <w:p w:rsidR="00000000" w:rsidDel="00000000" w:rsidP="00000000" w:rsidRDefault="00000000" w:rsidRPr="00000000" w14:paraId="000000B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tanto, atendiendo que en el caso se acreditó que el ente obligado cuenta con atribuciones para conocer de la información requerida, en el caso resulta procedente </w:t>
      </w:r>
      <w:r w:rsidDel="00000000" w:rsidR="00000000" w:rsidRPr="00000000">
        <w:rPr>
          <w:rFonts w:ascii="Palatino Linotype" w:cs="Palatino Linotype" w:eastAsia="Palatino Linotype" w:hAnsi="Palatino Linotype"/>
          <w:b w:val="1"/>
          <w:bCs w:val="1"/>
          <w:sz w:val="22"/>
          <w:szCs w:val="22"/>
          <w:rtl w:val="0"/>
        </w:rPr>
        <w:t xml:space="preserve">Revocar</w:t>
      </w:r>
      <w:r w:rsidDel="00000000" w:rsidR="00000000" w:rsidRPr="00000000">
        <w:rPr>
          <w:rFonts w:ascii="Palatino Linotype" w:cs="Palatino Linotype" w:eastAsia="Palatino Linotype" w:hAnsi="Palatino Linotype"/>
          <w:sz w:val="22"/>
          <w:szCs w:val="22"/>
          <w:rtl w:val="0"/>
        </w:rPr>
        <w:t xml:space="preserve"> la respuesta del Sujeto Obligado, y ordenar, previa búsqueda exhaustiva y razonable, de ser procedente en versión pública, el documento donde conste o se advierta lo siguiente:</w:t>
      </w:r>
    </w:p>
    <w:p w:rsidR="00000000" w:rsidDel="00000000" w:rsidP="00000000" w:rsidRDefault="00000000" w:rsidRPr="00000000" w14:paraId="000000B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Número de bajas de personal que se presentaron en el Ayuntamiento de Toluca, en el periodo comprendido del dieciséis de junio de dos mil veinticinco al dieciséis de junio de dos mil veintiséis.</w:t>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Documento donde conste el motivo de las bajas presentadas en el periodo indicado. </w:t>
      </w:r>
    </w:p>
    <w:p w:rsidR="00000000" w:rsidDel="00000000" w:rsidP="00000000" w:rsidRDefault="00000000" w:rsidRPr="00000000" w14:paraId="000000B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A">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importante referir que los documentos que dan cuenta de lo solicitado, pueden contar datos personales, tales como los siguientes:</w:t>
      </w:r>
    </w:p>
    <w:p w:rsidR="00000000" w:rsidDel="00000000" w:rsidP="00000000" w:rsidRDefault="00000000" w:rsidRPr="00000000" w14:paraId="000000B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C">
      <w:pPr>
        <w:numPr>
          <w:ilvl w:val="0"/>
          <w:numId w:val="8"/>
        </w:numPr>
        <w:pBdr>
          <w:top w:space="0" w:sz="0" w:val="nil"/>
          <w:left w:space="0" w:sz="0" w:val="nil"/>
          <w:bottom w:space="0" w:sz="0" w:val="nil"/>
          <w:right w:space="0" w:sz="0" w:val="nil"/>
          <w:between w:space="0" w:sz="0" w:val="nil"/>
        </w:pBdr>
        <w:spacing w:after="200"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Motivos personales; </w:t>
      </w:r>
    </w:p>
    <w:p w:rsidR="00000000" w:rsidDel="00000000" w:rsidP="00000000" w:rsidRDefault="00000000" w:rsidRPr="00000000" w14:paraId="000000BD">
      <w:pPr>
        <w:numPr>
          <w:ilvl w:val="0"/>
          <w:numId w:val="8"/>
        </w:numPr>
        <w:pBdr>
          <w:top w:space="0" w:sz="0" w:val="nil"/>
          <w:left w:space="0" w:sz="0" w:val="nil"/>
          <w:bottom w:space="0" w:sz="0" w:val="nil"/>
          <w:right w:space="0" w:sz="0" w:val="nil"/>
          <w:between w:space="0" w:sz="0" w:val="nil"/>
        </w:pBdr>
        <w:spacing w:after="200"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Motivos de salud;</w:t>
      </w:r>
    </w:p>
    <w:p w:rsidR="00000000" w:rsidDel="00000000" w:rsidP="00000000" w:rsidRDefault="00000000" w:rsidRPr="00000000" w14:paraId="000000BE">
      <w:pPr>
        <w:numPr>
          <w:ilvl w:val="0"/>
          <w:numId w:val="8"/>
        </w:numPr>
        <w:pBdr>
          <w:top w:space="0" w:sz="0" w:val="nil"/>
          <w:left w:space="0" w:sz="0" w:val="nil"/>
          <w:bottom w:space="0" w:sz="0" w:val="nil"/>
          <w:right w:space="0" w:sz="0" w:val="nil"/>
          <w:between w:space="0" w:sz="0" w:val="nil"/>
        </w:pBdr>
        <w:spacing w:after="200"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Firma de servidores públicos; y </w:t>
      </w:r>
    </w:p>
    <w:p w:rsidR="00000000" w:rsidDel="00000000" w:rsidP="00000000" w:rsidRDefault="00000000" w:rsidRPr="00000000" w14:paraId="000000BF">
      <w:pPr>
        <w:numPr>
          <w:ilvl w:val="0"/>
          <w:numId w:val="8"/>
        </w:numPr>
        <w:pBdr>
          <w:top w:space="0" w:sz="0" w:val="nil"/>
          <w:left w:space="0" w:sz="0" w:val="nil"/>
          <w:bottom w:space="0" w:sz="0" w:val="nil"/>
          <w:right w:space="0" w:sz="0" w:val="nil"/>
          <w:between w:space="0" w:sz="0" w:val="nil"/>
        </w:pBdr>
        <w:spacing w:after="200"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Huella dactilar.</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Bajo ese contexto, se analizarán si los datos mencionados, deben ser considerados confidenciales, en términos del artículo 143, fracción I, de la Ley de Transparencia y Acceso a la Información Pública del Estado de México y Municipios, o públicos.</w:t>
      </w:r>
    </w:p>
    <w:p w:rsidR="00000000" w:rsidDel="00000000" w:rsidP="00000000" w:rsidRDefault="00000000" w:rsidRPr="00000000" w14:paraId="000000C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3">
      <w:pPr>
        <w:numPr>
          <w:ilvl w:val="0"/>
          <w:numId w:val="9"/>
        </w:numPr>
        <w:pBdr>
          <w:top w:space="0" w:sz="0" w:val="nil"/>
          <w:left w:space="0" w:sz="0" w:val="nil"/>
          <w:bottom w:space="0" w:sz="0" w:val="nil"/>
          <w:right w:space="0" w:sz="0" w:val="nil"/>
          <w:between w:space="0" w:sz="0" w:val="nil"/>
        </w:pBdr>
        <w:spacing w:after="200" w:line="360" w:lineRule="auto"/>
        <w:ind w:left="720"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Motivos de salud</w:t>
      </w:r>
    </w:p>
    <w:p w:rsidR="00000000" w:rsidDel="00000000" w:rsidP="00000000" w:rsidRDefault="00000000" w:rsidRPr="00000000" w14:paraId="000000C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5">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Al respecto, es de señalar que dichos datos corresponden a la enfermedad o situación específica que presentó el servidor público para que faltara o tuviera inasistencia, es decir, que estos datos </w:t>
      </w:r>
      <w:r w:rsidDel="00000000" w:rsidR="00000000" w:rsidRPr="00000000">
        <w:rPr>
          <w:rFonts w:ascii="Palatino Linotype" w:cs="Palatino Linotype" w:eastAsia="Palatino Linotype" w:hAnsi="Palatino Linotype"/>
          <w:b w:val="1"/>
          <w:bCs w:val="1"/>
          <w:sz w:val="22"/>
          <w:szCs w:val="22"/>
          <w:rtl w:val="0"/>
        </w:rPr>
        <w:t xml:space="preserve">dan cuenta del estado de salud de una persona.</w:t>
      </w:r>
    </w:p>
    <w:p w:rsidR="00000000" w:rsidDel="00000000" w:rsidP="00000000" w:rsidRDefault="00000000" w:rsidRPr="00000000" w14:paraId="000000C6">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C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orden de ideas, el artículo 4°, fracciones IX y X, de la Ley General de Protección de Datos Personales en Posesión de Sujetos Obligados y 4°, fracciones XI y XII, de la Ley de Protección de Datos Personales en Posesión de Sujetos Obligados del Estado de México y Municipios, establecen lo siguiente:</w:t>
      </w:r>
    </w:p>
    <w:p w:rsidR="00000000" w:rsidDel="00000000" w:rsidP="00000000" w:rsidRDefault="00000000" w:rsidRPr="00000000" w14:paraId="000000C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9">
      <w:pPr>
        <w:numPr>
          <w:ilvl w:val="0"/>
          <w:numId w:val="9"/>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Datos Personales:</w:t>
      </w:r>
      <w:r w:rsidDel="00000000" w:rsidR="00000000" w:rsidRPr="00000000">
        <w:rPr>
          <w:rFonts w:ascii="Palatino Linotype" w:cs="Palatino Linotype" w:eastAsia="Palatino Linotype" w:hAnsi="Palatino Linotype"/>
          <w:sz w:val="22"/>
          <w:szCs w:val="22"/>
          <w:rtl w:val="0"/>
        </w:rPr>
        <w:t xml:space="preserve"> Son cualquier información concerniente a una persona física identificada o identificable, y</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B">
      <w:pPr>
        <w:numPr>
          <w:ilvl w:val="0"/>
          <w:numId w:val="9"/>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Datos Personales Sensibles:</w:t>
      </w:r>
      <w:r w:rsidDel="00000000" w:rsidR="00000000" w:rsidRPr="00000000">
        <w:rPr>
          <w:rFonts w:ascii="Palatino Linotype" w:cs="Palatino Linotype" w:eastAsia="Palatino Linotype" w:hAnsi="Palatino Linotype"/>
          <w:sz w:val="22"/>
          <w:szCs w:val="22"/>
          <w:rtl w:val="0"/>
        </w:rPr>
        <w:t xml:space="preserve"> Son aquellos que refieran a la esfera más íntima de su titular y cuya utilización indebida pueda dar origen a discriminación o un riesgo grave para su titular, entre los cuales se encuentran aquellos que puedan revelar aspectos como origen racial o étnico, estado de salud, información genética, creencias religiosas, filosóficas y morales, opiniones políticas y preferencia sexual.</w:t>
      </w:r>
    </w:p>
    <w:p w:rsidR="00000000" w:rsidDel="00000000" w:rsidP="00000000" w:rsidRDefault="00000000" w:rsidRPr="00000000" w14:paraId="000000C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contexto, Davara, Isabel; Barco, Gregorio, Barco; y Cervantes, Alexis (2019), en el “Diccionario de Protección de Datos Personales Conceptos Fundamentales” (p. 226), precisan que </w:t>
      </w:r>
      <w:r w:rsidDel="00000000" w:rsidR="00000000" w:rsidRPr="00000000">
        <w:rPr>
          <w:rFonts w:ascii="Palatino Linotype" w:cs="Palatino Linotype" w:eastAsia="Palatino Linotype" w:hAnsi="Palatino Linotype"/>
          <w:b w:val="1"/>
          <w:bCs w:val="1"/>
          <w:sz w:val="22"/>
          <w:szCs w:val="22"/>
          <w:rtl w:val="0"/>
        </w:rPr>
        <w:t xml:space="preserve">los datos relativos a la salud son datos personales de carácter sensible</w:t>
      </w:r>
      <w:r w:rsidDel="00000000" w:rsidR="00000000" w:rsidRPr="00000000">
        <w:rPr>
          <w:rFonts w:ascii="Palatino Linotype" w:cs="Palatino Linotype" w:eastAsia="Palatino Linotype" w:hAnsi="Palatino Linotype"/>
          <w:sz w:val="22"/>
          <w:szCs w:val="22"/>
          <w:rtl w:val="0"/>
        </w:rPr>
        <w:t xml:space="preserve">, en tanto a que refieren al estado de salud física o mental de un individuo, y que se conforma entre otros, por lo siguientes:</w:t>
      </w:r>
    </w:p>
    <w:p w:rsidR="00000000" w:rsidDel="00000000" w:rsidP="00000000" w:rsidRDefault="00000000" w:rsidRPr="00000000" w14:paraId="000000C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F">
      <w:pPr>
        <w:numPr>
          <w:ilvl w:val="0"/>
          <w:numId w:val="10"/>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Números, símbolos o datos asignados a una persona física identificable que la identifique de manera unívoca a efectos sanitarios; </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1">
      <w:pPr>
        <w:numPr>
          <w:ilvl w:val="0"/>
          <w:numId w:val="10"/>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La información obtenida de pruebas o exámenes de una parte del cuerpo o sustancia corporal, y </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3">
      <w:pPr>
        <w:numPr>
          <w:ilvl w:val="0"/>
          <w:numId w:val="10"/>
        </w:numPr>
        <w:pBdr>
          <w:top w:space="0" w:sz="0" w:val="nil"/>
          <w:left w:space="0" w:sz="0" w:val="nil"/>
          <w:bottom w:space="0" w:sz="0" w:val="nil"/>
          <w:right w:space="0" w:sz="0" w:val="nil"/>
          <w:between w:space="0" w:sz="0" w:val="nil"/>
        </w:pBd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La información relativa a una enfermedad, una discapacidad, el riesgo de padecer enfermedades, el historial médico, el tratamiento clínico o el estado fisiológico o biomédico del interesado</w:t>
      </w:r>
    </w:p>
    <w:p w:rsidR="00000000" w:rsidDel="00000000" w:rsidP="00000000" w:rsidRDefault="00000000" w:rsidRPr="00000000" w14:paraId="000000D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Situación que toma relevancia, púes el apartado ¿Qué son los datos personales?, de la página oficial de este Instituto (consultada en la liga https://www.infoem.org.mx/es/contenido/datospersonales , el catorce de mayo de dos mil veinticinco), reafirma como una categoría de datos personales sensibles los concernientes a la salud de una persona, los cuales se conforman de aquellos datos relacionados con el estado físico o mental, cualquier atención médica, expediente clínico, diagnósticos, padecimientos, vacunas, intervenciones quirúrgicas, incapacidades médicas, discapacidades, uso de aparatos oftalmológicos, ortopédicos, auditivos o prótesis, consumo de sustancias tóxicas y estupefacientes, sintomatologías o análogos.</w:t>
      </w:r>
    </w:p>
    <w:p w:rsidR="00000000" w:rsidDel="00000000" w:rsidP="00000000" w:rsidRDefault="00000000" w:rsidRPr="00000000" w14:paraId="000000D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se logra observar cualquier información o dato que se relacione con el estado de salud de una persona, como lo es un motivo de </w:t>
      </w:r>
      <w:r w:rsidDel="00000000" w:rsidR="00000000" w:rsidRPr="00000000">
        <w:rPr>
          <w:rFonts w:ascii="Palatino Linotype" w:cs="Palatino Linotype" w:eastAsia="Palatino Linotype" w:hAnsi="Palatino Linotype"/>
          <w:b w:val="1"/>
          <w:bCs w:val="1"/>
          <w:sz w:val="22"/>
          <w:szCs w:val="22"/>
          <w:rtl w:val="0"/>
        </w:rPr>
        <w:t xml:space="preserve">baja</w:t>
      </w:r>
      <w:r w:rsidDel="00000000" w:rsidR="00000000" w:rsidRPr="00000000">
        <w:rPr>
          <w:rFonts w:ascii="Palatino Linotype" w:cs="Palatino Linotype" w:eastAsia="Palatino Linotype" w:hAnsi="Palatino Linotype"/>
          <w:sz w:val="22"/>
          <w:szCs w:val="22"/>
          <w:rtl w:val="0"/>
        </w:rPr>
        <w:t xml:space="preserve">, se considera un dato personal sensible, pues da cuenta del estado de salud físico o mental del titular, lo cual está íntimamente relacionado con su vida privada e íntima y, por lo tanto, actualiza la causal de clasificación, establecida en el artículo 143, fracción I, de la Ley de Transparencia y Acceso a la Información Pública del Estado de México y Municipios.</w:t>
      </w:r>
    </w:p>
    <w:p w:rsidR="00000000" w:rsidDel="00000000" w:rsidP="00000000" w:rsidRDefault="00000000" w:rsidRPr="00000000" w14:paraId="000000D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9">
      <w:pPr>
        <w:numPr>
          <w:ilvl w:val="0"/>
          <w:numId w:val="11"/>
        </w:numPr>
        <w:pBdr>
          <w:top w:space="0" w:sz="0" w:val="nil"/>
          <w:left w:space="0" w:sz="0" w:val="nil"/>
          <w:bottom w:space="0" w:sz="0" w:val="nil"/>
          <w:right w:space="0" w:sz="0" w:val="nil"/>
          <w:between w:space="0" w:sz="0" w:val="nil"/>
        </w:pBdr>
        <w:spacing w:after="200" w:line="360" w:lineRule="auto"/>
        <w:ind w:left="720"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Motivos personales</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D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Sobre el tema, es necesario señalar que existen motivos para que exista una baja derivada de una licencia sin goce de sueldo por el fallecimiento o enfermedades de familiares, realización de trámites, entre otros; sobre el tema, cabe mencionar que en la fracción II, del artículo 6 de la Constitución Política de los Estados Unidos Mexicanos se prevé que la información que se refiere a la vida privada y los datos personales, será protegida en los términos y con las excepciones que fijen las leyes.</w:t>
      </w:r>
    </w:p>
    <w:p w:rsidR="00000000" w:rsidDel="00000000" w:rsidP="00000000" w:rsidRDefault="00000000" w:rsidRPr="00000000" w14:paraId="000000D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Igualmente, el segundo párrafo del artículo 16 de la Carta Magna dispone que toda persona tiene derecho a la protección de sus datos personales, al acceso, rectificación y cancelación de los mismos; así como, a manifestar su oposición, en los términos que fije la ley, la cual establecerá los supuestos de excepción a los principios que rijan el tratamiento de datos, por razones de seguridad nacional, disposiciones de orden público, seguridad y salud públicas o para proteger los derechos de terceros.</w:t>
      </w:r>
    </w:p>
    <w:p w:rsidR="00000000" w:rsidDel="00000000" w:rsidP="00000000" w:rsidRDefault="00000000" w:rsidRPr="00000000" w14:paraId="000000D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 su vez, en el Cuadragésimo octavo de los Lineamientos Generales se señala que los documentos y expedientes clasificados como confidenciales sólo podrán ser comunicados a terceros siempre y cuando exista disposición legal expresa que lo justifique o cuando se cuente con el consentimiento del titular.</w:t>
      </w:r>
    </w:p>
    <w:p w:rsidR="00000000" w:rsidDel="00000000" w:rsidP="00000000" w:rsidRDefault="00000000" w:rsidRPr="00000000" w14:paraId="000000E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contexto, cabe señalar lo previsto en la tesis aislada número 1a. CCXIV/2009, emitida por la Primera Sala de la Suprema Corte de Justicia de la Nación, publicada en la Gaceta del Semanario Judicial de la Federación, Tomo XXX, de diciembre de 2009, página 277, de la Novena Época, materia constitucional, que establece lo siguiente:</w:t>
      </w:r>
    </w:p>
    <w:p w:rsidR="00000000" w:rsidDel="00000000" w:rsidP="00000000" w:rsidRDefault="00000000" w:rsidRPr="00000000" w14:paraId="000000E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360" w:lineRule="auto"/>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“DERECHO A LA VIDA PRIVADA. SU CONTENIDO GENERAL Y LA IMPORTANCIA DE NO DESCONTEXTUALIZAR LAS REFERENCIAS A LA MISMA. La Suprema Corte de Justicia de la Nación se ha referido en varias tesis a los rasgos característicos de la noción de lo ‘privado’. Así, lo ha relacionado con: lo que no constituye vida pública; el ámbito reservado frente a la acción y el conocimiento de los demás; lo que se desea compartir únicamente con aquellos que uno elige; las actividades de las personas en la esfera particular, relacionadas con el hogar y la familia; o aquello que las personas no desempeñan con el carácter de servidores públicos. Por otro lado, el derecho a la vida privada (o intimidad) está reconocido y protegido en declaraciones y tratados de derechos humanos que forman parte del orden jurídico mexicano, como la Declaración Universal de los Derechos Humanos (artículo 12), el Pacto Internacional de Derechos Civiles y Políticos (artículo 17), la Convención Americana sobre Derechos Humanos (artículo 11) y la Convención sobre los Derechos del Niño (artículo 16). Al interpretar estas disposiciones, los organismos internacionales han destacado que la noción de vida privada atañe a la esfera de la vida en la que las personas pueden expresar libremente su identidad, ya sea en sus relaciones con los demás o en lo individual, y han destacado su vinculación con un amplio abanico de otros derechos, como la inviolabilidad de la correspondencia y de las comunicaciones en general, la inviolabilidad del domicilio, las garantías respecto de los registros personales y corporales, las relacionadas con la recopilación y registro de información personal en bancos de datos y otros dispositivos; el derecho a una vivienda adecuada, a la salud y a la igualdad; los derechos reproductivos, o la protección en caso de desalojos forzados. Las afirmaciones contenidas en las resoluciones nacionales e internacionales son útiles en la medida en que no se tomen de manera descontextualizada, emerjan de un análisis cuidadoso de los diferentes escenarios jurídicos en los que la idea de privacidad entra en juego y no se pretenda derivar de ellas un concepto mecánico de vida privada, de referentes fijos e inmutables. Lo único que estas resoluciones permiten reconstruir, en términos abstractos, es la imagen general que evoca la idea de privacidad en nuestro contexto cultural. Según esta noción, las personas tienen derecho a gozar de un ámbito de proyección de su existencia que quede reservado de la invasión y la mirada de los demás, que les concierna sólo a ellos y les provea de condiciones adecuadas para el despliegue de su individualidad -para el desarrollo de su autonomía y su libertad-. A un nivel más concreto, la misma idea puede describirse apelando al derecho de las personas a mantener fuera del conocimiento de los demás (o, a veces, dentro del círculo de sus personas más próximas) ciertas manifestaciones o dimensiones de su existencia (conducta, datos, información, objetos) y al correspondiente derecho a que los demás no las invadan sin su consentimiento. En un sentido amplio, entonces, la protección constitucional de la vida privada implica poder conducir parte de la vida de uno protegido de la mirada y las injerencias de los demás, y guarda conexiones de variado tipo con pretensiones más concretas que los textos constitucionales actuales reconocen a veces como derechos conexos: el derecho de poder tomar libremente ciertas decisiones atinentes al propio plan de vida, el derecho a ver protegidas ciertas manifestaciones de integridad física y moral, el derecho al honor o reputación, el derecho a no ser presentado bajo una falsa apariencia, el derecho a impedir la divulgación de ciertos hechos o la publicación no autorizada de cierto tipo de fotografías, la protección contra el espionaje, la protección contra el uso abusivo de las comunicaciones privadas, o la protección contra la divulgación de informaciones comunicadas o recibidas confidencialmente por un particular.”</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360" w:lineRule="auto"/>
        <w:ind w:left="567" w:right="567"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E5">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conformidad con lo señalado, se colige que </w:t>
      </w:r>
      <w:r w:rsidDel="00000000" w:rsidR="00000000" w:rsidRPr="00000000">
        <w:rPr>
          <w:rFonts w:ascii="Palatino Linotype" w:cs="Palatino Linotype" w:eastAsia="Palatino Linotype" w:hAnsi="Palatino Linotype"/>
          <w:b w:val="1"/>
          <w:bCs w:val="1"/>
          <w:sz w:val="22"/>
          <w:szCs w:val="22"/>
          <w:rtl w:val="0"/>
        </w:rPr>
        <w:t xml:space="preserve">las actividades que realicen los particulares, dentro del ámbito privado, o dentro de la esfera particular, es información que debe protegerse.</w:t>
      </w:r>
    </w:p>
    <w:p w:rsidR="00000000" w:rsidDel="00000000" w:rsidP="00000000" w:rsidRDefault="00000000" w:rsidRPr="00000000" w14:paraId="000000E6">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E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presente caso, proporcionar el motivo de la renuncia, iría en contra del derecho a la vida privada, pues se daría cuenta de la decisión personal; es decir, un acto de voluntad de dichas personas en ejercicio de sus derechos para dar por terminada una relación laboral, lo cual constituye cuestiones de carácter estrictamente íntimo.</w:t>
      </w:r>
    </w:p>
    <w:p w:rsidR="00000000" w:rsidDel="00000000" w:rsidP="00000000" w:rsidRDefault="00000000" w:rsidRPr="00000000" w14:paraId="000000E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Sobre dicha situación, se trae a colación la tesis aislada número 2a. LXIII/2008, emitida por la Segunda Sala de la Suprema Corte de Justicia de la Nación, publicada en la Gaceta del Semanario Judicial de la Federación, Tomo XXVII, de mayo de 2008, página 229, de la Novena Época, materia constitucional, misma que a la letra señala:</w:t>
      </w:r>
    </w:p>
    <w:p w:rsidR="00000000" w:rsidDel="00000000" w:rsidP="00000000" w:rsidRDefault="00000000" w:rsidRPr="00000000" w14:paraId="000000E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6" w:lineRule="auto"/>
        <w:ind w:left="72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“DERECHO A LA PRIVACIDAD O INTIMIDAD. ESTÁ PROTEGIDO POR EL ARTÍCULO 16, PRIMER PÁRRAFO, DE LA CONSTITUCIÓN POLÍTICA DE LOS ESTADOS UNIDOS MEXICANOS.</w:t>
      </w:r>
      <w:r w:rsidDel="00000000" w:rsidR="00000000" w:rsidRPr="00000000">
        <w:rPr>
          <w:rFonts w:ascii="Palatino Linotype" w:cs="Palatino Linotype" w:eastAsia="Palatino Linotype" w:hAnsi="Palatino Linotype"/>
          <w:i w:val="1"/>
          <w:iCs w:val="1"/>
          <w:sz w:val="22"/>
          <w:szCs w:val="22"/>
          <w:rtl w:val="0"/>
        </w:rPr>
        <w:t xml:space="preserve"> Dicho numeral establece, en general, la garantía de seguridad jurídica de todo gobernado a no ser molestado en su persona, familia, papeles o posesiones, sino cuando medie mandato de autoridad competente debidamente fundado y motivado, de lo que deriva la inviolabilidad del domicilio, cuya finalidad primordial es el respeto a un ámbito de la vida privada personal y familiar que debe quedar excluido del conocimiento ajeno y de las intromisiones de los demás, con la limitante que la Constitución Política de los Estados Unidos Mexicanos establece para las autoridades. En un sentido amplio, la referida garantía puede extenderse a una protección que va más allá del aseguramiento del domicilio como espacio físico en que se desenvuelve normalmente la privacidad o la intimidad, de lo cual deriva el reconocimiento en el artículo 16, primer párrafo, constitucional, de un derecho a la intimidad o vida privada de los gobernados que abarca las intromisiones o molestias que por cualquier medio puedan realizarse en ese ámbito reservado de la vida.”</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360" w:lineRule="auto"/>
        <w:ind w:left="72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E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Conforme a dicha tesis aislada, la garantía de seguridad jurídica de los individuos a no ser molestados en su persona, familia, papeles o posesiones, salvo cuando medie mandato de autoridad competente debidamente fundado y motivado, de lo que deriva la inviolabilidad del domicilio, y cuya finalidad primordial es el respeto a un ámbito de la vida privada personal y familiar que debe quedar excluido del conocimiento ajeno y de las intromisiones de los demás, con la limitante prevista en la Constitución Política de los Estados Unidos Mexicanos.</w:t>
      </w:r>
    </w:p>
    <w:p w:rsidR="00000000" w:rsidDel="00000000" w:rsidP="00000000" w:rsidRDefault="00000000" w:rsidRPr="00000000" w14:paraId="000000E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F">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Así, en un sentido amplio, dicha garantía puede extenderse a una protección más allá del aseguramiento del domicilio como espacio físico en que se desenvuelve normalmente la privacidad o la intimidad, por lo que en el artículo 16, primer párrafo, constitucional,</w:t>
      </w:r>
      <w:r w:rsidDel="00000000" w:rsidR="00000000" w:rsidRPr="00000000">
        <w:rPr>
          <w:rFonts w:ascii="Palatino Linotype" w:cs="Palatino Linotype" w:eastAsia="Palatino Linotype" w:hAnsi="Palatino Linotype"/>
          <w:b w:val="1"/>
          <w:bCs w:val="1"/>
          <w:sz w:val="22"/>
          <w:szCs w:val="22"/>
          <w:rtl w:val="0"/>
        </w:rPr>
        <w:t xml:space="preserve"> se da el reconocimiento de un derecho a la privacidad de las personas que implica no ser sujeto de intromisiones o molestias en el ámbito reservado de su vida o intimidad.</w:t>
      </w:r>
    </w:p>
    <w:p w:rsidR="00000000" w:rsidDel="00000000" w:rsidP="00000000" w:rsidRDefault="00000000" w:rsidRPr="00000000" w14:paraId="000000F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1">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Por lo tanto, se considera que dar a conocer los motivos personales, de inasistencias o faltas, implicaría revelar un aspecto de la vida privada e íntima, es decir, </w:t>
      </w:r>
      <w:r w:rsidDel="00000000" w:rsidR="00000000" w:rsidRPr="00000000">
        <w:rPr>
          <w:rFonts w:ascii="Palatino Linotype" w:cs="Palatino Linotype" w:eastAsia="Palatino Linotype" w:hAnsi="Palatino Linotype"/>
          <w:b w:val="1"/>
          <w:bCs w:val="1"/>
          <w:sz w:val="22"/>
          <w:szCs w:val="22"/>
          <w:rtl w:val="0"/>
        </w:rPr>
        <w:t xml:space="preserve">reflejaría una situación concreta de los servidores públicos en su vida personal, al dar cuenta de las razones de la decisión particular de presentar su renuncia laboral; por lo que, se considera información confidencial, en términos del artículo 143, fracción I, de la Ley de Transparencia y Acceso a la Información Pública del Estado de México y Municipios.</w:t>
      </w:r>
    </w:p>
    <w:p w:rsidR="00000000" w:rsidDel="00000000" w:rsidP="00000000" w:rsidRDefault="00000000" w:rsidRPr="00000000" w14:paraId="000000F2">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F3">
      <w:pPr>
        <w:numPr>
          <w:ilvl w:val="0"/>
          <w:numId w:val="2"/>
        </w:numPr>
        <w:spacing w:line="360" w:lineRule="auto"/>
        <w:ind w:left="720"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Firma de servidores públicos.</w:t>
      </w:r>
    </w:p>
    <w:p w:rsidR="00000000" w:rsidDel="00000000" w:rsidP="00000000" w:rsidRDefault="00000000" w:rsidRPr="00000000" w14:paraId="000000F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cabe precisar que, en el presente caso, se trata de la firma de servidores públicos que dieron por terminada la relación laboral, al firmar de manera voluntaria su renuncia; por lo que, si bien la firma es un dato personal confidencial, cuando un trabajador gubernamental firma un documento como servidor público, en ejercicio de sus funciones, es de naturaleza pública.</w:t>
      </w:r>
    </w:p>
    <w:p w:rsidR="00000000" w:rsidDel="00000000" w:rsidP="00000000" w:rsidRDefault="00000000" w:rsidRPr="00000000" w14:paraId="000000F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Conforme a lo anterior, la firma de servidores públicos, vinculada al ejercicio de la función pública es información de naturaleza pública, pues documenta y rinde cuentas sobre el debido ejercicio de sus atribuciones, lo cual acontece en el presente caso.</w:t>
      </w:r>
    </w:p>
    <w:p w:rsidR="00000000" w:rsidDel="00000000" w:rsidP="00000000" w:rsidRDefault="00000000" w:rsidRPr="00000000" w14:paraId="000000F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9">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Dicha situación, se robustece, con el Criterio de Interpretación, de la Segunda Época, con clave de control SO/002/2019, emitido por el entonces Instituto Nacional de Transparencia, Acceso a la Información y Protección de Datos Personales, que establece lo siguiente:</w:t>
      </w:r>
    </w:p>
    <w:p w:rsidR="00000000" w:rsidDel="00000000" w:rsidP="00000000" w:rsidRDefault="00000000" w:rsidRPr="00000000" w14:paraId="000000F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B">
      <w:pPr>
        <w:widowControl w:val="0"/>
        <w:spacing w:line="360" w:lineRule="auto"/>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“Firma y rúbrica de servidores públicos.</w:t>
      </w:r>
      <w:r w:rsidDel="00000000" w:rsidR="00000000" w:rsidRPr="00000000">
        <w:rPr>
          <w:rFonts w:ascii="Palatino Linotype" w:cs="Palatino Linotype" w:eastAsia="Palatino Linotype" w:hAnsi="Palatino Linotype"/>
          <w:i w:val="1"/>
          <w:iCs w:val="1"/>
          <w:sz w:val="22"/>
          <w:szCs w:val="22"/>
          <w:rtl w:val="0"/>
        </w:rPr>
        <w:t xml:space="preserve"> Si bien la firma y la rúbrica son datos personales confidenciales, cuando un servidor público emite un acto como autoridad, en ejercicio de las funciones que tiene conferidas, la firma o rúbrica mediante la cual se valida dicho acto es pública.”</w:t>
      </w:r>
    </w:p>
    <w:p w:rsidR="00000000" w:rsidDel="00000000" w:rsidP="00000000" w:rsidRDefault="00000000" w:rsidRPr="00000000" w14:paraId="000000F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Conforme a lo expuesto, no procede la clasificación, en términos del artículo 143, fracción I de la Ley de Transparencia y Acceso a la Información Pública del Estado de México y Municipios, de la firma del personal que dio por terminada la relación laboral.</w:t>
      </w:r>
    </w:p>
    <w:p w:rsidR="00000000" w:rsidDel="00000000" w:rsidP="00000000" w:rsidRDefault="00000000" w:rsidRPr="00000000" w14:paraId="000000FE">
      <w:pPr>
        <w:widowControl w:val="0"/>
        <w:tabs>
          <w:tab w:val="center" w:leader="none" w:pos="4522"/>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F">
      <w:pPr>
        <w:numPr>
          <w:ilvl w:val="0"/>
          <w:numId w:val="7"/>
        </w:numPr>
        <w:spacing w:line="360" w:lineRule="auto"/>
        <w:ind w:left="720" w:hanging="360"/>
        <w:jc w:val="both"/>
        <w:rPr>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Huella dactilar</w:t>
      </w:r>
    </w:p>
    <w:p w:rsidR="00000000" w:rsidDel="00000000" w:rsidP="00000000" w:rsidRDefault="00000000" w:rsidRPr="00000000" w14:paraId="00000100">
      <w:pPr>
        <w:spacing w:line="360" w:lineRule="auto"/>
        <w:ind w:right="-93"/>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0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la huella dactilar es la impresión visible o moldeada que produce el contacto de las crestas papilares de un dedo de la mano sobre una superficie. </w:t>
      </w:r>
    </w:p>
    <w:p w:rsidR="00000000" w:rsidDel="00000000" w:rsidP="00000000" w:rsidRDefault="00000000" w:rsidRPr="00000000" w14:paraId="000001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La Academia Mexicana de la Lengua y el Diccionario de la Real Academia de la Lengua Española, establecen que la huella dactilar, es la impresión que suele dejar la yema del dedo en un objeto al tocarlo, o la que se obtiene impregnándola previamente en una materia colorante. Por su parte, en el documento electrónico intitulado “Nuevas Tecnologías Biométricas”, publicado por el Instituto Nacional de Ciencias Penales y la Procuraduría General de la República, disponible en </w:t>
      </w:r>
      <w:hyperlink r:id="rId9">
        <w:r w:rsidDel="00000000" w:rsidR="00000000" w:rsidRPr="00000000">
          <w:rPr>
            <w:rFonts w:ascii="Palatino Linotype" w:cs="Palatino Linotype" w:eastAsia="Palatino Linotype" w:hAnsi="Palatino Linotype"/>
            <w:sz w:val="22"/>
            <w:szCs w:val="22"/>
            <w:u w:val="single"/>
            <w:rtl w:val="0"/>
          </w:rPr>
          <w:t xml:space="preserve">https://docplayer.es/5455342-Nuevas-tecnologias-biometricas-instituto-nacional-de-ciencias-penales-procuraduria-general-de-la-republica-version-1-0.html</w:t>
        </w:r>
      </w:hyperlink>
      <w:r w:rsidDel="00000000" w:rsidR="00000000" w:rsidRPr="00000000">
        <w:rPr>
          <w:rFonts w:ascii="Palatino Linotype" w:cs="Palatino Linotype" w:eastAsia="Palatino Linotype" w:hAnsi="Palatino Linotype"/>
          <w:sz w:val="22"/>
          <w:szCs w:val="22"/>
          <w:rtl w:val="0"/>
        </w:rPr>
        <w:t xml:space="preserve">, se indica que existen tres principios fundamentales para la identificación de las huellas dactilares, a saber: </w:t>
      </w:r>
    </w:p>
    <w:p w:rsidR="00000000" w:rsidDel="00000000" w:rsidP="00000000" w:rsidRDefault="00000000" w:rsidRPr="00000000" w14:paraId="0000010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5">
      <w:pPr>
        <w:numPr>
          <w:ilvl w:val="0"/>
          <w:numId w:val="1"/>
        </w:numP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Primer principio. La huella es una característica individual. No hay dos huellas con características en las crestas que sean idénticas. </w:t>
      </w:r>
    </w:p>
    <w:p w:rsidR="00000000" w:rsidDel="00000000" w:rsidP="00000000" w:rsidRDefault="00000000" w:rsidRPr="00000000" w14:paraId="0000010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7">
      <w:pPr>
        <w:numPr>
          <w:ilvl w:val="0"/>
          <w:numId w:val="1"/>
        </w:numP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Segundo principio. Una huella permanece sin cambios durante toda la vida de un individuo (sin embargo, puede adquirir cicatrices o cualquier otra deformación que impida su identificación clara). </w:t>
      </w:r>
    </w:p>
    <w:p w:rsidR="00000000" w:rsidDel="00000000" w:rsidP="00000000" w:rsidRDefault="00000000" w:rsidRPr="00000000" w14:paraId="0000010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9">
      <w:pPr>
        <w:numPr>
          <w:ilvl w:val="0"/>
          <w:numId w:val="1"/>
        </w:numPr>
        <w:spacing w:line="360" w:lineRule="auto"/>
        <w:ind w:left="720"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Tercer principio. Las huellas tienen patrones que se forman con sus crestas, lo que hace posible clasificarlas sistemáticamente para agilizar las búsquedas. </w:t>
      </w:r>
    </w:p>
    <w:p w:rsidR="00000000" w:rsidDel="00000000" w:rsidP="00000000" w:rsidRDefault="00000000" w:rsidRPr="00000000" w14:paraId="0000010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Conforme a lo expuesto, es indubitable que la huella dactilar es una característica propia de un individuo que permite su reconocimiento. Por tanto, sin duda, se considera que es una característica individual que se utiliza como medio de identificación de las personas y, por tanto, constituye un dato personal, de conformidad con lo establecido en el artículo 143, fracción I de la Ley de la materia.</w:t>
      </w:r>
    </w:p>
    <w:p w:rsidR="00000000" w:rsidDel="00000000" w:rsidP="00000000" w:rsidRDefault="00000000" w:rsidRPr="00000000" w14:paraId="0000010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no obstante que dicho dato no se haya recolectado mediante escaneo que permita su sistematización y procesamiento electrónico, incluso su recolección en tinta y papel, también permite su escaneo, lo que puede propiciar un mal uno de dicho dato, sino se aplican las medidas de protección adecuada, tal como lo refiere la siguiente Tesis Aislada:</w:t>
      </w:r>
    </w:p>
    <w:p w:rsidR="00000000" w:rsidDel="00000000" w:rsidP="00000000" w:rsidRDefault="00000000" w:rsidRPr="00000000" w14:paraId="0000010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F">
      <w:pPr>
        <w:spacing w:line="360" w:lineRule="auto"/>
        <w:ind w:left="567"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“HUELLA DACTILAR. ES APTA PARA ACREDITAR EL CONSENTIMIENTO EN LA CELEBRACIÓN DE UN CONTRATO</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huella dactilar es un elemento jurídicamente reconocido para demostrar tanto la individualización de su autor como la manifestación de su voluntad con el contenido de un documento, porque es más idónea para individualizar al sujeto, pues las técnicas dactiloscópicas desarrolladas permiten afirmar que no hay dos personas que posean idénticas huellas dactilares;</w:t>
      </w:r>
      <w:r w:rsidDel="00000000" w:rsidR="00000000" w:rsidRPr="00000000">
        <w:rPr>
          <w:rFonts w:ascii="Palatino Linotype" w:cs="Palatino Linotype" w:eastAsia="Palatino Linotype" w:hAnsi="Palatino Linotype"/>
          <w:i w:val="1"/>
          <w:iCs w:val="1"/>
          <w:sz w:val="22"/>
          <w:szCs w:val="22"/>
          <w:rtl w:val="0"/>
        </w:rPr>
        <w:t xml:space="preserve"> en cambio, los caracteres de la letra pueden ser imitados y, en algunos casos, podrá resultar difícil al perito decidir sobre la autenticidad de una firma. Como ejemplo de la eficacia de esa función individualizadora se tiene el artículo 76 del Código Civil para el Distrito Federal, que concibe a la huella como una firma útil para identificar a los nacidos en un parto múltiple. Por lo que toca a la función de acreditar la manifestación del consentimiento, el citado código prevé diversos supuestos, como por ejemplo, la solicitud del matrimonio (artículo 97, fracción III, segundo párrafo) y la celebración misma de éste (artículo 103, fracción IX, tercer párrafo). Tratándose de los contratos, la impresión de la huella cumple esa doble función, pues si bien es cierto que dicho código en su artículo 1834 establece como requisito adicional la firma de la persona que intervenga a ruego del autor de la huella, ello ocurre de manera excepcional para los casos en que éste no sepa o no pueda leer ni escribir, pero aun en este caso el conocimiento del contenido del documento y, en consecuencia, la eficacia de la manifestación de la voluntad del autor respecto del contenido del contrato, se asegura con la necesidad de la intervención de la persona que solicite el autor. De esta manera, si en un contrato se encuentran plasmadas huellas atribuidas a una de las partes acompañadas de firmas igualmente atribuidas a él, quedando demostrado que dichas huellas sí corresponden a dicho autor, debe tenerse por acreditado el consentimiento en la celebración del contrato, incluso, con independencia de que la prueba pericial haya determinado la falsificación de las firmas correspondientes, más aún cuando el autor no negó expresamente haber estampado sus huellas en el contrato.”</w:t>
      </w:r>
    </w:p>
    <w:p w:rsidR="00000000" w:rsidDel="00000000" w:rsidP="00000000" w:rsidRDefault="00000000" w:rsidRPr="00000000" w14:paraId="0000011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la actualidad existen sistemas denominados AFIS por sus siglas en inglés </w:t>
      </w:r>
      <w:r w:rsidDel="00000000" w:rsidR="00000000" w:rsidRPr="00000000">
        <w:rPr>
          <w:rFonts w:ascii="Palatino Linotype" w:cs="Palatino Linotype" w:eastAsia="Palatino Linotype" w:hAnsi="Palatino Linotype"/>
          <w:i w:val="1"/>
          <w:iCs w:val="1"/>
          <w:sz w:val="22"/>
          <w:szCs w:val="22"/>
          <w:rtl w:val="0"/>
        </w:rPr>
        <w:t xml:space="preserve">Automated Fingerprint Identification System</w:t>
      </w:r>
      <w:r w:rsidDel="00000000" w:rsidR="00000000" w:rsidRPr="00000000">
        <w:rPr>
          <w:rFonts w:ascii="Palatino Linotype" w:cs="Palatino Linotype" w:eastAsia="Palatino Linotype" w:hAnsi="Palatino Linotype"/>
          <w:sz w:val="22"/>
          <w:szCs w:val="22"/>
          <w:rtl w:val="0"/>
        </w:rPr>
        <w:t xml:space="preserve"> que son sistemas informáticos que permiten la captura, consulta y comparación automática de huellas dactilares, para la captura y adquisición existen diversas formas de realizarlo y una de ellas es a través de la fotografía de una huella dactilar que se encuentra impresa en un papel, que sólo depende de la calidad de la imagen para su comparación para la individualización del autor por medio de los sistemas AFIS. </w:t>
      </w:r>
    </w:p>
    <w:p w:rsidR="00000000" w:rsidDel="00000000" w:rsidP="00000000" w:rsidRDefault="00000000" w:rsidRPr="00000000" w14:paraId="0000011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términos de la calidad de la imagen se debe observar que en la NOM-151-SCFI-2016 publicada en el Diario Oficial, se determina que la calidad propicia para realizar la digitalización de documentos físicos en formato de imagen es de 200 píxeles por pulgada o superior para representaciones en blanco y negro, color o escala de grises, para garantizar el contenido y la integridad de los documentos digitalizados. Desde esta perspectiva es viable digitalizar la imagen de una huella digital con una calidad mínima para poder ser puesta a disposición de un sistema AFIS por medio de escáneres y multifuncionales de venta al público general de diversas marcas y que pueden proporcionar una resolución de hasta 600 pixeles por pulgada. </w:t>
      </w:r>
    </w:p>
    <w:p w:rsidR="00000000" w:rsidDel="00000000" w:rsidP="00000000" w:rsidRDefault="00000000" w:rsidRPr="00000000" w14:paraId="0000011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con el uso de las tecnologías de digitalización e impresión puestas a disposición de público general, es posible realizar la adquisición y reproducción de la huella digital que se encuentra en un documento y adicionalmente se puede sistematizar la comparación y análisis de las digitalizaciones a través de sistemas especializados para esta finalidad que pueden encontrarse de forma gratuita en internet.</w:t>
      </w:r>
    </w:p>
    <w:p w:rsidR="00000000" w:rsidDel="00000000" w:rsidP="00000000" w:rsidRDefault="00000000" w:rsidRPr="00000000" w14:paraId="0000011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17">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 relación al </w:t>
      </w:r>
      <w:r w:rsidDel="00000000" w:rsidR="00000000" w:rsidRPr="00000000">
        <w:rPr>
          <w:rFonts w:ascii="Palatino Linotype" w:cs="Palatino Linotype" w:eastAsia="Palatino Linotype" w:hAnsi="Palatino Linotype"/>
          <w:b w:val="1"/>
          <w:bCs w:val="1"/>
          <w:sz w:val="22"/>
          <w:szCs w:val="22"/>
          <w:rtl w:val="0"/>
        </w:rPr>
        <w:t xml:space="preserve">número de empleado</w:t>
      </w:r>
      <w:r w:rsidDel="00000000" w:rsidR="00000000" w:rsidRPr="00000000">
        <w:rPr>
          <w:rFonts w:ascii="Palatino Linotype" w:cs="Palatino Linotype" w:eastAsia="Palatino Linotype" w:hAnsi="Palatino Linotype"/>
          <w:sz w:val="22"/>
          <w:szCs w:val="22"/>
          <w:rtl w:val="0"/>
        </w:rPr>
        <w:t xml:space="preserve"> debe precisarse que este constituye un código, en virtud del cual, los trabajadores pueden acceder a un sistema de datos o información de la dependencia o entidad a la que pertenecen, a fin de presentar consultas relacionadas con su situación laboral particular, siendo un número único, permanente e intransferible que se asigna para llevar un registro de los trabajadores</w:t>
      </w:r>
      <w:r w:rsidDel="00000000" w:rsidR="00000000" w:rsidRPr="00000000">
        <w:rPr>
          <w:rFonts w:ascii="Palatino Linotype" w:cs="Palatino Linotype" w:eastAsia="Palatino Linotype" w:hAnsi="Palatino Linotype"/>
          <w:sz w:val="22"/>
          <w:szCs w:val="22"/>
          <w:vertAlign w:val="superscript"/>
        </w:rPr>
        <w:footnoteReference w:customMarkFollows="0" w:id="0"/>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1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Bajo esos argumentos, se entendería que la información relativa al número de empleado constituye información confidencial al tratarse de un número de identificación personal a través del cual se puede consultar la situación laboral personal, empero el entonces Pleno del el Instituto Nacional de Transparencia, Acceso a la Información, y Protección de Datos Personales, INAI  se ha pronunciado sobre su publicidad, a través del Criterio de interpretación con Clave de control SO/006/2019, que indica lo siguiente:</w:t>
      </w:r>
    </w:p>
    <w:p w:rsidR="00000000" w:rsidDel="00000000" w:rsidP="00000000" w:rsidRDefault="00000000" w:rsidRPr="00000000" w14:paraId="00000119">
      <w:pPr>
        <w:tabs>
          <w:tab w:val="left" w:leader="none" w:pos="7655"/>
        </w:tabs>
        <w:spacing w:after="120" w:before="120" w:line="276" w:lineRule="auto"/>
        <w:ind w:left="992" w:right="99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“Número de empleado. </w:t>
      </w:r>
      <w:r w:rsidDel="00000000" w:rsidR="00000000" w:rsidRPr="00000000">
        <w:rPr>
          <w:rFonts w:ascii="Palatino Linotype" w:cs="Palatino Linotype" w:eastAsia="Palatino Linotype" w:hAnsi="Palatino Linotype"/>
          <w:i w:val="1"/>
          <w:iCs w:val="1"/>
          <w:sz w:val="22"/>
          <w:szCs w:val="22"/>
          <w:rtl w:val="0"/>
        </w:rPr>
        <w:t xml:space="preserve">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w:t>
      </w:r>
    </w:p>
    <w:p w:rsidR="00000000" w:rsidDel="00000000" w:rsidP="00000000" w:rsidRDefault="00000000" w:rsidRPr="00000000" w14:paraId="0000011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atención al criterio de interpretación, se advierten dos supuestos para catalogar la información concerniente al número de empleado o equivalente, el primero es considerar la información como confidencial, siempre y cuando se integre con datos personales o que permita acceder a ellos sin necesidad de alguna contraseña, y el segundo supuesto es considerar que la información es susceptible de entregarse siempre que requiera una contraseña para acceder a los datos personales o cuando su conformación no revele los mismos, por consiguiente, en el caso concreto,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acatar lo establecido y de ser procedente, entregará el número de empleado o equivalente de los servidores públicos materia de la solicitud, o en su caso, los clasificará como información confidencial, a través del Acuerdo emitido por su Comité de Transparencia conforme a la Ley de la Materia.</w:t>
      </w:r>
    </w:p>
    <w:p w:rsidR="00000000" w:rsidDel="00000000" w:rsidP="00000000" w:rsidRDefault="00000000" w:rsidRPr="00000000" w14:paraId="0000011B">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Versión Pública. </w:t>
      </w:r>
      <w:r w:rsidDel="00000000" w:rsidR="00000000" w:rsidRPr="00000000">
        <w:rPr>
          <w:rFonts w:ascii="Palatino Linotype" w:cs="Palatino Linotype" w:eastAsia="Palatino Linotype" w:hAnsi="Palatino Linotype"/>
          <w:sz w:val="22"/>
          <w:szCs w:val="22"/>
          <w:rtl w:val="0"/>
        </w:rPr>
        <w:t xml:space="preserve">Cómo fue debidamente apuntado,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000000" w:rsidDel="00000000" w:rsidP="00000000" w:rsidRDefault="00000000" w:rsidRPr="00000000" w14:paraId="0000011C">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000000" w:rsidDel="00000000" w:rsidP="00000000" w:rsidRDefault="00000000" w:rsidRPr="00000000" w14:paraId="0000011D">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000000" w:rsidDel="00000000" w:rsidP="00000000" w:rsidRDefault="00000000" w:rsidRPr="00000000" w14:paraId="0000011E">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los artículos 3, fracciones IX, XX, XXI, XXXII, XLV; 6, 91, 132, 137, 143, fracción I, de la Ley de Transparencia y Acceso a la Información Pública del Estado de México y Municipios vigente establecen:</w:t>
      </w:r>
    </w:p>
    <w:p w:rsidR="00000000" w:rsidDel="00000000" w:rsidP="00000000" w:rsidRDefault="00000000" w:rsidRPr="00000000" w14:paraId="0000011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w:t>
      </w:r>
      <w:r w:rsidDel="00000000" w:rsidR="00000000" w:rsidRPr="00000000">
        <w:rPr>
          <w:rFonts w:ascii="Palatino Linotype" w:cs="Palatino Linotype" w:eastAsia="Palatino Linotype" w:hAnsi="Palatino Linotype"/>
          <w:i w:val="1"/>
          <w:iCs w:val="1"/>
          <w:sz w:val="22"/>
          <w:szCs w:val="22"/>
          <w:rtl w:val="0"/>
        </w:rPr>
        <w:t xml:space="preserve"> Para los efectos de la presente Ley se entenderá por:</w:t>
      </w:r>
    </w:p>
    <w:p w:rsidR="00000000" w:rsidDel="00000000" w:rsidP="00000000" w:rsidRDefault="00000000" w:rsidRPr="00000000" w14:paraId="00000120">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21">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Datos personales</w:t>
      </w:r>
      <w:r w:rsidDel="00000000" w:rsidR="00000000" w:rsidRPr="00000000">
        <w:rPr>
          <w:rFonts w:ascii="Palatino Linotype" w:cs="Palatino Linotype" w:eastAsia="Palatino Linotype" w:hAnsi="Palatino Linotype"/>
          <w:i w:val="1"/>
          <w:iCs w:val="1"/>
          <w:sz w:val="22"/>
          <w:szCs w:val="22"/>
          <w:rtl w:val="0"/>
        </w:rPr>
        <w:t xml:space="preserve">: La información concerniente a una persona, identificada o identificable según lo dispuesto por la Ley de Protección de Datos Personales del Estado de México;</w:t>
      </w:r>
    </w:p>
    <w:p w:rsidR="00000000" w:rsidDel="00000000" w:rsidP="00000000" w:rsidRDefault="00000000" w:rsidRPr="00000000" w14:paraId="00000122">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23">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 Información clasificada</w:t>
      </w:r>
      <w:r w:rsidDel="00000000" w:rsidR="00000000" w:rsidRPr="00000000">
        <w:rPr>
          <w:rFonts w:ascii="Palatino Linotype" w:cs="Palatino Linotype" w:eastAsia="Palatino Linotype" w:hAnsi="Palatino Linotype"/>
          <w:i w:val="1"/>
          <w:iCs w:val="1"/>
          <w:sz w:val="22"/>
          <w:szCs w:val="22"/>
          <w:rtl w:val="0"/>
        </w:rPr>
        <w:t xml:space="preserve">: Aquella considerada por la presente Ley como reservada o confidencial;</w:t>
      </w:r>
    </w:p>
    <w:p w:rsidR="00000000" w:rsidDel="00000000" w:rsidP="00000000" w:rsidRDefault="00000000" w:rsidRPr="00000000" w14:paraId="00000124">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 Información confidencial</w:t>
      </w:r>
      <w:r w:rsidDel="00000000" w:rsidR="00000000" w:rsidRPr="00000000">
        <w:rPr>
          <w:rFonts w:ascii="Palatino Linotype" w:cs="Palatino Linotype" w:eastAsia="Palatino Linotype" w:hAnsi="Palatino Linotype"/>
          <w:i w:val="1"/>
          <w:iCs w:val="1"/>
          <w:sz w:val="22"/>
          <w:szCs w:val="22"/>
          <w:rtl w:val="0"/>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000000" w:rsidDel="00000000" w:rsidP="00000000" w:rsidRDefault="00000000" w:rsidRPr="00000000" w14:paraId="00000125">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26">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XXXII. Protección de Datos Personales</w:t>
      </w:r>
      <w:r w:rsidDel="00000000" w:rsidR="00000000" w:rsidRPr="00000000">
        <w:rPr>
          <w:rFonts w:ascii="Palatino Linotype" w:cs="Palatino Linotype" w:eastAsia="Palatino Linotype" w:hAnsi="Palatino Linotype"/>
          <w:i w:val="1"/>
          <w:iCs w:val="1"/>
          <w:sz w:val="22"/>
          <w:szCs w:val="22"/>
          <w:rtl w:val="0"/>
        </w:rPr>
        <w:t xml:space="preserve">: Derecho humano que tutela la privacidad de datos personales en poder de los sujetos obligados y sujetos particulares;</w:t>
      </w:r>
    </w:p>
    <w:p w:rsidR="00000000" w:rsidDel="00000000" w:rsidP="00000000" w:rsidRDefault="00000000" w:rsidRPr="00000000" w14:paraId="00000127">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28">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XLV. Versión pública</w:t>
      </w:r>
      <w:r w:rsidDel="00000000" w:rsidR="00000000" w:rsidRPr="00000000">
        <w:rPr>
          <w:rFonts w:ascii="Palatino Linotype" w:cs="Palatino Linotype" w:eastAsia="Palatino Linotype" w:hAnsi="Palatino Linotype"/>
          <w:i w:val="1"/>
          <w:iCs w:val="1"/>
          <w:sz w:val="22"/>
          <w:szCs w:val="22"/>
          <w:rtl w:val="0"/>
        </w:rPr>
        <w:t xml:space="preserve">: Documento en el que se elimine, suprime o borra la información clasificada como reservada o confidencial para permitir su acceso.</w:t>
      </w:r>
    </w:p>
    <w:p w:rsidR="00000000" w:rsidDel="00000000" w:rsidP="00000000" w:rsidRDefault="00000000" w:rsidRPr="00000000" w14:paraId="0000012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6</w:t>
      </w:r>
      <w:r w:rsidDel="00000000" w:rsidR="00000000" w:rsidRPr="00000000">
        <w:rPr>
          <w:rFonts w:ascii="Palatino Linotype" w:cs="Palatino Linotype" w:eastAsia="Palatino Linotype" w:hAnsi="Palatino Linotype"/>
          <w:i w:val="1"/>
          <w:iCs w:val="1"/>
          <w:sz w:val="22"/>
          <w:szCs w:val="22"/>
          <w:rtl w:val="0"/>
        </w:rPr>
        <w:t xml:space="preserve">.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rsidR="00000000" w:rsidDel="00000000" w:rsidP="00000000" w:rsidRDefault="00000000" w:rsidRPr="00000000" w14:paraId="0000012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2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91.</w:t>
      </w:r>
      <w:r w:rsidDel="00000000" w:rsidR="00000000" w:rsidRPr="00000000">
        <w:rPr>
          <w:rFonts w:ascii="Palatino Linotype" w:cs="Palatino Linotype" w:eastAsia="Palatino Linotype" w:hAnsi="Palatino Linotype"/>
          <w:i w:val="1"/>
          <w:iCs w:val="1"/>
          <w:sz w:val="22"/>
          <w:szCs w:val="22"/>
          <w:rtl w:val="0"/>
        </w:rPr>
        <w:t xml:space="preserve"> El acceso a la información pública será restringido excepcionalmente, cuando ésta sea clasificada como reservada o confidencial.</w:t>
        <w:br w:type="textWrapping"/>
        <w:t xml:space="preserve">…</w:t>
      </w:r>
    </w:p>
    <w:p w:rsidR="00000000" w:rsidDel="00000000" w:rsidP="00000000" w:rsidRDefault="00000000" w:rsidRPr="00000000" w14:paraId="0000012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132.</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12D">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12E">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 autoridad competente; o</w:t>
      </w:r>
    </w:p>
    <w:p w:rsidR="00000000" w:rsidDel="00000000" w:rsidP="00000000" w:rsidRDefault="00000000" w:rsidRPr="00000000" w14:paraId="0000012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esta Ley.</w:t>
      </w:r>
    </w:p>
    <w:p w:rsidR="00000000" w:rsidDel="00000000" w:rsidP="00000000" w:rsidRDefault="00000000" w:rsidRPr="00000000" w14:paraId="00000130">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131">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137.</w:t>
      </w:r>
      <w:r w:rsidDel="00000000" w:rsidR="00000000" w:rsidRPr="00000000">
        <w:rPr>
          <w:rFonts w:ascii="Palatino Linotype" w:cs="Palatino Linotype" w:eastAsia="Palatino Linotype" w:hAnsi="Palatino Linotype"/>
          <w:i w:val="1"/>
          <w:iCs w:val="1"/>
          <w:sz w:val="22"/>
          <w:szCs w:val="22"/>
          <w:rtl w:val="0"/>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rsidR="00000000" w:rsidDel="00000000" w:rsidP="00000000" w:rsidRDefault="00000000" w:rsidRPr="00000000" w14:paraId="00000132">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143.</w:t>
      </w:r>
      <w:r w:rsidDel="00000000" w:rsidR="00000000" w:rsidRPr="00000000">
        <w:rPr>
          <w:rFonts w:ascii="Palatino Linotype" w:cs="Palatino Linotype" w:eastAsia="Palatino Linotype" w:hAnsi="Palatino Linotype"/>
          <w:i w:val="1"/>
          <w:iCs w:val="1"/>
          <w:sz w:val="22"/>
          <w:szCs w:val="22"/>
          <w:rtl w:val="0"/>
        </w:rPr>
        <w:t xml:space="preserve"> Para los efectos de esta Ley se considera información confidencial, la clasificada como tal, de manera permanente, por su naturaleza, cuando:</w:t>
      </w:r>
    </w:p>
    <w:p w:rsidR="00000000" w:rsidDel="00000000" w:rsidP="00000000" w:rsidRDefault="00000000" w:rsidRPr="00000000" w14:paraId="00000133">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refiera a la información privada y los datos personales concernientes a una persona física o jurídico colectiva identificada o identificable...”</w:t>
      </w:r>
    </w:p>
    <w:p w:rsidR="00000000" w:rsidDel="00000000" w:rsidP="00000000" w:rsidRDefault="00000000" w:rsidRPr="00000000" w14:paraId="00000134">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000000" w:rsidDel="00000000" w:rsidP="00000000" w:rsidRDefault="00000000" w:rsidRPr="00000000" w14:paraId="00000135">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136">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000000" w:rsidDel="00000000" w:rsidP="00000000" w:rsidRDefault="00000000" w:rsidRPr="00000000" w14:paraId="00000137">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138">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 Aprobar, modificar o revocar la clasificación de la información</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3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53.</w:t>
      </w:r>
      <w:r w:rsidDel="00000000" w:rsidR="00000000" w:rsidRPr="00000000">
        <w:rPr>
          <w:rFonts w:ascii="Palatino Linotype" w:cs="Palatino Linotype" w:eastAsia="Palatino Linotype" w:hAnsi="Palatino Linotype"/>
          <w:i w:val="1"/>
          <w:iCs w:val="1"/>
          <w:sz w:val="22"/>
          <w:szCs w:val="22"/>
          <w:rtl w:val="0"/>
        </w:rPr>
        <w:t xml:space="preserve"> Las </w:t>
      </w:r>
      <w:r w:rsidDel="00000000" w:rsidR="00000000" w:rsidRPr="00000000">
        <w:rPr>
          <w:rFonts w:ascii="Palatino Linotype" w:cs="Palatino Linotype" w:eastAsia="Palatino Linotype" w:hAnsi="Palatino Linotype"/>
          <w:b w:val="1"/>
          <w:bCs w:val="1"/>
          <w:i w:val="1"/>
          <w:iCs w:val="1"/>
          <w:sz w:val="22"/>
          <w:szCs w:val="22"/>
          <w:rtl w:val="0"/>
        </w:rPr>
        <w:t xml:space="preserve">Unidades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3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 Presentar ante el Comité, el proyecto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13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59.</w:t>
      </w:r>
      <w:r w:rsidDel="00000000" w:rsidR="00000000" w:rsidRPr="00000000">
        <w:rPr>
          <w:rFonts w:ascii="Palatino Linotype" w:cs="Palatino Linotype" w:eastAsia="Palatino Linotype" w:hAnsi="Palatino Linotype"/>
          <w:i w:val="1"/>
          <w:iCs w:val="1"/>
          <w:sz w:val="22"/>
          <w:szCs w:val="22"/>
          <w:rtl w:val="0"/>
        </w:rPr>
        <w:t xml:space="preserve"> Los </w:t>
      </w:r>
      <w:r w:rsidDel="00000000" w:rsidR="00000000" w:rsidRPr="00000000">
        <w:rPr>
          <w:rFonts w:ascii="Palatino Linotype" w:cs="Palatino Linotype" w:eastAsia="Palatino Linotype" w:hAnsi="Palatino Linotype"/>
          <w:b w:val="1"/>
          <w:bCs w:val="1"/>
          <w:i w:val="1"/>
          <w:iCs w:val="1"/>
          <w:sz w:val="22"/>
          <w:szCs w:val="22"/>
          <w:rtl w:val="0"/>
        </w:rPr>
        <w:t xml:space="preserve">servidores públicos habilitados</w:t>
      </w:r>
      <w:r w:rsidDel="00000000" w:rsidR="00000000" w:rsidRPr="00000000">
        <w:rPr>
          <w:rFonts w:ascii="Palatino Linotype" w:cs="Palatino Linotype" w:eastAsia="Palatino Linotype" w:hAnsi="Palatino Linotype"/>
          <w:i w:val="1"/>
          <w:iCs w:val="1"/>
          <w:sz w:val="22"/>
          <w:szCs w:val="22"/>
          <w:rtl w:val="0"/>
        </w:rPr>
        <w:t xml:space="preserve"> tendrán las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 siguientes:</w:t>
      </w:r>
    </w:p>
    <w:p w:rsidR="00000000" w:rsidDel="00000000" w:rsidP="00000000" w:rsidRDefault="00000000" w:rsidRPr="00000000" w14:paraId="0000013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Integrar y presentar al responsable de la Unidad de Transparencia la propuesta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la cual tendrá los fundamentos y argumentos en que se basa dicha propuesta…”</w:t>
      </w:r>
    </w:p>
    <w:p w:rsidR="00000000" w:rsidDel="00000000" w:rsidP="00000000" w:rsidRDefault="00000000" w:rsidRPr="00000000" w14:paraId="0000013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000000" w:rsidDel="00000000" w:rsidP="00000000" w:rsidRDefault="00000000" w:rsidRPr="00000000" w14:paraId="0000013E">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lo cual, a su vez en el caso de información de carácter confidencial, se debe atender a lo que señala el artículo 149 de la Ley de Transparencia Local vigente, que se lee como sigue:</w:t>
      </w:r>
    </w:p>
    <w:p w:rsidR="00000000" w:rsidDel="00000000" w:rsidP="00000000" w:rsidRDefault="00000000" w:rsidRPr="00000000" w14:paraId="0000013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149.</w:t>
      </w:r>
      <w:r w:rsidDel="00000000" w:rsidR="00000000" w:rsidRPr="00000000">
        <w:rPr>
          <w:rFonts w:ascii="Palatino Linotype" w:cs="Palatino Linotype" w:eastAsia="Palatino Linotype" w:hAnsi="Palatino Linotype"/>
          <w:i w:val="1"/>
          <w:iCs w:val="1"/>
          <w:sz w:val="22"/>
          <w:szCs w:val="22"/>
          <w:rtl w:val="0"/>
        </w:rPr>
        <w:t xml:space="preserve"> El </w:t>
      </w:r>
      <w:r w:rsidDel="00000000" w:rsidR="00000000" w:rsidRPr="00000000">
        <w:rPr>
          <w:rFonts w:ascii="Palatino Linotype" w:cs="Palatino Linotype" w:eastAsia="Palatino Linotype" w:hAnsi="Palatino Linotype"/>
          <w:b w:val="1"/>
          <w:bCs w:val="1"/>
          <w:i w:val="1"/>
          <w:iCs w:val="1"/>
          <w:sz w:val="22"/>
          <w:szCs w:val="22"/>
          <w:rtl w:val="0"/>
        </w:rPr>
        <w:t xml:space="preserve">acuerdo que clasifique la información como confidencial</w:t>
      </w:r>
      <w:r w:rsidDel="00000000" w:rsidR="00000000" w:rsidRPr="00000000">
        <w:rPr>
          <w:rFonts w:ascii="Palatino Linotype" w:cs="Palatino Linotype" w:eastAsia="Palatino Linotype" w:hAnsi="Palatino Linotype"/>
          <w:i w:val="1"/>
          <w:iCs w:val="1"/>
          <w:sz w:val="22"/>
          <w:szCs w:val="22"/>
          <w:rtl w:val="0"/>
        </w:rPr>
        <w:t xml:space="preserve"> deberá contener un razonamiento lógico en el que demuestre que la información se encuentra en alguna o algunas de las hipótesis previstas en la presente Ley.” </w:t>
      </w:r>
    </w:p>
    <w:p w:rsidR="00000000" w:rsidDel="00000000" w:rsidP="00000000" w:rsidRDefault="00000000" w:rsidRPr="00000000" w14:paraId="00000140">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respecto a las formalidades que deberá llevar el acuerdo de clasificación que deberá emitir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presentación de la solicitud, señalan lo siguiente:</w:t>
      </w:r>
    </w:p>
    <w:p w:rsidR="00000000" w:rsidDel="00000000" w:rsidP="00000000" w:rsidRDefault="00000000" w:rsidRPr="00000000" w14:paraId="00000142">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“Quincuagésimo. </w:t>
      </w:r>
      <w:r w:rsidDel="00000000" w:rsidR="00000000" w:rsidRPr="00000000">
        <w:rPr>
          <w:rFonts w:ascii="Palatino Linotype" w:cs="Palatino Linotype" w:eastAsia="Palatino Linotype" w:hAnsi="Palatino Linotype"/>
          <w:i w:val="1"/>
          <w:iCs w:val="1"/>
          <w:sz w:val="22"/>
          <w:szCs w:val="22"/>
          <w:rtl w:val="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primero. </w:t>
      </w:r>
      <w:r w:rsidDel="00000000" w:rsidR="00000000" w:rsidRPr="00000000">
        <w:rPr>
          <w:rFonts w:ascii="Palatino Linotype" w:cs="Palatino Linotype" w:eastAsia="Palatino Linotype" w:hAnsi="Palatino Linotype"/>
          <w:i w:val="1"/>
          <w:iCs w:val="1"/>
          <w:sz w:val="22"/>
          <w:szCs w:val="22"/>
          <w:rtl w:val="0"/>
        </w:rPr>
        <w:t xml:space="preserve">Toda acta del Comité de Transparencia deberá contener: </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El número de sesión y fecha; </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del área que solicitó la clasificación de información; </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fundamentación legal y motivación correspondiente; </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La resolución o resoluciones aprobadas; y </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La rúbrica o firma digital de cada integrante del Comité de Transparencia. </w:t>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Las resoluciones del Comité en las que se haya determinado confirmar o modificar la clasificación de información pública como reservada, deberán incluir, cuando menos: </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Los motivos y razonamientos que sustenten la confirmación o modificación de la prueba de daño;</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Descripción de las partes o secciones reservadas, en caso de clasificación parcial</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El periodo por el que mantendrá su clasificación y fecha de expiración; y </w: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El nombre del titular y área encargada de realizar la versión pública del documento, en su caso. </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en que se clasifique la información como reservada siempre se entregará o anexará la prueba de daño con la respuesta al solicitante. </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de resoluciones del Comité de Transparencia en las que se confirme la clasificación de información confidencial solo se deberán de identificar los tipos de datos protegidos, de conformidad con el lineamiento trigésimo octavo.</w:t>
      </w:r>
    </w:p>
    <w:p w:rsidR="00000000" w:rsidDel="00000000" w:rsidP="00000000" w:rsidRDefault="00000000" w:rsidRPr="00000000" w14:paraId="0000015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rsidR="00000000" w:rsidDel="00000000" w:rsidP="00000000" w:rsidRDefault="00000000" w:rsidRPr="00000000" w14:paraId="00000151">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Quincuagésimo segundo</w:t>
      </w:r>
      <w:r w:rsidDel="00000000" w:rsidR="00000000" w:rsidRPr="00000000">
        <w:rPr>
          <w:rFonts w:ascii="Palatino Linotype" w:cs="Palatino Linotype" w:eastAsia="Palatino Linotype" w:hAnsi="Palatino Linotype"/>
          <w:i w:val="1"/>
          <w:iCs w:val="1"/>
          <w:sz w:val="22"/>
          <w:szCs w:val="22"/>
          <w:rtl w:val="0"/>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rsidR="00000000" w:rsidDel="00000000" w:rsidP="00000000" w:rsidRDefault="00000000" w:rsidRPr="00000000" w14:paraId="00000152">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el caso específico de la clasificación y elaboración de versiones públicas de documentos que contengan información confidencial, las áreas de los sujetos obligados deberán: </w:t>
      </w:r>
    </w:p>
    <w:p w:rsidR="00000000" w:rsidDel="00000000" w:rsidP="00000000" w:rsidRDefault="00000000" w:rsidRPr="00000000" w14:paraId="00000153">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Fijar la fecha en que se elaboró la versión pública y la fecha en la cual el Comité de Transparencia confirmó dicha versión;</w:t>
      </w:r>
    </w:p>
    <w:p w:rsidR="00000000" w:rsidDel="00000000" w:rsidP="00000000" w:rsidRDefault="00000000" w:rsidRPr="00000000" w14:paraId="00000154">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Señalar dentro del documento el tipo de información confidencial que fue testada en cada caso específico, de conformidad con el lineamiento trigésimo octavo; y</w:t>
      </w:r>
    </w:p>
    <w:p w:rsidR="00000000" w:rsidDel="00000000" w:rsidP="00000000" w:rsidRDefault="00000000" w:rsidRPr="00000000" w14:paraId="00000155">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Señalar las personas o instancias autorizadas a acceder a la información clasificada.</w:t>
      </w:r>
    </w:p>
    <w:p w:rsidR="00000000" w:rsidDel="00000000" w:rsidP="00000000" w:rsidRDefault="00000000" w:rsidRPr="00000000" w14:paraId="00000156">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documentos de difusión electrónica, señalar en la primera hoja y en el nombre del archivo, que la versión pública corresponde a un documento que contiene información confidencial.”</w:t>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120" w:before="120" w:lineRule="auto"/>
        <w:ind w:left="851" w:right="900"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cuarto. </w:t>
      </w:r>
      <w:r w:rsidDel="00000000" w:rsidR="00000000" w:rsidRPr="00000000">
        <w:rPr>
          <w:rFonts w:ascii="Palatino Linotype" w:cs="Palatino Linotype" w:eastAsia="Palatino Linotype" w:hAnsi="Palatino Linotype"/>
          <w:i w:val="1"/>
          <w:iCs w:val="1"/>
          <w:sz w:val="22"/>
          <w:szCs w:val="22"/>
          <w:rtl w:val="0"/>
        </w:rPr>
        <w:t xml:space="preserve">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15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quinto. </w:t>
      </w:r>
      <w:r w:rsidDel="00000000" w:rsidR="00000000" w:rsidRPr="00000000">
        <w:rPr>
          <w:rFonts w:ascii="Palatino Linotype" w:cs="Palatino Linotype" w:eastAsia="Palatino Linotype" w:hAnsi="Palatino Linotype"/>
          <w:i w:val="1"/>
          <w:iCs w:val="1"/>
          <w:sz w:val="22"/>
          <w:szCs w:val="22"/>
          <w:rtl w:val="0"/>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rsidR="00000000" w:rsidDel="00000000" w:rsidP="00000000" w:rsidRDefault="00000000" w:rsidRPr="00000000" w14:paraId="0000015A">
      <w:pP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15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séptimo</w:t>
      </w:r>
      <w:r w:rsidDel="00000000" w:rsidR="00000000" w:rsidRPr="00000000">
        <w:rPr>
          <w:rFonts w:ascii="Palatino Linotype" w:cs="Palatino Linotype" w:eastAsia="Palatino Linotype" w:hAnsi="Palatino Linotype"/>
          <w:i w:val="1"/>
          <w:iCs w:val="1"/>
          <w:sz w:val="22"/>
          <w:szCs w:val="22"/>
          <w:rtl w:val="0"/>
        </w:rPr>
        <w:t xml:space="preserve">. Se considera, en principio, como información pública y no podrá omitirse de las versiones públicas la siguiente: </w:t>
      </w:r>
    </w:p>
    <w:p w:rsidR="00000000" w:rsidDel="00000000" w:rsidP="00000000" w:rsidRDefault="00000000" w:rsidRPr="00000000" w14:paraId="0000015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 relativa a las Obligaciones de Transparencia que contempla el Título V de la Ley General y las demás disposiciones legales aplicables; </w:t>
      </w:r>
    </w:p>
    <w:p w:rsidR="00000000" w:rsidDel="00000000" w:rsidP="00000000" w:rsidRDefault="00000000" w:rsidRPr="00000000" w14:paraId="0000015D">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 los integrantes de los sujetos obligados en los documentos, y sus firmas autógrafas o digitales, cuando sean utilizados en el ejercicio de las facultades conferidas para el desempeño del servicio público, y</w:t>
      </w:r>
    </w:p>
    <w:p w:rsidR="00000000" w:rsidDel="00000000" w:rsidP="00000000" w:rsidRDefault="00000000" w:rsidRPr="00000000" w14:paraId="0000015E">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rsidR="00000000" w:rsidDel="00000000" w:rsidP="00000000" w:rsidRDefault="00000000" w:rsidRPr="00000000" w14:paraId="0000015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 anterior, siempre y cuando no se acredite alguna causal de clasificación, prevista en las leyes o en los tratados internacionales suscritas por el Estado mexicano.  </w:t>
      </w:r>
    </w:p>
    <w:p w:rsidR="00000000" w:rsidDel="00000000" w:rsidP="00000000" w:rsidRDefault="00000000" w:rsidRPr="00000000" w14:paraId="00000160">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octavo</w:t>
      </w:r>
      <w:r w:rsidDel="00000000" w:rsidR="00000000" w:rsidRPr="00000000">
        <w:rPr>
          <w:rFonts w:ascii="Palatino Linotype" w:cs="Palatino Linotype" w:eastAsia="Palatino Linotype" w:hAnsi="Palatino Linotype"/>
          <w:i w:val="1"/>
          <w:iCs w:val="1"/>
          <w:sz w:val="22"/>
          <w:szCs w:val="22"/>
          <w:rtl w:val="0"/>
        </w:rPr>
        <w:t xml:space="preserve">. Los sujetos obligados garantizarán que los sistemas o medios empleados para eliminar la información en las versiones públicas sean irreversibles, de tal forma que no permitan su recuperación o la visualización de la misma.”</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240" w:before="240" w:line="360" w:lineRule="auto"/>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r w:rsidDel="00000000" w:rsidR="00000000" w:rsidRPr="00000000">
        <w:rPr>
          <w:rtl w:val="0"/>
        </w:rPr>
      </w:r>
    </w:p>
    <w:p w:rsidR="00000000" w:rsidDel="00000000" w:rsidP="00000000" w:rsidRDefault="00000000" w:rsidRPr="00000000" w14:paraId="00000163">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fundadas</w:t>
      </w:r>
      <w:r w:rsidDel="00000000" w:rsidR="00000000" w:rsidRPr="00000000">
        <w:rPr>
          <w:rFonts w:ascii="Palatino Linotype" w:cs="Palatino Linotype" w:eastAsia="Palatino Linotype" w:hAnsi="Palatino Linotype"/>
          <w:sz w:val="22"/>
          <w:szCs w:val="22"/>
          <w:rtl w:val="0"/>
        </w:rPr>
        <w:t xml:space="preserve"> las razones o motivos de inconformidad hechos valer por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06509/INFOEM/IP/RR/2026</w:t>
      </w:r>
      <w:r w:rsidDel="00000000" w:rsidR="00000000" w:rsidRPr="00000000">
        <w:rPr>
          <w:rFonts w:ascii="Palatino Linotype" w:cs="Palatino Linotype" w:eastAsia="Palatino Linotype" w:hAnsi="Palatino Linotype"/>
          <w:sz w:val="22"/>
          <w:szCs w:val="22"/>
          <w:rtl w:val="0"/>
        </w:rPr>
        <w:t xml:space="preserve">; por lo que, en términos del </w:t>
      </w:r>
      <w:r w:rsidDel="00000000" w:rsidR="00000000" w:rsidRPr="00000000">
        <w:rPr>
          <w:rFonts w:ascii="Palatino Linotype" w:cs="Palatino Linotype" w:eastAsia="Palatino Linotype" w:hAnsi="Palatino Linotype"/>
          <w:b w:val="1"/>
          <w:bCs w:val="1"/>
          <w:sz w:val="22"/>
          <w:szCs w:val="22"/>
          <w:rtl w:val="0"/>
        </w:rPr>
        <w:t xml:space="preserve">Considerando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Revoca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164">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165">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w:t>
      </w:r>
      <w:r w:rsidDel="00000000" w:rsidR="00000000" w:rsidRPr="00000000">
        <w:rPr>
          <w:rFonts w:ascii="Palatino Linotype" w:cs="Palatino Linotype" w:eastAsia="Palatino Linotype" w:hAnsi="Palatino Linotype"/>
          <w:sz w:val="22"/>
          <w:szCs w:val="22"/>
          <w:rtl w:val="0"/>
        </w:rPr>
        <w:t xml:space="preserve">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los Considerandos </w:t>
      </w:r>
      <w:r w:rsidDel="00000000" w:rsidR="00000000" w:rsidRPr="00000000">
        <w:rPr>
          <w:rFonts w:ascii="Palatino Linotype" w:cs="Palatino Linotype" w:eastAsia="Palatino Linotype" w:hAnsi="Palatino Linotype"/>
          <w:b w:val="1"/>
          <w:bCs w:val="1"/>
          <w:sz w:val="22"/>
          <w:szCs w:val="22"/>
          <w:rtl w:val="0"/>
        </w:rPr>
        <w:t xml:space="preserve">Cuarto y Quinto </w:t>
      </w:r>
      <w:r w:rsidDel="00000000" w:rsidR="00000000" w:rsidRPr="00000000">
        <w:rPr>
          <w:rFonts w:ascii="Palatino Linotype" w:cs="Palatino Linotype" w:eastAsia="Palatino Linotype" w:hAnsi="Palatino Linotype"/>
          <w:sz w:val="22"/>
          <w:szCs w:val="22"/>
          <w:rtl w:val="0"/>
        </w:rPr>
        <w:t xml:space="preserve">de esta resolución, </w:t>
      </w:r>
      <w:r w:rsidDel="00000000" w:rsidR="00000000" w:rsidRPr="00000000">
        <w:rPr>
          <w:rFonts w:ascii="Palatino Linotype" w:cs="Palatino Linotype" w:eastAsia="Palatino Linotype" w:hAnsi="Palatino Linotype"/>
          <w:b w:val="1"/>
          <w:bCs w:val="1"/>
          <w:sz w:val="22"/>
          <w:szCs w:val="22"/>
          <w:rtl w:val="0"/>
        </w:rPr>
        <w:t xml:space="preserve">haga entrega vía Sistema de Acceso a la Información Mexiquense (SAIMEX), previa búsqueda exhaustiva y razonable, de ser procedente en versión pública, el documento donde conste o se advierta lo siguiente</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16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Número de bajas de personal que se presentaron en el Ayuntamiento de Toluca, en el periodo comprendido del dieciséis de junio de dos mil veinticinco al dieciséis de junio de dos mil veintiséis.</w:t>
      </w:r>
    </w:p>
    <w:p w:rsidR="00000000" w:rsidDel="00000000" w:rsidP="00000000" w:rsidRDefault="00000000" w:rsidRPr="00000000" w14:paraId="000001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51" w:hanging="360"/>
        <w:jc w:val="both"/>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Documento donde conste el motivo de las bajas de personal presentadas en el periodo indicado.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49"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line="276" w:lineRule="auto"/>
        <w:ind w:right="134"/>
        <w:jc w:val="both"/>
        <w:rPr>
          <w:rFonts w:ascii="Palatino Linotype" w:cs="Palatino Linotype" w:eastAsia="Palatino Linotype" w:hAnsi="Palatino Linotype"/>
          <w:i w:val="1"/>
          <w:iCs w:val="1"/>
        </w:rPr>
      </w:pPr>
      <w:r w:rsidDel="00000000" w:rsidR="00000000" w:rsidRPr="00000000">
        <w:rPr>
          <w:rFonts w:ascii="Palatino Linotype" w:cs="Palatino Linotype" w:eastAsia="Palatino Linotype" w:hAnsi="Palatino Linotype"/>
          <w:i w:val="1"/>
          <w:iCs w:val="1"/>
          <w:rtl w:val="0"/>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49"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16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6E">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rsidR="00000000" w:rsidDel="00000000" w:rsidP="00000000" w:rsidRDefault="00000000" w:rsidRPr="00000000" w14:paraId="0000016F">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0">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Notifíquese vía SAIMEX, </w:t>
      </w:r>
      <w:r w:rsidDel="00000000" w:rsidR="00000000" w:rsidRPr="00000000">
        <w:rPr>
          <w:rFonts w:ascii="Palatino Linotype" w:cs="Palatino Linotype" w:eastAsia="Palatino Linotype" w:hAnsi="Palatino Linotype"/>
          <w:sz w:val="22"/>
          <w:szCs w:val="22"/>
          <w:rtl w:val="0"/>
        </w:rPr>
        <w:t xml:space="preserve">la presente resolución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rsidR="00000000" w:rsidDel="00000000" w:rsidP="00000000" w:rsidRDefault="00000000" w:rsidRPr="00000000" w14:paraId="00000171">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p>
    <w:p w:rsidR="00000000" w:rsidDel="00000000" w:rsidP="00000000" w:rsidRDefault="00000000" w:rsidRPr="00000000" w14:paraId="0000017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173">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4">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5">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6">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7">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8">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9">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A">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B">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C">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D">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E">
      <w:pP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7F">
      <w:pPr>
        <w:rPr>
          <w:rFonts w:ascii="Palatino Linotype" w:cs="Palatino Linotype" w:eastAsia="Palatino Linotype" w:hAnsi="Palatino Linotype"/>
          <w:sz w:val="22"/>
          <w:szCs w:val="22"/>
        </w:rPr>
      </w:pP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80">
      <w:pPr>
        <w:pBdr>
          <w:top w:space="0" w:sz="0" w:val="nil"/>
          <w:left w:space="0" w:sz="0" w:val="nil"/>
          <w:bottom w:space="0" w:sz="0" w:val="nil"/>
          <w:right w:space="0" w:sz="0" w:val="nil"/>
          <w:between w:space="0" w:sz="0" w:val="nil"/>
        </w:pBdr>
        <w:tabs>
          <w:tab w:val="right" w:leader="none" w:pos="0"/>
        </w:tabs>
        <w:jc w:val="both"/>
        <w:rPr>
          <w:rFonts w:ascii="Palatino Linotype" w:cs="Palatino Linotype" w:eastAsia="Palatino Linotype" w:hAnsi="Palatino Linotype"/>
          <w:color w:val="000000"/>
          <w:sz w:val="16"/>
          <w:szCs w:val="16"/>
        </w:rPr>
      </w:pPr>
      <w:r w:rsidDel="00000000" w:rsidR="00000000" w:rsidRPr="00000000">
        <w:rPr>
          <w:rStyle w:val="FootnoteReference"/>
          <w:vertAlign w:val="superscript"/>
        </w:rPr>
        <w:footnoteRef/>
      </w:r>
      <w:r w:rsidDel="00000000" w:rsidR="00000000" w:rsidRPr="00000000">
        <w:rPr>
          <w:rFonts w:ascii="Palatino Linotype" w:cs="Palatino Linotype" w:eastAsia="Palatino Linotype" w:hAnsi="Palatino Linotype"/>
          <w:color w:val="000000"/>
          <w:sz w:val="16"/>
          <w:szCs w:val="16"/>
          <w:rtl w:val="0"/>
        </w:rPr>
        <w:t xml:space="preserve"> Resolución RRA2431/17 del Instituto Nacional de Transparencia, Acceso a la Información Pública y Protección de Datos Personales.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-1080101</wp:posOffset>
          </wp:positionH>
          <wp:positionV relativeFrom="paragraph">
            <wp:posOffset>-488275</wp:posOffset>
          </wp:positionV>
          <wp:extent cx="7809865" cy="10165715"/>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182">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183">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06509/INFOEM/IP/RR/2026</w:t>
          </w:r>
        </w:p>
      </w:tc>
    </w:tr>
    <w:tr>
      <w:trPr>
        <w:cantSplit w:val="0"/>
        <w:trHeight w:val="228" w:hRule="atLeast"/>
        <w:tblHeader w:val="0"/>
      </w:trPr>
      <w:tc>
        <w:tcPr>
          <w:shd w:fill="auto" w:val="clear"/>
          <w:vAlign w:val="center"/>
        </w:tcPr>
        <w:p w:rsidR="00000000" w:rsidDel="00000000" w:rsidP="00000000" w:rsidRDefault="00000000" w:rsidRPr="00000000" w14:paraId="00000184">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185">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Toluca</w:t>
          </w:r>
        </w:p>
      </w:tc>
    </w:tr>
    <w:tr>
      <w:trPr>
        <w:cantSplit w:val="0"/>
        <w:tblHeader w:val="0"/>
      </w:trPr>
      <w:tc>
        <w:tcPr>
          <w:shd w:fill="auto" w:val="clear"/>
          <w:vAlign w:val="center"/>
        </w:tcPr>
        <w:p w:rsidR="00000000" w:rsidDel="00000000" w:rsidP="00000000" w:rsidRDefault="00000000" w:rsidRPr="00000000" w14:paraId="00000186">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187">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88">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-1080127</wp:posOffset>
          </wp:positionH>
          <wp:positionV relativeFrom="paragraph">
            <wp:posOffset>-369902</wp:posOffset>
          </wp:positionV>
          <wp:extent cx="7809865" cy="10165715"/>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18A">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18B">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06509/INFOEM/IP/RR/2026</w:t>
          </w:r>
        </w:p>
      </w:tc>
    </w:tr>
    <w:tr>
      <w:trPr>
        <w:cantSplit w:val="0"/>
        <w:tblHeader w:val="0"/>
      </w:trPr>
      <w:tc>
        <w:tcPr>
          <w:shd w:fill="auto" w:val="clear"/>
        </w:tcPr>
        <w:p w:rsidR="00000000" w:rsidDel="00000000" w:rsidP="00000000" w:rsidRDefault="00000000" w:rsidRPr="00000000" w14:paraId="0000018C">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shd w:fill="auto" w:val="clear"/>
          <w:vAlign w:val="center"/>
        </w:tcPr>
        <w:p w:rsidR="00000000" w:rsidDel="00000000" w:rsidP="00000000" w:rsidRDefault="00000000" w:rsidRPr="00000000" w14:paraId="0000018D">
          <w:pPr>
            <w:ind w:right="175"/>
            <w:jc w:val="both"/>
            <w:rPr>
              <w:rFonts w:ascii="Palatino Linotype" w:cs="Palatino Linotype" w:eastAsia="Palatino Linotype" w:hAnsi="Palatino Linotype"/>
              <w:b w:val="1"/>
              <w:bCs w:val="1"/>
              <w:sz w:val="22"/>
              <w:szCs w:val="22"/>
            </w:rPr>
          </w:pPr>
          <w:r w:rsidDel="00000000" w:rsidR="00000000" w:rsidRPr="00000000">
            <w:rPr>
              <w:rtl w:val="0"/>
            </w:rPr>
          </w:r>
        </w:p>
      </w:tc>
    </w:tr>
    <w:tr>
      <w:trPr>
        <w:cantSplit w:val="0"/>
        <w:trHeight w:val="228" w:hRule="atLeast"/>
        <w:tblHeader w:val="0"/>
      </w:trPr>
      <w:tc>
        <w:tcPr>
          <w:shd w:fill="auto" w:val="clear"/>
          <w:vAlign w:val="center"/>
        </w:tcPr>
        <w:p w:rsidR="00000000" w:rsidDel="00000000" w:rsidP="00000000" w:rsidRDefault="00000000" w:rsidRPr="00000000" w14:paraId="0000018E">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18F">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Ayuntamiento de Toluca</w:t>
          </w:r>
        </w:p>
      </w:tc>
    </w:tr>
    <w:tr>
      <w:trPr>
        <w:cantSplit w:val="0"/>
        <w:tblHeader w:val="0"/>
      </w:trPr>
      <w:tc>
        <w:tcPr>
          <w:shd w:fill="auto" w:val="clear"/>
          <w:vAlign w:val="center"/>
        </w:tcPr>
        <w:p w:rsidR="00000000" w:rsidDel="00000000" w:rsidP="00000000" w:rsidRDefault="00000000" w:rsidRPr="00000000" w14:paraId="00000190">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191">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9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paragraph" w:styleId="Encabezado">
    <w:name w:val="header"/>
    <w:basedOn w:val="Normal"/>
    <w:link w:val="EncabezadoCar"/>
    <w:uiPriority w:val="99"/>
    <w:unhideWhenUsed w:val="1"/>
    <w:rsid w:val="00DD6A3B"/>
    <w:pPr>
      <w:tabs>
        <w:tab w:val="center" w:pos="4419"/>
        <w:tab w:val="right" w:pos="8838"/>
      </w:tabs>
    </w:pPr>
  </w:style>
  <w:style w:type="character" w:styleId="EncabezadoCar" w:customStyle="1">
    <w:name w:val="Encabezado Car"/>
    <w:basedOn w:val="Fuentedeprrafopredeter"/>
    <w:link w:val="Encabezado"/>
    <w:uiPriority w:val="99"/>
    <w:rsid w:val="00DD6A3B"/>
  </w:style>
  <w:style w:type="paragraph" w:styleId="Piedepgina">
    <w:name w:val="footer"/>
    <w:basedOn w:val="Normal"/>
    <w:link w:val="PiedepginaCar"/>
    <w:uiPriority w:val="99"/>
    <w:unhideWhenUsed w:val="1"/>
    <w:rsid w:val="00DD6A3B"/>
    <w:pPr>
      <w:tabs>
        <w:tab w:val="center" w:pos="4419"/>
        <w:tab w:val="right" w:pos="8838"/>
      </w:tabs>
    </w:pPr>
  </w:style>
  <w:style w:type="character" w:styleId="PiedepginaCar" w:customStyle="1">
    <w:name w:val="Pie de página Car"/>
    <w:basedOn w:val="Fuentedeprrafopredeter"/>
    <w:link w:val="Piedepgina"/>
    <w:uiPriority w:val="99"/>
    <w:rsid w:val="00DD6A3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0D1F09"/>
    <w:pPr>
      <w:ind w:left="720"/>
      <w:contextualSpacing w:val="1"/>
    </w:p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5270B4"/>
  </w:style>
  <w:style w:type="paragraph" w:styleId="Sinespaciado">
    <w:name w:val="No Spacing"/>
    <w:aliases w:val="Francesa"/>
    <w:link w:val="SinespaciadoCar"/>
    <w:uiPriority w:val="1"/>
    <w:qFormat w:val="1"/>
    <w:rsid w:val="002C3E0E"/>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2C3E0E"/>
    <w:rPr>
      <w:rFonts w:asciiTheme="minorHAnsi" w:cstheme="minorBidi" w:eastAsiaTheme="minorHAnsi" w:hAnsiTheme="minorHAnsi"/>
      <w:sz w:val="22"/>
      <w:szCs w:val="22"/>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player.es/5455342-Nuevas-tecnologias-biometricas-instituto-nacional-de-ciencias-penales-procuraduria-general-de-la-republica-version-1-0.htm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biblio.juridicas.unam.mx/bjv/resultados?ti=guia+tecni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ewmj/1S2FdU6s+I6WtKaKi5m5g==">CgMxLjAyDmguYmxob3dxcHJjd2s2MgloLjRkMzRvZzgyCGguZ2pkZ3hzMgloLjNkeTZ2a20yCWguMzBqMHpsbDIJaC4yczhleW8xMg5oLmp3eXdxZ3d6cHU3ZTIIaC50eWpjd3QyCWguMmV0OTJwMDgAciExUTV2M3E5cTI2UThBMDJYV0o0TzN4aU9TNDFlbGNQc0c=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2026-09-04T16:51:00Z</dcterms:created>
  <dc:creator>INFOEM603</dc:creator>
</cp:coreProperties>
</file>