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rFonts w:ascii="Palatino Linotype" w:cs="Palatino Linotype" w:eastAsia="Palatino Linotype" w:hAnsi="Palatino Linotype"/>
          <w:sz w:val="22"/>
          <w:szCs w:val="22"/>
        </w:rPr>
      </w:pPr>
      <w:bookmarkStart w:colFirst="0" w:colLast="0" w:name="_heading=h.gjdgxs" w:id="0"/>
      <w:bookmarkEnd w:id="0"/>
      <w:r w:rsidDel="00000000" w:rsidR="00000000" w:rsidRPr="00000000">
        <w:rPr>
          <w:rFonts w:ascii="Palatino Linotype" w:cs="Palatino Linotype" w:eastAsia="Palatino Linotype" w:hAnsi="Palatino Linotype"/>
          <w:sz w:val="22"/>
          <w:szCs w:val="22"/>
          <w:rtl w:val="0"/>
        </w:rPr>
        <w:t xml:space="preserve">Resolución del Pleno del Instituto de Transparencia, Acceso a la Información Pública y Protección de Datos Personales del Estado de México y Municipios, con domicilio en Metepec, Estado de México, de fecha diecinueve de agosto de dos mil veintiséis. </w:t>
      </w:r>
    </w:p>
    <w:p w:rsidR="00000000" w:rsidDel="00000000" w:rsidP="00000000" w:rsidRDefault="00000000" w:rsidRPr="00000000" w14:paraId="00000002">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03">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Visto </w:t>
      </w:r>
      <w:r w:rsidDel="00000000" w:rsidR="00000000" w:rsidRPr="00000000">
        <w:rPr>
          <w:rFonts w:ascii="Palatino Linotype" w:cs="Palatino Linotype" w:eastAsia="Palatino Linotype" w:hAnsi="Palatino Linotype"/>
          <w:sz w:val="22"/>
          <w:szCs w:val="22"/>
          <w:rtl w:val="0"/>
        </w:rPr>
        <w:t xml:space="preserve">el expediente relativo al recurso de revisión </w:t>
      </w:r>
      <w:r w:rsidDel="00000000" w:rsidR="00000000" w:rsidRPr="00000000">
        <w:rPr>
          <w:rFonts w:ascii="Palatino Linotype" w:cs="Palatino Linotype" w:eastAsia="Palatino Linotype" w:hAnsi="Palatino Linotype"/>
          <w:b w:val="1"/>
          <w:bCs w:val="1"/>
          <w:sz w:val="22"/>
          <w:szCs w:val="22"/>
          <w:rtl w:val="0"/>
        </w:rPr>
        <w:t xml:space="preserve">07289/INFOEM/IP/RR/2026</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rtl w:val="0"/>
        </w:rPr>
        <w:t xml:space="preserve">interpuesto por </w:t>
      </w:r>
      <w:r w:rsidDel="00000000" w:rsidR="00000000" w:rsidRPr="00000000">
        <w:rPr>
          <w:rFonts w:ascii="Palatino Linotype" w:cs="Palatino Linotype" w:eastAsia="Palatino Linotype" w:hAnsi="Palatino Linotype"/>
          <w:b w:val="1"/>
          <w:bCs w:val="1"/>
          <w:rtl w:val="0"/>
        </w:rPr>
        <w:t xml:space="preserve">XXXX  </w:t>
      </w:r>
      <w:r w:rsidDel="00000000" w:rsidR="00000000" w:rsidRPr="00000000">
        <w:rPr>
          <w:rFonts w:ascii="Palatino Linotype" w:cs="Palatino Linotype" w:eastAsia="Palatino Linotype" w:hAnsi="Palatino Linotype"/>
          <w:rtl w:val="0"/>
        </w:rPr>
        <w:t xml:space="preserve">en lo sucesivo la parte </w:t>
      </w:r>
      <w:r w:rsidDel="00000000" w:rsidR="00000000" w:rsidRPr="00000000">
        <w:rPr>
          <w:rFonts w:ascii="Palatino Linotype" w:cs="Palatino Linotype" w:eastAsia="Palatino Linotype" w:hAnsi="Palatino Linotype"/>
          <w:b w:val="1"/>
          <w:bCs w:val="1"/>
          <w:rtl w:val="0"/>
        </w:rPr>
        <w:t xml:space="preserve">RECURRENTE</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en contra de la falta de respuesta a la solicitud de acceso a la información con número de folio</w:t>
      </w:r>
      <w:r w:rsidDel="00000000" w:rsidR="00000000" w:rsidRPr="00000000">
        <w:rPr>
          <w:rFonts w:ascii="Verdana" w:cs="Verdana" w:eastAsia="Verdana" w:hAnsi="Verdana"/>
          <w:b w:val="1"/>
          <w:bCs w:val="1"/>
          <w:sz w:val="22"/>
          <w:szCs w:val="22"/>
          <w:rtl w:val="0"/>
        </w:rPr>
        <w:t xml:space="preserve"> </w:t>
      </w:r>
      <w:r w:rsidDel="00000000" w:rsidR="00000000" w:rsidRPr="00000000">
        <w:rPr>
          <w:rFonts w:ascii="Palatino Linotype" w:cs="Palatino Linotype" w:eastAsia="Palatino Linotype" w:hAnsi="Palatino Linotype"/>
          <w:b w:val="1"/>
          <w:bCs w:val="1"/>
          <w:rtl w:val="0"/>
        </w:rPr>
        <w:t xml:space="preserve">00005/IMCFUFIDEVBRAVO/IP/2026, </w:t>
      </w:r>
      <w:r w:rsidDel="00000000" w:rsidR="00000000" w:rsidRPr="00000000">
        <w:rPr>
          <w:rFonts w:ascii="Palatino Linotype" w:cs="Palatino Linotype" w:eastAsia="Palatino Linotype" w:hAnsi="Palatino Linotype"/>
          <w:sz w:val="22"/>
          <w:szCs w:val="22"/>
          <w:rtl w:val="0"/>
        </w:rPr>
        <w:t xml:space="preserve">por parte del </w:t>
      </w:r>
      <w:r w:rsidDel="00000000" w:rsidR="00000000" w:rsidRPr="00000000">
        <w:rPr>
          <w:rFonts w:ascii="Palatino Linotype" w:cs="Palatino Linotype" w:eastAsia="Palatino Linotype" w:hAnsi="Palatino Linotype"/>
          <w:b w:val="1"/>
          <w:bCs w:val="1"/>
          <w:sz w:val="22"/>
          <w:szCs w:val="22"/>
          <w:rtl w:val="0"/>
        </w:rPr>
        <w:t xml:space="preserve">Instituto Municipal de Cultura Física y Deporte de Valle de Bravo,</w:t>
      </w:r>
      <w:r w:rsidDel="00000000" w:rsidR="00000000" w:rsidRPr="00000000">
        <w:rPr>
          <w:rFonts w:ascii="Palatino Linotype" w:cs="Palatino Linotype" w:eastAsia="Palatino Linotype" w:hAnsi="Palatino Linotype"/>
          <w:sz w:val="22"/>
          <w:szCs w:val="22"/>
          <w:rtl w:val="0"/>
        </w:rPr>
        <w:t xml:space="preserve"> en lo sucesivo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se procede a dictar la presente resolución, con base en lo siguiente. </w:t>
      </w:r>
    </w:p>
    <w:p w:rsidR="00000000" w:rsidDel="00000000" w:rsidP="00000000" w:rsidRDefault="00000000" w:rsidRPr="00000000" w14:paraId="00000004">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5">
      <w:pPr>
        <w:numPr>
          <w:ilvl w:val="0"/>
          <w:numId w:val="5"/>
        </w:numPr>
        <w:pBdr>
          <w:top w:space="0" w:sz="0" w:val="nil"/>
          <w:left w:space="0" w:sz="0" w:val="nil"/>
          <w:bottom w:space="0" w:sz="0" w:val="nil"/>
          <w:right w:space="0" w:sz="0" w:val="nil"/>
          <w:between w:space="0" w:sz="0" w:val="nil"/>
        </w:pBdr>
        <w:spacing w:line="360" w:lineRule="auto"/>
        <w:ind w:left="1077" w:hanging="720"/>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A N T E C E D E N T E S:</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360" w:lineRule="auto"/>
        <w:ind w:left="1077" w:firstLine="0"/>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07">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1. Solicitud de acceso a la información. </w:t>
      </w:r>
      <w:r w:rsidDel="00000000" w:rsidR="00000000" w:rsidRPr="00000000">
        <w:rPr>
          <w:rFonts w:ascii="Palatino Linotype" w:cs="Palatino Linotype" w:eastAsia="Palatino Linotype" w:hAnsi="Palatino Linotype"/>
          <w:sz w:val="22"/>
          <w:szCs w:val="22"/>
          <w:rtl w:val="0"/>
        </w:rPr>
        <w:t xml:space="preserve">Con fecha </w:t>
      </w:r>
      <w:r w:rsidDel="00000000" w:rsidR="00000000" w:rsidRPr="00000000">
        <w:rPr>
          <w:rFonts w:ascii="Palatino Linotype" w:cs="Palatino Linotype" w:eastAsia="Palatino Linotype" w:hAnsi="Palatino Linotype"/>
          <w:b w:val="1"/>
          <w:bCs w:val="1"/>
          <w:sz w:val="22"/>
          <w:szCs w:val="22"/>
          <w:rtl w:val="0"/>
        </w:rPr>
        <w:t xml:space="preserve">diecisiete de junio de dos mil veintiséis</w:t>
      </w:r>
      <w:r w:rsidDel="00000000" w:rsidR="00000000" w:rsidRPr="00000000">
        <w:rPr>
          <w:rFonts w:ascii="Palatino Linotype" w:cs="Palatino Linotype" w:eastAsia="Palatino Linotype" w:hAnsi="Palatino Linotype"/>
          <w:sz w:val="22"/>
          <w:szCs w:val="22"/>
          <w:rtl w:val="0"/>
        </w:rPr>
        <w:t xml:space="preserve">,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formuló a través del Sistema de Acceso a la Información Mexiquense, en adelante </w:t>
      </w:r>
      <w:r w:rsidDel="00000000" w:rsidR="00000000" w:rsidRPr="00000000">
        <w:rPr>
          <w:rFonts w:ascii="Palatino Linotype" w:cs="Palatino Linotype" w:eastAsia="Palatino Linotype" w:hAnsi="Palatino Linotype"/>
          <w:b w:val="1"/>
          <w:bCs w:val="1"/>
          <w:sz w:val="22"/>
          <w:szCs w:val="22"/>
          <w:rtl w:val="0"/>
        </w:rPr>
        <w:t xml:space="preserve">SAIMEX,</w:t>
      </w:r>
      <w:r w:rsidDel="00000000" w:rsidR="00000000" w:rsidRPr="00000000">
        <w:rPr>
          <w:rFonts w:ascii="Palatino Linotype" w:cs="Palatino Linotype" w:eastAsia="Palatino Linotype" w:hAnsi="Palatino Linotype"/>
          <w:sz w:val="22"/>
          <w:szCs w:val="22"/>
          <w:rtl w:val="0"/>
        </w:rPr>
        <w:t xml:space="preserve"> solicitud de información al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requiriéndole lo siguiente:</w:t>
      </w:r>
    </w:p>
    <w:p w:rsidR="00000000" w:rsidDel="00000000" w:rsidP="00000000" w:rsidRDefault="00000000" w:rsidRPr="00000000" w14:paraId="00000008">
      <w:pPr>
        <w:ind w:right="616"/>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09">
      <w:pPr>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“Solicito las remuneraciones del director de INCUFIDE de Valle y del tesorero y contraloría de INCUFIDE de Valle de bravos del año 2025 y del año en curso” (Sic)</w:t>
      </w:r>
      <w:r w:rsidDel="00000000" w:rsidR="00000000" w:rsidRPr="00000000">
        <w:rPr>
          <w:rFonts w:ascii="Palatino Linotype" w:cs="Palatino Linotype" w:eastAsia="Palatino Linotype" w:hAnsi="Palatino Linotype"/>
          <w:b w:val="1"/>
          <w:bCs w:val="1"/>
          <w:sz w:val="22"/>
          <w:szCs w:val="22"/>
          <w:rtl w:val="0"/>
        </w:rPr>
        <w:tab/>
      </w:r>
      <w:r w:rsidDel="00000000" w:rsidR="00000000" w:rsidRPr="00000000">
        <w:rPr>
          <w:rtl w:val="0"/>
        </w:rPr>
      </w:r>
    </w:p>
    <w:p w:rsidR="00000000" w:rsidDel="00000000" w:rsidP="00000000" w:rsidRDefault="00000000" w:rsidRPr="00000000" w14:paraId="0000000A">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0B">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Modalidad elegida para la entrega de la información: </w:t>
      </w:r>
      <w:r w:rsidDel="00000000" w:rsidR="00000000" w:rsidRPr="00000000">
        <w:rPr>
          <w:rFonts w:ascii="Palatino Linotype" w:cs="Palatino Linotype" w:eastAsia="Palatino Linotype" w:hAnsi="Palatino Linotype"/>
          <w:sz w:val="22"/>
          <w:szCs w:val="22"/>
          <w:rtl w:val="0"/>
        </w:rPr>
        <w:t xml:space="preserve">a través del SAIMEX.</w:t>
      </w:r>
    </w:p>
    <w:p w:rsidR="00000000" w:rsidDel="00000000" w:rsidP="00000000" w:rsidRDefault="00000000" w:rsidRPr="00000000" w14:paraId="0000000C">
      <w:pPr>
        <w:spacing w:line="360" w:lineRule="auto"/>
        <w:ind w:left="567" w:right="567"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0D">
      <w:pPr>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2. Respuesta. </w:t>
      </w:r>
      <w:r w:rsidDel="00000000" w:rsidR="00000000" w:rsidRPr="00000000">
        <w:rPr>
          <w:rFonts w:ascii="Palatino Linotype" w:cs="Palatino Linotype" w:eastAsia="Palatino Linotype" w:hAnsi="Palatino Linotype"/>
          <w:sz w:val="22"/>
          <w:szCs w:val="22"/>
          <w:rtl w:val="0"/>
        </w:rPr>
        <w:t xml:space="preserve">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fue omiso en proporcionar respuesta. </w:t>
      </w:r>
      <w:r w:rsidDel="00000000" w:rsidR="00000000" w:rsidRPr="00000000">
        <w:rPr>
          <w:rtl w:val="0"/>
        </w:rPr>
      </w:r>
    </w:p>
    <w:p w:rsidR="00000000" w:rsidDel="00000000" w:rsidP="00000000" w:rsidRDefault="00000000" w:rsidRPr="00000000" w14:paraId="0000000E">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F">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3.Interposición del recurso de revisión. </w:t>
      </w:r>
      <w:r w:rsidDel="00000000" w:rsidR="00000000" w:rsidRPr="00000000">
        <w:rPr>
          <w:rFonts w:ascii="Palatino Linotype" w:cs="Palatino Linotype" w:eastAsia="Palatino Linotype" w:hAnsi="Palatino Linotype"/>
          <w:sz w:val="22"/>
          <w:szCs w:val="22"/>
          <w:rtl w:val="0"/>
        </w:rPr>
        <w:t xml:space="preserve">Inconforme la parte solicitante con la falta de respuesta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interpuso recurso de revisión a través del SAIMEX en fecha </w:t>
      </w:r>
      <w:r w:rsidDel="00000000" w:rsidR="00000000" w:rsidRPr="00000000">
        <w:rPr>
          <w:rFonts w:ascii="Palatino Linotype" w:cs="Palatino Linotype" w:eastAsia="Palatino Linotype" w:hAnsi="Palatino Linotype"/>
          <w:b w:val="1"/>
          <w:bCs w:val="1"/>
          <w:sz w:val="22"/>
          <w:szCs w:val="22"/>
          <w:rtl w:val="0"/>
        </w:rPr>
        <w:t xml:space="preserve">dieciséis de julio de dos mil veintiséis</w:t>
      </w:r>
      <w:r w:rsidDel="00000000" w:rsidR="00000000" w:rsidRPr="00000000">
        <w:rPr>
          <w:rFonts w:ascii="Palatino Linotype" w:cs="Palatino Linotype" w:eastAsia="Palatino Linotype" w:hAnsi="Palatino Linotype"/>
          <w:sz w:val="22"/>
          <w:szCs w:val="22"/>
          <w:rtl w:val="0"/>
        </w:rPr>
        <w:t xml:space="preserve">, expresando lo siguiente:</w:t>
      </w:r>
    </w:p>
    <w:p w:rsidR="00000000" w:rsidDel="00000000" w:rsidP="00000000" w:rsidRDefault="00000000" w:rsidRPr="00000000" w14:paraId="00000010">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1">
      <w:pPr>
        <w:spacing w:line="360"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a) Acto impugnado</w:t>
      </w:r>
      <w:r w:rsidDel="00000000" w:rsidR="00000000" w:rsidRPr="00000000">
        <w:rPr>
          <w:rFonts w:ascii="Palatino Linotype" w:cs="Palatino Linotype" w:eastAsia="Palatino Linotype" w:hAnsi="Palatino Linotype"/>
          <w:b w:val="1"/>
          <w:bCs w:val="1"/>
          <w:i w:val="1"/>
          <w:iCs w:val="1"/>
          <w:sz w:val="22"/>
          <w:szCs w:val="22"/>
          <w:rtl w:val="0"/>
        </w:rPr>
        <w:t xml:space="preserve">. </w:t>
      </w:r>
      <w:r w:rsidDel="00000000" w:rsidR="00000000" w:rsidRPr="00000000">
        <w:rPr>
          <w:rFonts w:ascii="Palatino Linotype" w:cs="Palatino Linotype" w:eastAsia="Palatino Linotype" w:hAnsi="Palatino Linotype"/>
          <w:i w:val="1"/>
          <w:iCs w:val="1"/>
          <w:sz w:val="22"/>
          <w:szCs w:val="22"/>
          <w:rtl w:val="0"/>
        </w:rPr>
        <w:t xml:space="preserve">“No entregó información” (Sic)</w:t>
      </w:r>
    </w:p>
    <w:p w:rsidR="00000000" w:rsidDel="00000000" w:rsidP="00000000" w:rsidRDefault="00000000" w:rsidRPr="00000000" w14:paraId="00000012">
      <w:pPr>
        <w:spacing w:line="360" w:lineRule="auto"/>
        <w:ind w:left="567" w:right="616" w:firstLine="0"/>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13">
      <w:pPr>
        <w:spacing w:line="360"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b) Motivos de inconformidad. </w:t>
      </w:r>
      <w:r w:rsidDel="00000000" w:rsidR="00000000" w:rsidRPr="00000000">
        <w:rPr>
          <w:rFonts w:ascii="Palatino Linotype" w:cs="Palatino Linotype" w:eastAsia="Palatino Linotype" w:hAnsi="Palatino Linotype"/>
          <w:i w:val="1"/>
          <w:iCs w:val="1"/>
          <w:sz w:val="22"/>
          <w:szCs w:val="22"/>
          <w:rtl w:val="0"/>
        </w:rPr>
        <w:t xml:space="preserve">“No entregó información”(Sic)</w:t>
      </w:r>
    </w:p>
    <w:p w:rsidR="00000000" w:rsidDel="00000000" w:rsidP="00000000" w:rsidRDefault="00000000" w:rsidRPr="00000000" w14:paraId="00000014">
      <w:pPr>
        <w:spacing w:line="360" w:lineRule="auto"/>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15">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4. Turno. </w:t>
      </w:r>
      <w:r w:rsidDel="00000000" w:rsidR="00000000" w:rsidRPr="00000000">
        <w:rPr>
          <w:rFonts w:ascii="Palatino Linotype" w:cs="Palatino Linotype" w:eastAsia="Palatino Linotype" w:hAnsi="Palatino Linotype"/>
          <w:sz w:val="22"/>
          <w:szCs w:val="22"/>
          <w:rtl w:val="0"/>
        </w:rPr>
        <w:t xml:space="preserve">De conformidad con el artículo 185 Fracción I de la Ley Transparencia y Acceso a la Información Pública, el recurso de revisión fue turnado a la Comisionada Ponente </w:t>
      </w:r>
      <w:r w:rsidDel="00000000" w:rsidR="00000000" w:rsidRPr="00000000">
        <w:rPr>
          <w:rFonts w:ascii="Palatino Linotype" w:cs="Palatino Linotype" w:eastAsia="Palatino Linotype" w:hAnsi="Palatino Linotype"/>
          <w:b w:val="1"/>
          <w:bCs w:val="1"/>
          <w:sz w:val="22"/>
          <w:szCs w:val="22"/>
          <w:rtl w:val="0"/>
        </w:rPr>
        <w:t xml:space="preserve">Guadalupe Ramírez Peña</w:t>
      </w:r>
      <w:r w:rsidDel="00000000" w:rsidR="00000000" w:rsidRPr="00000000">
        <w:rPr>
          <w:rFonts w:ascii="Palatino Linotype" w:cs="Palatino Linotype" w:eastAsia="Palatino Linotype" w:hAnsi="Palatino Linotype"/>
          <w:sz w:val="22"/>
          <w:szCs w:val="22"/>
          <w:rtl w:val="0"/>
        </w:rPr>
        <w:t xml:space="preserve">, a efecto de presentar al Pleno el proyecto de resolución correspondiente.</w:t>
      </w:r>
    </w:p>
    <w:p w:rsidR="00000000" w:rsidDel="00000000" w:rsidP="00000000" w:rsidRDefault="00000000" w:rsidRPr="00000000" w14:paraId="00000016">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7">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5. Admisión. </w:t>
      </w:r>
      <w:r w:rsidDel="00000000" w:rsidR="00000000" w:rsidRPr="00000000">
        <w:rPr>
          <w:rFonts w:ascii="Palatino Linotype" w:cs="Palatino Linotype" w:eastAsia="Palatino Linotype" w:hAnsi="Palatino Linotype"/>
          <w:sz w:val="22"/>
          <w:szCs w:val="22"/>
          <w:rtl w:val="0"/>
        </w:rPr>
        <w:t xml:space="preserve">En fecha </w:t>
      </w:r>
      <w:r w:rsidDel="00000000" w:rsidR="00000000" w:rsidRPr="00000000">
        <w:rPr>
          <w:rFonts w:ascii="Palatino Linotype" w:cs="Palatino Linotype" w:eastAsia="Palatino Linotype" w:hAnsi="Palatino Linotype"/>
          <w:b w:val="1"/>
          <w:bCs w:val="1"/>
          <w:sz w:val="22"/>
          <w:szCs w:val="22"/>
          <w:rtl w:val="0"/>
        </w:rPr>
        <w:t xml:space="preserve">diecisiete de julio de dos mil veintiséis</w:t>
      </w:r>
      <w:r w:rsidDel="00000000" w:rsidR="00000000" w:rsidRPr="00000000">
        <w:rPr>
          <w:rFonts w:ascii="Palatino Linotype" w:cs="Palatino Linotype" w:eastAsia="Palatino Linotype" w:hAnsi="Palatino Linotype"/>
          <w:sz w:val="22"/>
          <w:szCs w:val="22"/>
          <w:rtl w:val="0"/>
        </w:rPr>
        <w:t xml:space="preserve">, en términos de lo dispuesto en el artículo 185 fracciones I, II y IV de la Ley de Transparencia y Acceso a la Información Pública del Estado de México y Municipios, se admitió a trámite el recurso de revisión al rubro indicado.</w:t>
      </w:r>
    </w:p>
    <w:p w:rsidR="00000000" w:rsidDel="00000000" w:rsidP="00000000" w:rsidRDefault="00000000" w:rsidRPr="00000000" w14:paraId="0000001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9">
      <w:pPr>
        <w:widowControl w:val="0"/>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6. Manifestaciones</w:t>
      </w:r>
      <w:r w:rsidDel="00000000" w:rsidR="00000000" w:rsidRPr="00000000">
        <w:rPr>
          <w:rFonts w:ascii="Palatino Linotype" w:cs="Palatino Linotype" w:eastAsia="Palatino Linotype" w:hAnsi="Palatino Linotype"/>
          <w:sz w:val="22"/>
          <w:szCs w:val="22"/>
          <w:rtl w:val="0"/>
        </w:rPr>
        <w:t xml:space="preserve">. Las partes fueron omisas en rendir manifestaciones, como se observa a continuación en la siguiente imagen:</w:t>
      </w:r>
    </w:p>
    <w:p w:rsidR="00000000" w:rsidDel="00000000" w:rsidP="00000000" w:rsidRDefault="00000000" w:rsidRPr="00000000" w14:paraId="0000001A">
      <w:pPr>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Pr>
        <w:drawing>
          <wp:inline distB="0" distT="0" distL="0" distR="0">
            <wp:extent cx="5612130" cy="1593215"/>
            <wp:effectExtent b="0" l="0" r="0" t="0"/>
            <wp:docPr id="2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612130" cy="1593215"/>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1C">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7. Cierre de instrucción. </w:t>
      </w:r>
      <w:r w:rsidDel="00000000" w:rsidR="00000000" w:rsidRPr="00000000">
        <w:rPr>
          <w:rFonts w:ascii="Palatino Linotype" w:cs="Palatino Linotype" w:eastAsia="Palatino Linotype" w:hAnsi="Palatino Linotype"/>
          <w:sz w:val="22"/>
          <w:szCs w:val="22"/>
          <w:rtl w:val="0"/>
        </w:rPr>
        <w:t xml:space="preserve">Una vez transcurrido el periodo otorgado a las partes para realizar sus manifestaciones y no habiendo documentos que integrar al expediente, con fecha </w:t>
      </w:r>
      <w:r w:rsidDel="00000000" w:rsidR="00000000" w:rsidRPr="00000000">
        <w:rPr>
          <w:rFonts w:ascii="Palatino Linotype" w:cs="Palatino Linotype" w:eastAsia="Palatino Linotype" w:hAnsi="Palatino Linotype"/>
          <w:b w:val="1"/>
          <w:bCs w:val="1"/>
          <w:sz w:val="22"/>
          <w:szCs w:val="22"/>
          <w:rtl w:val="0"/>
        </w:rPr>
        <w:t xml:space="preserve">trece de agosto de dos mil veintiséis</w:t>
      </w:r>
      <w:r w:rsidDel="00000000" w:rsidR="00000000" w:rsidRPr="00000000">
        <w:rPr>
          <w:rFonts w:ascii="Palatino Linotype" w:cs="Palatino Linotype" w:eastAsia="Palatino Linotype" w:hAnsi="Palatino Linotype"/>
          <w:sz w:val="22"/>
          <w:szCs w:val="22"/>
          <w:rtl w:val="0"/>
        </w:rPr>
        <w:t xml:space="preserve">, la Comisionada Ponente determinó el cierre de instrucción en términos de la fracción VI del artículo 185 de la Ley de Transparencia y Acceso a la Información Pública del Estado de México y Municipios.</w:t>
      </w:r>
    </w:p>
    <w:p w:rsidR="00000000" w:rsidDel="00000000" w:rsidP="00000000" w:rsidRDefault="00000000" w:rsidRPr="00000000" w14:paraId="0000001D">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E">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razón de que fue debidamente sustanciado el expediente electrónico y no existe diligencia pendiente de desahogo, se emite la Resolución que conforme a Derecho proceda, de acuerdo con los siguientes: </w:t>
      </w:r>
    </w:p>
    <w:p w:rsidR="00000000" w:rsidDel="00000000" w:rsidP="00000000" w:rsidRDefault="00000000" w:rsidRPr="00000000" w14:paraId="0000001F">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0">
      <w:pPr>
        <w:widowControl w:val="0"/>
        <w:spacing w:line="360" w:lineRule="auto"/>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II. C O N S I D E R A N D O S</w:t>
      </w:r>
    </w:p>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pacing w:line="360" w:lineRule="auto"/>
        <w:ind w:left="1080" w:firstLine="0"/>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22">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Primero. Competencia.</w:t>
      </w:r>
      <w:r w:rsidDel="00000000" w:rsidR="00000000" w:rsidRPr="00000000">
        <w:rPr>
          <w:rFonts w:ascii="Palatino Linotype" w:cs="Palatino Linotype" w:eastAsia="Palatino Linotype" w:hAnsi="Palatino Linotype"/>
          <w:sz w:val="22"/>
          <w:szCs w:val="22"/>
          <w:rtl w:val="0"/>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5 párrafos cuadragésimo cuarto, cuadragésimo quinto y cuadragésimo sexto, fracciones IV y V de la Constitución Política del Estado Libre y Soberano de México; transitorio Cuarto del Decreto número 198 de la “LXII” Legislatura del Estado de México; 1, 2, fracción II; 13, 29, 36, fracciones I y II; 176, 178, 179, 181 párrafo tercero y 185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rsidR="00000000" w:rsidDel="00000000" w:rsidP="00000000" w:rsidRDefault="00000000" w:rsidRPr="00000000" w14:paraId="00000023">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4">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Segundo. Oportunidad y Procedibilidad del Recurso de Revisión. </w:t>
      </w:r>
      <w:r w:rsidDel="00000000" w:rsidR="00000000" w:rsidRPr="00000000">
        <w:rPr>
          <w:rFonts w:ascii="Palatino Linotype" w:cs="Palatino Linotype" w:eastAsia="Palatino Linotype" w:hAnsi="Palatino Linotype"/>
          <w:sz w:val="22"/>
          <w:szCs w:val="22"/>
          <w:rtl w:val="0"/>
        </w:rPr>
        <w:t xml:space="preserve">Por cuanto hace a la oportunidad del recurso de revisión</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es necesario considerar lo previsto en los artículos 163, párrafo primero; 166, penúltimo párrafo y 178, párrafo segundo; de la Ley de Transparencia y Acceso a la Información Pública del Estado de México y Municipios, de cuya interpretación se obtiene que el plazo que les asiste a los Sujetos Obligados para entregar la respuesta a una solicitud de información pública, es de quince días hábiles posteriores a la presentación de ésta; sin embargo, en aquellos casos en que transcurre el referido plazo de quince días hábiles sin que los Sujetos Obligados entreguen la respuesta a la solicitud de información, esta se considera negada; por lo que al solicitante le asiste el derecho para presentar el recurso de revisión en cualquier momento.</w:t>
      </w:r>
    </w:p>
    <w:p w:rsidR="00000000" w:rsidDel="00000000" w:rsidP="00000000" w:rsidRDefault="00000000" w:rsidRPr="00000000" w14:paraId="00000025">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6">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Derivado de lo anterior, se constituye la figura jurídica de la </w:t>
      </w:r>
      <w:r w:rsidDel="00000000" w:rsidR="00000000" w:rsidRPr="00000000">
        <w:rPr>
          <w:rFonts w:ascii="Palatino Linotype" w:cs="Palatino Linotype" w:eastAsia="Palatino Linotype" w:hAnsi="Palatino Linotype"/>
          <w:b w:val="1"/>
          <w:bCs w:val="1"/>
          <w:sz w:val="22"/>
          <w:szCs w:val="22"/>
          <w:rtl w:val="0"/>
        </w:rPr>
        <w:t xml:space="preserve">NEGATIVA FICTA</w:t>
      </w:r>
      <w:r w:rsidDel="00000000" w:rsidR="00000000" w:rsidRPr="00000000">
        <w:rPr>
          <w:rFonts w:ascii="Palatino Linotype" w:cs="Palatino Linotype" w:eastAsia="Palatino Linotype" w:hAnsi="Palatino Linotype"/>
          <w:sz w:val="22"/>
          <w:szCs w:val="22"/>
          <w:rtl w:val="0"/>
        </w:rPr>
        <w:t xml:space="preserve">, cuya esencia consiste en atribuir un efecto negativo al silencio de la autoridad administrativa frente a las instancias y solicitudes que hagan los particulares.</w:t>
      </w:r>
    </w:p>
    <w:p w:rsidR="00000000" w:rsidDel="00000000" w:rsidP="00000000" w:rsidRDefault="00000000" w:rsidRPr="00000000" w14:paraId="00000027">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8">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tal manera, en el presente recurso de revisión se actualizó la negativa ficta por parte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al no haber respondido a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en tiempo y forma en el plazo legal previsto para ello, en este sentido la falta de respuesta implica necesariamente que de modo fáctico se ha negado la información por razones desconocidas, pero que el hecho simple de no responder apareja una forma por omisión de negar el acceso a la información.</w:t>
      </w:r>
    </w:p>
    <w:p w:rsidR="00000000" w:rsidDel="00000000" w:rsidP="00000000" w:rsidRDefault="00000000" w:rsidRPr="00000000" w14:paraId="0000002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A">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Si a ello se le suma lo previsto en el párrafo segundo del artículo 178, párrafo segundo</w:t>
      </w:r>
      <w:r w:rsidDel="00000000" w:rsidR="00000000" w:rsidRPr="00000000">
        <w:rPr>
          <w:rFonts w:ascii="Palatino Linotype" w:cs="Palatino Linotype" w:eastAsia="Palatino Linotype" w:hAnsi="Palatino Linotype"/>
          <w:sz w:val="22"/>
          <w:szCs w:val="22"/>
          <w:vertAlign w:val="superscript"/>
        </w:rPr>
        <w:footnoteReference w:customMarkFollows="0" w:id="0"/>
      </w:r>
      <w:r w:rsidDel="00000000" w:rsidR="00000000" w:rsidRPr="00000000">
        <w:rPr>
          <w:rFonts w:ascii="Palatino Linotype" w:cs="Palatino Linotype" w:eastAsia="Palatino Linotype" w:hAnsi="Palatino Linotype"/>
          <w:sz w:val="22"/>
          <w:szCs w:val="22"/>
          <w:rtl w:val="0"/>
        </w:rPr>
        <w:t xml:space="preserve"> de la Ley de Transparencia y Acceso a la Información Pública vigente en la entidad.</w:t>
      </w:r>
    </w:p>
    <w:p w:rsidR="00000000" w:rsidDel="00000000" w:rsidP="00000000" w:rsidRDefault="00000000" w:rsidRPr="00000000" w14:paraId="0000002B">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C">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Lo anterior encuentra sustento en el CRITERIO número 0001-15, aprobado por unanimidad del Pleno del Instituto de Transparencia, Acceso a la Información Pública y Protección de Datos Personales del Estado de México y Municipios, publicado en el Periódico Oficial del Estado de México “Gaceta del Gobierno”, el veintitrés de abril de dos mil quince, que establece:</w:t>
      </w:r>
    </w:p>
    <w:p w:rsidR="00000000" w:rsidDel="00000000" w:rsidP="00000000" w:rsidRDefault="00000000" w:rsidRPr="00000000" w14:paraId="0000002D">
      <w:pPr>
        <w:spacing w:line="360" w:lineRule="auto"/>
        <w:jc w:val="both"/>
        <w:rPr>
          <w:i w:val="1"/>
          <w:iCs w:val="1"/>
          <w:sz w:val="22"/>
          <w:szCs w:val="22"/>
        </w:rPr>
      </w:pPr>
      <w:r w:rsidDel="00000000" w:rsidR="00000000" w:rsidRPr="00000000">
        <w:rPr>
          <w:rtl w:val="0"/>
        </w:rPr>
      </w:r>
    </w:p>
    <w:p w:rsidR="00000000" w:rsidDel="00000000" w:rsidP="00000000" w:rsidRDefault="00000000" w:rsidRPr="00000000" w14:paraId="0000002E">
      <w:pPr>
        <w:ind w:left="567"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CRITERIO 0001-15 NEGATIVA FICTA. PLAZO PARA INTERPONER EL RECURSO DE REVISIÓN TRATÁNDOSE DE</w:t>
      </w:r>
      <w:r w:rsidDel="00000000" w:rsidR="00000000" w:rsidRPr="00000000">
        <w:rPr>
          <w:rFonts w:ascii="Palatino Linotype" w:cs="Palatino Linotype" w:eastAsia="Palatino Linotype" w:hAnsi="Palatino Linotype"/>
          <w:i w:val="1"/>
          <w:iCs w:val="1"/>
          <w:sz w:val="22"/>
          <w:szCs w:val="22"/>
          <w:rtl w:val="0"/>
        </w:rPr>
        <w:t xml:space="preserve">. El artículo 48, párrafo tercero de la Ley de Transparencia y Acceso a la Información Pública del Estado de México y Municipios establece que, cuando no se entregue la respuesta a la solicitud dentro del plazo de 15 días establecidos en el artículo 46 de la Ley de la materia, se entenderá por negada la solicitud y podrá interponerse el recurso correspondiente. Por su parte, el artículo 72 del mismo ordenamiento legal establece el plazo de 15 días para interponer el recurso de revisión a partir del día siguiente al que tuvo conocimiento de la respuesta recaída a su solicitud, sin que se establezca excepción alguna tratándose de una falta de respuesta del sujeto obligado. Así, entonces, resulta evidente que, al no emitirse respuesta dentro del plazo establecido, se genera la ficción legal de una respuesta en sentido negativo; en el entendido de que el plazo para impugnar esa negativa podrá ser en cualquier tiempo y hasta en tanto no se dicte resolución expresa; es decir, mientras no haya respuesta por parte del Sujeto Obligado, momento a partir del cual deberá computarse el plazo previsto en el artículo 72 de la citada Ley.”</w:t>
      </w:r>
      <w:r w:rsidDel="00000000" w:rsidR="00000000" w:rsidRPr="00000000">
        <w:rPr>
          <w:rtl w:val="0"/>
        </w:rPr>
      </w:r>
    </w:p>
    <w:p w:rsidR="00000000" w:rsidDel="00000000" w:rsidP="00000000" w:rsidRDefault="00000000" w:rsidRPr="00000000" w14:paraId="0000002F">
      <w:pPr>
        <w:ind w:left="567" w:right="851"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line="360" w:lineRule="auto"/>
        <w:ind w:right="-147"/>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Además, una vez realizado el análisis del formato de interposición del recurso, se acreditan plenamente de todos y cada uno de los elementos formales exigidos por el artículo 180 de la Ley de Transparencia y Acceso a la Información Pública del Estado de México y Municipios, en atención a que fue presentado mediante el formato visible en </w:t>
      </w:r>
      <w:r w:rsidDel="00000000" w:rsidR="00000000" w:rsidRPr="00000000">
        <w:rPr>
          <w:rFonts w:ascii="Palatino Linotype" w:cs="Palatino Linotype" w:eastAsia="Palatino Linotype" w:hAnsi="Palatino Linotype"/>
          <w:b w:val="1"/>
          <w:bCs w:val="1"/>
          <w:sz w:val="22"/>
          <w:szCs w:val="22"/>
          <w:rtl w:val="0"/>
        </w:rPr>
        <w:t xml:space="preserve">EL</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SAIMEX</w:t>
      </w:r>
      <w:r w:rsidDel="00000000" w:rsidR="00000000" w:rsidRPr="00000000">
        <w:rPr>
          <w:rFonts w:ascii="Palatino Linotype" w:cs="Palatino Linotype" w:eastAsia="Palatino Linotype" w:hAnsi="Palatino Linotype"/>
          <w:sz w:val="22"/>
          <w:szCs w:val="22"/>
          <w:rtl w:val="0"/>
        </w:rPr>
        <w:t xml:space="preserve">.</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line="360" w:lineRule="auto"/>
        <w:ind w:right="-147"/>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32">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Ahora bien, resulta procedente la interposición del recurso de revisión, según lo aducido por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en términos del artículo 179, fracción VII del ordenamiento legal de la materia, que a la letra dice:</w:t>
      </w:r>
    </w:p>
    <w:p w:rsidR="00000000" w:rsidDel="00000000" w:rsidP="00000000" w:rsidRDefault="00000000" w:rsidRPr="00000000" w14:paraId="00000033">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34">
      <w:pPr>
        <w:ind w:left="567"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sz w:val="22"/>
          <w:szCs w:val="22"/>
          <w:rtl w:val="0"/>
        </w:rPr>
        <w:t xml:space="preserve">Artículo 179.</w:t>
      </w:r>
      <w:r w:rsidDel="00000000" w:rsidR="00000000" w:rsidRPr="00000000">
        <w:rPr>
          <w:rFonts w:ascii="Palatino Linotype" w:cs="Palatino Linotype" w:eastAsia="Palatino Linotype" w:hAnsi="Palatino Linotype"/>
          <w:i w:val="1"/>
          <w:iCs w:val="1"/>
          <w:sz w:val="22"/>
          <w:szCs w:val="22"/>
          <w:rtl w:val="0"/>
        </w:rPr>
        <w:t xml:space="preserve">El recurso de revisión es un medio de protección que la Ley otorga a los particulares, para hacer valer su derecho de acceso a la información pública, y procederá en contra de las siguientes causas: </w:t>
      </w:r>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035">
      <w:pPr>
        <w:ind w:left="567"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w:t>
      </w:r>
    </w:p>
    <w:p w:rsidR="00000000" w:rsidDel="00000000" w:rsidP="00000000" w:rsidRDefault="00000000" w:rsidRPr="00000000" w14:paraId="00000036">
      <w:pPr>
        <w:numPr>
          <w:ilvl w:val="0"/>
          <w:numId w:val="4"/>
        </w:numPr>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La falta de respuesta a una solicitud de acceso a la información…</w:t>
      </w:r>
    </w:p>
    <w:p w:rsidR="00000000" w:rsidDel="00000000" w:rsidP="00000000" w:rsidRDefault="00000000" w:rsidRPr="00000000" w14:paraId="00000037">
      <w:pPr>
        <w:spacing w:line="360" w:lineRule="auto"/>
        <w:ind w:right="1041"/>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38">
      <w:pPr>
        <w:tabs>
          <w:tab w:val="left" w:leader="none" w:pos="8647"/>
        </w:tabs>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Tercero. Materia de la revisión. </w:t>
      </w:r>
      <w:r w:rsidDel="00000000" w:rsidR="00000000" w:rsidRPr="00000000">
        <w:rPr>
          <w:rFonts w:ascii="Palatino Linotype" w:cs="Palatino Linotype" w:eastAsia="Palatino Linotype" w:hAnsi="Palatino Linotype"/>
          <w:sz w:val="22"/>
          <w:szCs w:val="22"/>
          <w:rtl w:val="0"/>
        </w:rPr>
        <w:t xml:space="preserve">Este Organismo Garante procede del análisis de los agravios hechos valer por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a fin de determinar si se violenta en perjuicio de este, el derecho de acceso a la información previsto en la Constitución Política de los Estados Unidos Mexicanos y en la Constitución Política del Estado Libre y Soberano de México. </w:t>
      </w:r>
    </w:p>
    <w:p w:rsidR="00000000" w:rsidDel="00000000" w:rsidP="00000000" w:rsidRDefault="00000000" w:rsidRPr="00000000" w14:paraId="00000039">
      <w:pPr>
        <w:tabs>
          <w:tab w:val="left" w:leader="none" w:pos="8647"/>
        </w:tabs>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3A">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Cuarto. Estudio del asunto. </w:t>
      </w:r>
      <w:r w:rsidDel="00000000" w:rsidR="00000000" w:rsidRPr="00000000">
        <w:rPr>
          <w:rFonts w:ascii="Palatino Linotype" w:cs="Palatino Linotype" w:eastAsia="Palatino Linotype" w:hAnsi="Palatino Linotype"/>
          <w:sz w:val="22"/>
          <w:szCs w:val="22"/>
          <w:rtl w:val="0"/>
        </w:rPr>
        <w:t xml:space="preserve">Una vez determinada la vía sobre la que versará el presente recurso, y previa revisión del expediente del recurso de revisión materia de la presente resolución, se advierte que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no dio respuesta a la solicitud de información planteada por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lo que se traduce como la configuración de la </w:t>
      </w:r>
      <w:r w:rsidDel="00000000" w:rsidR="00000000" w:rsidRPr="00000000">
        <w:rPr>
          <w:rFonts w:ascii="Palatino Linotype" w:cs="Palatino Linotype" w:eastAsia="Palatino Linotype" w:hAnsi="Palatino Linotype"/>
          <w:b w:val="1"/>
          <w:bCs w:val="1"/>
          <w:sz w:val="22"/>
          <w:szCs w:val="22"/>
          <w:rtl w:val="0"/>
        </w:rPr>
        <w:t xml:space="preserve">negativa ficta</w:t>
      </w:r>
      <w:r w:rsidDel="00000000" w:rsidR="00000000" w:rsidRPr="00000000">
        <w:rPr>
          <w:rFonts w:ascii="Palatino Linotype" w:cs="Palatino Linotype" w:eastAsia="Palatino Linotype" w:hAnsi="Palatino Linotype"/>
          <w:sz w:val="22"/>
          <w:szCs w:val="22"/>
          <w:rtl w:val="0"/>
        </w:rPr>
        <w:t xml:space="preserve">, situación que demuestra la existencia del acto impugnado y procedencia del motivo de inconformidad, que en términos generales consistente en que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no emitió respuesta a la solicitud de información, dentro del plazo legal previsto para ello.</w:t>
      </w:r>
    </w:p>
    <w:p w:rsidR="00000000" w:rsidDel="00000000" w:rsidP="00000000" w:rsidRDefault="00000000" w:rsidRPr="00000000" w14:paraId="0000003B">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3C">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Previo a exponer los argumentos que justifiquen la afirmación que antecede, es necesario precisar que, del análisis realizado a la solicitud formulada por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se advierte que requirió al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le proporcionara, información consistente en lo siguiente:</w:t>
      </w:r>
    </w:p>
    <w:p w:rsidR="00000000" w:rsidDel="00000000" w:rsidP="00000000" w:rsidRDefault="00000000" w:rsidRPr="00000000" w14:paraId="0000003D">
      <w:pPr>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“Solicito las remuneraciones del director de INCUFIDE de Valle y del tesorero y contraloría de INCUFIDE de Valle de bravos del año 2025 y del año en curso” (Sic)</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line="360" w:lineRule="auto"/>
        <w:ind w:left="720"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3F">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Precisado lo anterior, se procede al análisis del presente recurso, así como al contenido íntegro de las actuaciones que obran en el expediente electrónico, para así estar en posibilidad este Organismo Garante de dictar el fallo correspondiente conforme a derecho, tomando en consideración los elementos aportados por las partes y apegándose en todo momento al principio de máxima publicidad consagrado en nuestra Constitución Federal, Local y demás leyes aplicables en la materia, así como en los tratados internacionales en los que el Estado Mexicano sea parte, en concordancia con el artículo 8 de la Ley de Transparencia local.</w:t>
      </w:r>
    </w:p>
    <w:p w:rsidR="00000000" w:rsidDel="00000000" w:rsidP="00000000" w:rsidRDefault="00000000" w:rsidRPr="00000000" w14:paraId="00000040">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1">
      <w:pPr>
        <w:tabs>
          <w:tab w:val="left" w:leader="none" w:pos="709"/>
        </w:tabs>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primer lugar, es menester mencionar que el derecho de acceso a la información está consagrado en instrumentos internacionales de los cuales el Estado Mexicano se ha adherido, sin oponer reserva alguna sobre lo que nos interesa, adoptando dichas disposiciones al Derecho Interno, específicamente a nivel Constitucional, tal y como lo prevén los arábigos 1 párrafos primero, segundo y tercero y 6 apartado A fracciones I, II, III, IV, V, VI y VII que a la letra señalan:</w:t>
      </w:r>
    </w:p>
    <w:p w:rsidR="00000000" w:rsidDel="00000000" w:rsidP="00000000" w:rsidRDefault="00000000" w:rsidRPr="00000000" w14:paraId="00000042">
      <w:pPr>
        <w:tabs>
          <w:tab w:val="left" w:leader="none" w:pos="709"/>
        </w:tabs>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3">
      <w:pPr>
        <w:tabs>
          <w:tab w:val="left" w:leader="none" w:pos="709"/>
        </w:tabs>
        <w:spacing w:line="276" w:lineRule="auto"/>
        <w:ind w:left="567" w:right="851"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u w:val="single"/>
          <w:rtl w:val="0"/>
        </w:rPr>
        <w:t xml:space="preserve">“Artículo 1o. En los Estados Unidos Mexicanos todas las personas gozarán de los derechos humanos reconocidos en esta Constitución y en los tratados internacionales de los que el Estado Mexicano sea parte</w:t>
      </w:r>
      <w:r w:rsidDel="00000000" w:rsidR="00000000" w:rsidRPr="00000000">
        <w:rPr>
          <w:rFonts w:ascii="Palatino Linotype" w:cs="Palatino Linotype" w:eastAsia="Palatino Linotype" w:hAnsi="Palatino Linotype"/>
          <w:i w:val="1"/>
          <w:iCs w:val="1"/>
          <w:sz w:val="22"/>
          <w:szCs w:val="22"/>
          <w:rtl w:val="0"/>
        </w:rPr>
        <w:t xml:space="preserve">, así como de las garantías para su protección, cuyo ejercicio no podrá restringirse ni suspenderse, salvo en los casos y bajo las condiciones que esta Constitución establece.</w:t>
      </w:r>
    </w:p>
    <w:p w:rsidR="00000000" w:rsidDel="00000000" w:rsidP="00000000" w:rsidRDefault="00000000" w:rsidRPr="00000000" w14:paraId="00000044">
      <w:pPr>
        <w:tabs>
          <w:tab w:val="left" w:leader="none" w:pos="709"/>
        </w:tabs>
        <w:spacing w:line="276" w:lineRule="auto"/>
        <w:ind w:left="567" w:right="851"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Las normas relativas a los derechos humanos se interpretarán de conformidad con esta Constitución y con los tratados internacionales de la materia favoreciendo en todo tiempo a las personas la protección más amplia.</w:t>
      </w:r>
    </w:p>
    <w:p w:rsidR="00000000" w:rsidDel="00000000" w:rsidP="00000000" w:rsidRDefault="00000000" w:rsidRPr="00000000" w14:paraId="00000045">
      <w:pPr>
        <w:tabs>
          <w:tab w:val="left" w:leader="none" w:pos="709"/>
        </w:tabs>
        <w:spacing w:line="276" w:lineRule="auto"/>
        <w:ind w:left="567" w:right="851"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u w:val="single"/>
          <w:rtl w:val="0"/>
        </w:rPr>
        <w:t xml:space="preserve">Todas las autoridades, en el ámbito de sus competencias, tienen la obligación de promover, respetar, proteger y garantizar los derechos humanos de conformidad con los principios de universalidad, interdependencia, indivisibilidad y progresividad.</w:t>
      </w:r>
      <w:r w:rsidDel="00000000" w:rsidR="00000000" w:rsidRPr="00000000">
        <w:rPr>
          <w:rFonts w:ascii="Palatino Linotype" w:cs="Palatino Linotype" w:eastAsia="Palatino Linotype" w:hAnsi="Palatino Linotype"/>
          <w:i w:val="1"/>
          <w:iCs w:val="1"/>
          <w:sz w:val="22"/>
          <w:szCs w:val="22"/>
          <w:rtl w:val="0"/>
        </w:rPr>
        <w:t xml:space="preserve"> En consecuencia, el Estado deberá prevenir, investigar, sancionar y reparar las violaciones a los derechos humanos, en los términos que establezca la ley</w:t>
      </w:r>
    </w:p>
    <w:p w:rsidR="00000000" w:rsidDel="00000000" w:rsidP="00000000" w:rsidRDefault="00000000" w:rsidRPr="00000000" w14:paraId="00000046">
      <w:pPr>
        <w:tabs>
          <w:tab w:val="left" w:leader="none" w:pos="709"/>
        </w:tabs>
        <w:spacing w:line="276" w:lineRule="auto"/>
        <w:ind w:left="567" w:right="851"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47">
      <w:pPr>
        <w:spacing w:line="276" w:lineRule="auto"/>
        <w:ind w:left="567" w:right="851"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6o.</w:t>
      </w:r>
      <w:r w:rsidDel="00000000" w:rsidR="00000000" w:rsidRPr="00000000">
        <w:rPr>
          <w:rtl w:val="0"/>
        </w:rPr>
      </w:r>
    </w:p>
    <w:p w:rsidR="00000000" w:rsidDel="00000000" w:rsidP="00000000" w:rsidRDefault="00000000" w:rsidRPr="00000000" w14:paraId="00000048">
      <w:pPr>
        <w:spacing w:line="276" w:lineRule="auto"/>
        <w:ind w:left="567" w:right="851"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49">
      <w:pPr>
        <w:spacing w:line="276" w:lineRule="auto"/>
        <w:ind w:left="567" w:right="851"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 Para el ejercicio del derecho de acceso a la información, la Federación y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las entidades federativas</w:t>
      </w:r>
      <w:r w:rsidDel="00000000" w:rsidR="00000000" w:rsidRPr="00000000">
        <w:rPr>
          <w:rFonts w:ascii="Palatino Linotype" w:cs="Palatino Linotype" w:eastAsia="Palatino Linotype" w:hAnsi="Palatino Linotype"/>
          <w:b w:val="1"/>
          <w:bCs w:val="1"/>
          <w:i w:val="1"/>
          <w:iCs w:val="1"/>
          <w:sz w:val="22"/>
          <w:szCs w:val="22"/>
          <w:rtl w:val="0"/>
        </w:rPr>
        <w:t xml:space="preserve">,</w:t>
      </w:r>
      <w:r w:rsidDel="00000000" w:rsidR="00000000" w:rsidRPr="00000000">
        <w:rPr>
          <w:rFonts w:ascii="Palatino Linotype" w:cs="Palatino Linotype" w:eastAsia="Palatino Linotype" w:hAnsi="Palatino Linotype"/>
          <w:i w:val="1"/>
          <w:iCs w:val="1"/>
          <w:sz w:val="22"/>
          <w:szCs w:val="22"/>
          <w:rtl w:val="0"/>
        </w:rPr>
        <w:t xml:space="preserve"> en el ámbito de sus respectivas competencias, se regirán por los siguientes principios y bases:</w:t>
      </w:r>
    </w:p>
    <w:p w:rsidR="00000000" w:rsidDel="00000000" w:rsidP="00000000" w:rsidRDefault="00000000" w:rsidRPr="00000000" w14:paraId="0000004A">
      <w:pPr>
        <w:spacing w:line="276" w:lineRule="auto"/>
        <w:ind w:left="567" w:right="851"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Toda la información en posesión de cualquier autoridad, entidad, órgano y organismo de los Poderes</w:t>
      </w:r>
      <w:r w:rsidDel="00000000" w:rsidR="00000000" w:rsidRPr="00000000">
        <w:rPr>
          <w:rFonts w:ascii="Palatino Linotype" w:cs="Palatino Linotype" w:eastAsia="Palatino Linotype" w:hAnsi="Palatino Linotype"/>
          <w:i w:val="1"/>
          <w:iCs w:val="1"/>
          <w:sz w:val="22"/>
          <w:szCs w:val="22"/>
          <w:rtl w:val="0"/>
        </w:rPr>
        <w:t xml:space="preserve"> Ejecutivo, Legislativo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y Judicial</w:t>
      </w:r>
      <w:r w:rsidDel="00000000" w:rsidR="00000000" w:rsidRPr="00000000">
        <w:rPr>
          <w:rFonts w:ascii="Palatino Linotype" w:cs="Palatino Linotype" w:eastAsia="Palatino Linotype" w:hAnsi="Palatino Linotype"/>
          <w:i w:val="1"/>
          <w:iCs w:val="1"/>
          <w:sz w:val="22"/>
          <w:szCs w:val="22"/>
          <w:rtl w:val="0"/>
        </w:rPr>
        <w:t xml:space="preserve">, órganos autónomos, partidos políticos, fideicomisos y fondos públicos, así como de cualquier persona física, moral o sindicato que reciba y ejerza recursos públicos o realice actos de autoridad en el ámbito federal, estatal y municipal, </w:t>
      </w:r>
      <w:r w:rsidDel="00000000" w:rsidR="00000000" w:rsidRPr="00000000">
        <w:rPr>
          <w:rFonts w:ascii="Palatino Linotype" w:cs="Palatino Linotype" w:eastAsia="Palatino Linotype" w:hAnsi="Palatino Linotype"/>
          <w:b w:val="1"/>
          <w:bCs w:val="1"/>
          <w:i w:val="1"/>
          <w:iCs w:val="1"/>
          <w:sz w:val="22"/>
          <w:szCs w:val="22"/>
          <w:rtl w:val="0"/>
        </w:rPr>
        <w:t xml:space="preserve">es pública y sólo podrá ser reservada temporalmente por razones de interés público y seguridad nacional,</w:t>
      </w:r>
      <w:r w:rsidDel="00000000" w:rsidR="00000000" w:rsidRPr="00000000">
        <w:rPr>
          <w:rFonts w:ascii="Palatino Linotype" w:cs="Palatino Linotype" w:eastAsia="Palatino Linotype" w:hAnsi="Palatino Linotype"/>
          <w:i w:val="1"/>
          <w:iCs w:val="1"/>
          <w:sz w:val="22"/>
          <w:szCs w:val="22"/>
          <w:rtl w:val="0"/>
        </w:rPr>
        <w:t xml:space="preserve"> en los términos que fijen las leyes. En la interpretación de este derecho deberá prevalecer el principio de máxima publicidad. Los sujetos obligados deberán documentar todo acto que derive del ejercicio de sus facultades, competencias o funciones, la ley determinará los supuestos específicos bajo los cuales procederá la declaración de inexistencia de la información.</w:t>
      </w:r>
    </w:p>
    <w:p w:rsidR="00000000" w:rsidDel="00000000" w:rsidP="00000000" w:rsidRDefault="00000000" w:rsidRPr="00000000" w14:paraId="0000004B">
      <w:pPr>
        <w:spacing w:line="276" w:lineRule="auto"/>
        <w:ind w:left="567" w:right="851"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 La información que se refiere a la vida privada y los datos personales será protegida en los términos y con las excepciones que fijen las leyes.</w:t>
      </w:r>
    </w:p>
    <w:p w:rsidR="00000000" w:rsidDel="00000000" w:rsidP="00000000" w:rsidRDefault="00000000" w:rsidRPr="00000000" w14:paraId="0000004C">
      <w:pPr>
        <w:spacing w:line="276" w:lineRule="auto"/>
        <w:ind w:left="567" w:right="851"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Toda persona, sin necesidad de acreditar interés alguno o justificar su utilización, tendrá acceso gratuito a la información pública,</w:t>
      </w:r>
      <w:r w:rsidDel="00000000" w:rsidR="00000000" w:rsidRPr="00000000">
        <w:rPr>
          <w:rFonts w:ascii="Palatino Linotype" w:cs="Palatino Linotype" w:eastAsia="Palatino Linotype" w:hAnsi="Palatino Linotype"/>
          <w:i w:val="1"/>
          <w:iCs w:val="1"/>
          <w:sz w:val="22"/>
          <w:szCs w:val="22"/>
          <w:rtl w:val="0"/>
        </w:rPr>
        <w:t xml:space="preserve"> a sus datos personales o a la rectificación de éstos.</w:t>
      </w:r>
    </w:p>
    <w:p w:rsidR="00000000" w:rsidDel="00000000" w:rsidP="00000000" w:rsidRDefault="00000000" w:rsidRPr="00000000" w14:paraId="0000004D">
      <w:pPr>
        <w:spacing w:line="276" w:lineRule="auto"/>
        <w:ind w:left="567" w:right="851"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IV.</w:t>
      </w:r>
      <w:r w:rsidDel="00000000" w:rsidR="00000000" w:rsidRPr="00000000">
        <w:rPr>
          <w:rFonts w:ascii="Palatino Linotype" w:cs="Palatino Linotype" w:eastAsia="Palatino Linotype" w:hAnsi="Palatino Linotype"/>
          <w:i w:val="1"/>
          <w:iCs w:val="1"/>
          <w:sz w:val="22"/>
          <w:szCs w:val="22"/>
          <w:rtl w:val="0"/>
        </w:rPr>
        <w:t xml:space="preserve"> Se establecerán mecanismos de acceso a la información pública y procedimientos de revisión expeditos que se sustanciarán ante las instancias competentes en los términos que fija esta Constitución y las leyes.</w:t>
      </w:r>
    </w:p>
    <w:p w:rsidR="00000000" w:rsidDel="00000000" w:rsidP="00000000" w:rsidRDefault="00000000" w:rsidRPr="00000000" w14:paraId="0000004E">
      <w:pPr>
        <w:spacing w:line="276" w:lineRule="auto"/>
        <w:ind w:left="567" w:right="851"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 </w:t>
      </w:r>
      <w:r w:rsidDel="00000000" w:rsidR="00000000" w:rsidRPr="00000000">
        <w:rPr>
          <w:rFonts w:ascii="Palatino Linotype" w:cs="Palatino Linotype" w:eastAsia="Palatino Linotype" w:hAnsi="Palatino Linotype"/>
          <w:i w:val="1"/>
          <w:iCs w:val="1"/>
          <w:sz w:val="22"/>
          <w:szCs w:val="22"/>
          <w:rtl w:val="0"/>
        </w:rPr>
        <w:t xml:space="preserve">Los sujetos obligados deberán preservar sus documentos en archivos administrativos actualizados y publicarán, a través de los medios electrónicos disponibles, la información completa y actualizada sobre el ejercicio de los recursos públicos y los indicadores que permitan rendir cuenta del cumplimiento de sus objetivos y de los resultados obtenidos.</w:t>
      </w:r>
    </w:p>
    <w:p w:rsidR="00000000" w:rsidDel="00000000" w:rsidP="00000000" w:rsidRDefault="00000000" w:rsidRPr="00000000" w14:paraId="0000004F">
      <w:pPr>
        <w:spacing w:line="276" w:lineRule="auto"/>
        <w:ind w:left="567" w:right="851" w:firstLine="0"/>
        <w:jc w:val="both"/>
        <w:rPr>
          <w:rFonts w:ascii="Palatino Linotype" w:cs="Palatino Linotype" w:eastAsia="Palatino Linotype" w:hAnsi="Palatino Linotype"/>
          <w:b w:val="1"/>
          <w:bCs w:val="1"/>
          <w:i w:val="1"/>
          <w:iCs w:val="1"/>
          <w:sz w:val="22"/>
          <w:szCs w:val="22"/>
        </w:rPr>
      </w:pPr>
      <w:r w:rsidDel="00000000" w:rsidR="00000000" w:rsidRPr="00000000">
        <w:rPr>
          <w:rtl w:val="0"/>
        </w:rPr>
      </w:r>
    </w:p>
    <w:p w:rsidR="00000000" w:rsidDel="00000000" w:rsidP="00000000" w:rsidRDefault="00000000" w:rsidRPr="00000000" w14:paraId="00000050">
      <w:pPr>
        <w:spacing w:line="360" w:lineRule="auto"/>
        <w:ind w:left="567" w:right="851"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51">
      <w:pPr>
        <w:tabs>
          <w:tab w:val="left" w:leader="none" w:pos="709"/>
        </w:tabs>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Así, de la interpretación sistémica de los numerales inmersos en el instrumento legal nacional, el derecho de acceso a la información es un derecho del cual goza toda persona sin discriminación alguna, el cual se ejerce ante los Poderes del Estado, entidades, dependencias o cualquiera persona física o moral que reciba y ejerza recursos públicos, siendo pública toda la información que posean con las excepciones enmarcadas, para lo cual queda demostrado que los Sujetos Obligados deben cumplir con dichos dispositivos legales.</w:t>
      </w:r>
    </w:p>
    <w:p w:rsidR="00000000" w:rsidDel="00000000" w:rsidP="00000000" w:rsidRDefault="00000000" w:rsidRPr="00000000" w14:paraId="00000052">
      <w:pPr>
        <w:tabs>
          <w:tab w:val="left" w:leader="none" w:pos="709"/>
        </w:tabs>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3">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ese orden de ideas, la Ley de Transparencia y Acceso a la Información Pública del Estado de México y Municipios, prevé en su artículo 23, lo siguiente:</w:t>
      </w:r>
    </w:p>
    <w:p w:rsidR="00000000" w:rsidDel="00000000" w:rsidP="00000000" w:rsidRDefault="00000000" w:rsidRPr="00000000" w14:paraId="00000054">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5">
      <w:pPr>
        <w:tabs>
          <w:tab w:val="left" w:leader="none" w:pos="7655"/>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23. Son sujetos obligados a transparentar y permitir el acceso a su información y proteger los datos personales que obren en su poder</w:t>
      </w: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56">
      <w:pPr>
        <w:tabs>
          <w:tab w:val="left" w:leader="none" w:pos="7655"/>
        </w:tabs>
        <w:spacing w:line="276" w:lineRule="auto"/>
        <w:ind w:left="567"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El Poder Ejecutivo del Estado de México, las dependencias, organismos auxiliares,</w:t>
      </w:r>
      <w:r w:rsidDel="00000000" w:rsidR="00000000" w:rsidRPr="00000000">
        <w:rPr>
          <w:rFonts w:ascii="Palatino Linotype" w:cs="Palatino Linotype" w:eastAsia="Palatino Linotype" w:hAnsi="Palatino Linotype"/>
          <w:b w:val="1"/>
          <w:bCs w:val="1"/>
          <w:i w:val="1"/>
          <w:iCs w:val="1"/>
          <w:sz w:val="22"/>
          <w:szCs w:val="22"/>
          <w:rtl w:val="0"/>
        </w:rPr>
        <w:t xml:space="preserve"> </w:t>
      </w:r>
      <w:r w:rsidDel="00000000" w:rsidR="00000000" w:rsidRPr="00000000">
        <w:rPr>
          <w:rFonts w:ascii="Palatino Linotype" w:cs="Palatino Linotype" w:eastAsia="Palatino Linotype" w:hAnsi="Palatino Linotype"/>
          <w:i w:val="1"/>
          <w:iCs w:val="1"/>
          <w:sz w:val="22"/>
          <w:szCs w:val="22"/>
          <w:rtl w:val="0"/>
        </w:rPr>
        <w:t xml:space="preserve">órganos, entidades, fideicomisos y fondos públicos, así como la Procuraduría General de Justicia;</w:t>
      </w:r>
      <w:r w:rsidDel="00000000" w:rsidR="00000000" w:rsidRPr="00000000">
        <w:rPr>
          <w:rtl w:val="0"/>
        </w:rPr>
      </w:r>
    </w:p>
    <w:p w:rsidR="00000000" w:rsidDel="00000000" w:rsidP="00000000" w:rsidRDefault="00000000" w:rsidRPr="00000000" w14:paraId="00000057">
      <w:pPr>
        <w:tabs>
          <w:tab w:val="left" w:leader="none" w:pos="7655"/>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El Poder Legislativo del Estado, los organismos, órganos y entidades de la Legislatura y sus dependencias;</w:t>
      </w:r>
    </w:p>
    <w:p w:rsidR="00000000" w:rsidDel="00000000" w:rsidP="00000000" w:rsidRDefault="00000000" w:rsidRPr="00000000" w14:paraId="00000058">
      <w:pPr>
        <w:tabs>
          <w:tab w:val="left" w:leader="none" w:pos="7655"/>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w:t>
      </w:r>
      <w:r w:rsidDel="00000000" w:rsidR="00000000" w:rsidRPr="00000000">
        <w:rPr>
          <w:rFonts w:ascii="Palatino Linotype" w:cs="Palatino Linotype" w:eastAsia="Palatino Linotype" w:hAnsi="Palatino Linotype"/>
          <w:i w:val="1"/>
          <w:iCs w:val="1"/>
          <w:sz w:val="22"/>
          <w:szCs w:val="22"/>
          <w:rtl w:val="0"/>
        </w:rPr>
        <w:t xml:space="preserve"> El Poder Judicial, sus organismos, órganos y entidades, así como el Consejo de la Judicatura del Estado;</w:t>
      </w:r>
    </w:p>
    <w:p w:rsidR="00000000" w:rsidDel="00000000" w:rsidP="00000000" w:rsidRDefault="00000000" w:rsidRPr="00000000" w14:paraId="00000059">
      <w:pPr>
        <w:tabs>
          <w:tab w:val="left" w:leader="none" w:pos="7655"/>
        </w:tabs>
        <w:spacing w:line="276" w:lineRule="auto"/>
        <w:ind w:left="567"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IV. Los ayuntamientos y las dependencias, organismos, órganos y entidades de la administración municipal;</w:t>
      </w:r>
    </w:p>
    <w:p w:rsidR="00000000" w:rsidDel="00000000" w:rsidP="00000000" w:rsidRDefault="00000000" w:rsidRPr="00000000" w14:paraId="0000005A">
      <w:pPr>
        <w:tabs>
          <w:tab w:val="left" w:leader="none" w:pos="7655"/>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w:t>
      </w:r>
      <w:r w:rsidDel="00000000" w:rsidR="00000000" w:rsidRPr="00000000">
        <w:rPr>
          <w:rFonts w:ascii="Palatino Linotype" w:cs="Palatino Linotype" w:eastAsia="Palatino Linotype" w:hAnsi="Palatino Linotype"/>
          <w:i w:val="1"/>
          <w:iCs w:val="1"/>
          <w:sz w:val="22"/>
          <w:szCs w:val="22"/>
          <w:rtl w:val="0"/>
        </w:rPr>
        <w:t xml:space="preserve"> Los órganos autónomos;</w:t>
      </w:r>
    </w:p>
    <w:p w:rsidR="00000000" w:rsidDel="00000000" w:rsidP="00000000" w:rsidRDefault="00000000" w:rsidRPr="00000000" w14:paraId="0000005B">
      <w:pPr>
        <w:tabs>
          <w:tab w:val="left" w:leader="none" w:pos="7655"/>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VI.</w:t>
      </w:r>
      <w:r w:rsidDel="00000000" w:rsidR="00000000" w:rsidRPr="00000000">
        <w:rPr>
          <w:rFonts w:ascii="Palatino Linotype" w:cs="Palatino Linotype" w:eastAsia="Palatino Linotype" w:hAnsi="Palatino Linotype"/>
          <w:i w:val="1"/>
          <w:iCs w:val="1"/>
          <w:sz w:val="22"/>
          <w:szCs w:val="22"/>
          <w:rtl w:val="0"/>
        </w:rPr>
        <w:t xml:space="preserve"> Los tribunales administrativos y autoridades jurisdiccionales en materia laboral;</w:t>
      </w:r>
    </w:p>
    <w:p w:rsidR="00000000" w:rsidDel="00000000" w:rsidP="00000000" w:rsidRDefault="00000000" w:rsidRPr="00000000" w14:paraId="0000005C">
      <w:pPr>
        <w:tabs>
          <w:tab w:val="left" w:leader="none" w:pos="7655"/>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VII.</w:t>
      </w:r>
      <w:r w:rsidDel="00000000" w:rsidR="00000000" w:rsidRPr="00000000">
        <w:rPr>
          <w:rFonts w:ascii="Palatino Linotype" w:cs="Palatino Linotype" w:eastAsia="Palatino Linotype" w:hAnsi="Palatino Linotype"/>
          <w:i w:val="1"/>
          <w:iCs w:val="1"/>
          <w:sz w:val="22"/>
          <w:szCs w:val="22"/>
          <w:rtl w:val="0"/>
        </w:rPr>
        <w:t xml:space="preserve"> Los partidos políticos y agrupaciones políticas, en los términos de las disposiciones aplicables;</w:t>
      </w:r>
    </w:p>
    <w:p w:rsidR="00000000" w:rsidDel="00000000" w:rsidP="00000000" w:rsidRDefault="00000000" w:rsidRPr="00000000" w14:paraId="0000005D">
      <w:pPr>
        <w:tabs>
          <w:tab w:val="left" w:leader="none" w:pos="7655"/>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VIII.</w:t>
      </w:r>
      <w:r w:rsidDel="00000000" w:rsidR="00000000" w:rsidRPr="00000000">
        <w:rPr>
          <w:rFonts w:ascii="Palatino Linotype" w:cs="Palatino Linotype" w:eastAsia="Palatino Linotype" w:hAnsi="Palatino Linotype"/>
          <w:i w:val="1"/>
          <w:iCs w:val="1"/>
          <w:sz w:val="22"/>
          <w:szCs w:val="22"/>
          <w:rtl w:val="0"/>
        </w:rPr>
        <w:t xml:space="preserve"> Los fideicomisos y fondos públicos que cuenten con financiamiento público, parcial o total, o con participación de entidades de gobierno;</w:t>
      </w:r>
    </w:p>
    <w:p w:rsidR="00000000" w:rsidDel="00000000" w:rsidP="00000000" w:rsidRDefault="00000000" w:rsidRPr="00000000" w14:paraId="0000005E">
      <w:pPr>
        <w:tabs>
          <w:tab w:val="left" w:leader="none" w:pos="7655"/>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IX.</w:t>
      </w:r>
      <w:r w:rsidDel="00000000" w:rsidR="00000000" w:rsidRPr="00000000">
        <w:rPr>
          <w:rFonts w:ascii="Palatino Linotype" w:cs="Palatino Linotype" w:eastAsia="Palatino Linotype" w:hAnsi="Palatino Linotype"/>
          <w:i w:val="1"/>
          <w:iCs w:val="1"/>
          <w:sz w:val="22"/>
          <w:szCs w:val="22"/>
          <w:rtl w:val="0"/>
        </w:rPr>
        <w:t xml:space="preserve"> Los sindicatos que reciban y/o ejerzan recursos públicos en el ámbito estatal y municipal;</w:t>
      </w:r>
    </w:p>
    <w:p w:rsidR="00000000" w:rsidDel="00000000" w:rsidP="00000000" w:rsidRDefault="00000000" w:rsidRPr="00000000" w14:paraId="0000005F">
      <w:pPr>
        <w:tabs>
          <w:tab w:val="left" w:leader="none" w:pos="7655"/>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w:t>
      </w:r>
      <w:r w:rsidDel="00000000" w:rsidR="00000000" w:rsidRPr="00000000">
        <w:rPr>
          <w:rFonts w:ascii="Palatino Linotype" w:cs="Palatino Linotype" w:eastAsia="Palatino Linotype" w:hAnsi="Palatino Linotype"/>
          <w:i w:val="1"/>
          <w:iCs w:val="1"/>
          <w:sz w:val="22"/>
          <w:szCs w:val="22"/>
          <w:rtl w:val="0"/>
        </w:rPr>
        <w:t xml:space="preserve"> Cualquier persona física o jurídico colectiva que reciba y ejerza recursos públicos en el ámbito estatal o municipal; y</w:t>
      </w:r>
    </w:p>
    <w:p w:rsidR="00000000" w:rsidDel="00000000" w:rsidP="00000000" w:rsidRDefault="00000000" w:rsidRPr="00000000" w14:paraId="00000060">
      <w:pPr>
        <w:tabs>
          <w:tab w:val="left" w:leader="none" w:pos="7655"/>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XI.</w:t>
      </w:r>
      <w:r w:rsidDel="00000000" w:rsidR="00000000" w:rsidRPr="00000000">
        <w:rPr>
          <w:rFonts w:ascii="Palatino Linotype" w:cs="Palatino Linotype" w:eastAsia="Palatino Linotype" w:hAnsi="Palatino Linotype"/>
          <w:i w:val="1"/>
          <w:iCs w:val="1"/>
          <w:sz w:val="22"/>
          <w:szCs w:val="22"/>
          <w:rtl w:val="0"/>
        </w:rPr>
        <w:t xml:space="preserve"> Cualquier otra autoridad, entidad, órgano u organismo de los poderes estatal o municipal, que reciba recursos públicos.</w:t>
      </w:r>
    </w:p>
    <w:p w:rsidR="00000000" w:rsidDel="00000000" w:rsidP="00000000" w:rsidRDefault="00000000" w:rsidRPr="00000000" w14:paraId="00000061">
      <w:pPr>
        <w:tabs>
          <w:tab w:val="left" w:leader="none" w:pos="7655"/>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Los sujetos obligados deberán hacer pública toda aquella información relativa a los montos y las personas a quienes entreguen, por cualquier motivo, recursos públicos, así como los informes que dichas personas les entreguen sobre el uso y destino de dichos recursos.</w:t>
      </w:r>
    </w:p>
    <w:p w:rsidR="00000000" w:rsidDel="00000000" w:rsidP="00000000" w:rsidRDefault="00000000" w:rsidRPr="00000000" w14:paraId="00000062">
      <w:pPr>
        <w:tabs>
          <w:tab w:val="left" w:leader="none" w:pos="7655"/>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Los servidores públicos deberán transparentar sus acciones, así como garantizar y respetar el derecho de acceso a la información pública</w:t>
      </w: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63">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4">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así que, conforme a los preceptos legales citados, se desprende que el derecho de acceso a la información pública es un derecho individual que puede ser ejercido ante cualquier autoridad, entidad, órgano u organismo, tanto federales, como estatales, de la Ciudad de México o Municipales, con el fin de que los particulares conozcan toda aquella información que es considerada como pública. </w:t>
      </w:r>
    </w:p>
    <w:p w:rsidR="00000000" w:rsidDel="00000000" w:rsidP="00000000" w:rsidRDefault="00000000" w:rsidRPr="00000000" w14:paraId="00000065">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6">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esa tesitura, este Instituto no omite señalar que los Sujetos Obligados deben contar con un área responsable para la atención de las solicitudes de información, a la que se le denominará Unidad de Transparencia; asimismo, deben designar a un responsable para atender dicha Unidad, quien fungirá como enlace entre éstos y los solicitantes. </w:t>
      </w:r>
    </w:p>
    <w:p w:rsidR="00000000" w:rsidDel="00000000" w:rsidP="00000000" w:rsidRDefault="00000000" w:rsidRPr="00000000" w14:paraId="00000067">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8">
      <w:pPr>
        <w:widowControl w:val="0"/>
        <w:tabs>
          <w:tab w:val="left" w:leader="none" w:pos="1276"/>
        </w:tabs>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Dicho lo anterior, se precisa que la ya mencionada Unidad de Transparencia es la encargada de tramitar internamente las solicitudes de información y tiene la responsabilidad de verificar, en cada caso, que la información no tenga el carácter de confidencial o reservada, en términos de los artículos 50 y 51 de la Ley de Transparencia y Acceso a la Información Pública del Estado de México y Municipios.</w:t>
      </w:r>
    </w:p>
    <w:p w:rsidR="00000000" w:rsidDel="00000000" w:rsidP="00000000" w:rsidRDefault="00000000" w:rsidRPr="00000000" w14:paraId="00000069">
      <w:pPr>
        <w:widowControl w:val="0"/>
        <w:tabs>
          <w:tab w:val="left" w:leader="none" w:pos="1276"/>
        </w:tabs>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A">
      <w:pPr>
        <w:widowControl w:val="0"/>
        <w:tabs>
          <w:tab w:val="left" w:leader="none" w:pos="1276"/>
        </w:tabs>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su parte, el artículo 53, fracciones II, IV y V de la Ley antes citada establece que las Unidades de Transparencia tienen, entre otras, las funciones de recibir, tramitar y dar respuesta a las solicitudes de acceso a la información; realizar, con efectividad, los trámites internos necesarios para la atención de las solicitudes de acceso a la información; así como, entregar, en su caso, a los particulares la información solicitada.</w:t>
      </w:r>
    </w:p>
    <w:p w:rsidR="00000000" w:rsidDel="00000000" w:rsidP="00000000" w:rsidRDefault="00000000" w:rsidRPr="00000000" w14:paraId="0000006B">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C">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Asimismo, el diverso artículo 54 de la Ley de Transparencia y Acceso a la Información Pública del Estado de México y Municipios establece que cuando alguna área de los Sujetos Obligados se negara a colaborar con la Unidad de Transparencia, ésta dará aviso al superior jerárquico para que le ordene realizar sin demora las acciones conducentes y en caso de que persista la negativa de colaboración, hará del conocimiento de la autoridad competente para que se inicie, en su caso, el procedimiento de responsabilidad respectivo.</w:t>
      </w:r>
    </w:p>
    <w:p w:rsidR="00000000" w:rsidDel="00000000" w:rsidP="00000000" w:rsidRDefault="00000000" w:rsidRPr="00000000" w14:paraId="0000006D">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E">
      <w:pPr>
        <w:widowControl w:val="0"/>
        <w:tabs>
          <w:tab w:val="left" w:leader="none" w:pos="1276"/>
        </w:tabs>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igual forma, el diverso artículo 59, fracciones I, II y III de la multicitada legislación Sustantiva, establece que los Servidores Públicos Habilitados deben localizar la información que le solicite la Unidad de Transparencia; proporcionar la misma y apoyarla en lo que ésta le solicite para el cumplimiento de sus funciones.</w:t>
      </w:r>
    </w:p>
    <w:p w:rsidR="00000000" w:rsidDel="00000000" w:rsidP="00000000" w:rsidRDefault="00000000" w:rsidRPr="00000000" w14:paraId="0000006F">
      <w:pPr>
        <w:widowControl w:val="0"/>
        <w:tabs>
          <w:tab w:val="left" w:leader="none" w:pos="1276"/>
        </w:tabs>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0">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Finalmente, se destaca que de conformidad con el artículo 163 de la legislación en cita, se desprende que la Unidad de Transparencia debe notificar la respuesta a las solicitudes de acceso a la información, en el menor tiempo posible, que no podrá exceder de quince días hábiles, teniendo como excepción al plazo referido, una prórroga de hasta siete días hábiles adicionales, siempre y cuando existan razones fundadas y motivadas, las cuales deberán ser aprobadas por el Comité de Transparencia. Situación que en la especie no aconteció. </w:t>
      </w:r>
    </w:p>
    <w:p w:rsidR="00000000" w:rsidDel="00000000" w:rsidP="00000000" w:rsidRDefault="00000000" w:rsidRPr="00000000" w14:paraId="00000071">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2">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Sirve de sustento a lo anterior, el precepto legal en cita:</w:t>
      </w:r>
    </w:p>
    <w:p w:rsidR="00000000" w:rsidDel="00000000" w:rsidP="00000000" w:rsidRDefault="00000000" w:rsidRPr="00000000" w14:paraId="00000073">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4">
      <w:pPr>
        <w:spacing w:line="276" w:lineRule="auto"/>
        <w:ind w:left="567"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163. La Unidad de Transparencia deberá notificar la respuesta a la solicitud al interesado en el menor tiempo posible, que no podrá exceder de quince días hábiles</w:t>
      </w:r>
      <w:r w:rsidDel="00000000" w:rsidR="00000000" w:rsidRPr="00000000">
        <w:rPr>
          <w:rFonts w:ascii="Palatino Linotype" w:cs="Palatino Linotype" w:eastAsia="Palatino Linotype" w:hAnsi="Palatino Linotype"/>
          <w:i w:val="1"/>
          <w:iCs w:val="1"/>
          <w:sz w:val="22"/>
          <w:szCs w:val="22"/>
          <w:rtl w:val="0"/>
        </w:rPr>
        <w:t xml:space="preserve">, contados a partir del día siguiente a la presentación de aquélla. </w:t>
      </w:r>
    </w:p>
    <w:p w:rsidR="00000000" w:rsidDel="00000000" w:rsidP="00000000" w:rsidRDefault="00000000" w:rsidRPr="00000000" w14:paraId="00000075">
      <w:pPr>
        <w:spacing w:line="276" w:lineRule="auto"/>
        <w:ind w:left="567"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Excepcionalmente, el plazo referido en el párrafo anterior podrá ampliarse hasta por siete días hábiles más, siempre y cuando existan razones fundadas y motivadas, las cuales deberán ser aprobadas por el Comité de Transparencia, mediante la emisión de una resolución que deberá notificarse al solicitante, antes de su vencimiento. No podrán invocarse como causales de ampliación del plazo motivos que supongan negligencia o descuido del sujeto obligado en el desahogo de la solicitud.”</w:t>
      </w:r>
    </w:p>
    <w:p w:rsidR="00000000" w:rsidDel="00000000" w:rsidP="00000000" w:rsidRDefault="00000000" w:rsidRPr="00000000" w14:paraId="00000076">
      <w:pPr>
        <w:spacing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77">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mérito de lo expuesto, es claro que en este caso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incumplió la normativa en la materia, puesto que no dio trámite ni respuesta a la solicitud de acceso a la información, limitando el derecho de acceso a la información, accionado por la persona solicitante.</w:t>
      </w:r>
    </w:p>
    <w:p w:rsidR="00000000" w:rsidDel="00000000" w:rsidP="00000000" w:rsidRDefault="00000000" w:rsidRPr="00000000" w14:paraId="0000007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9">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Consecuentemente, este Instituto estima necesario reiterar que, de conformidad con el artículo 150 de la Ley de Transparencia y Acceso a la Información Pública del Estado de México y Municipios, el procedimiento de acceso a la información es la garantía primaria del derecho en cuestión y se rige por los principios de simplicidad, rapidez gratuidad del procedimiento, auxilio y orientación a los particulares; así como, atención adecuada a las personas con discapacidad y a los hablantes de lengua indígena con el objeto de otorgar la protección más amplia del derecho de las personas. </w:t>
      </w:r>
    </w:p>
    <w:p w:rsidR="00000000" w:rsidDel="00000000" w:rsidP="00000000" w:rsidRDefault="00000000" w:rsidRPr="00000000" w14:paraId="0000007A">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B">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Aunado a lo anterior, este Instituto estima dable referir lo que dispone el artículo 172, último párrafo de la Ley de Transparencia y Acceso a la Información Pública del Estado de México y Municipios, el cual refiere que los argumentos para justificar cualquier negativa de acceso a la información deben recaer en </w:t>
      </w:r>
      <w:r w:rsidDel="00000000" w:rsidR="00000000" w:rsidRPr="00000000">
        <w:rPr>
          <w:rFonts w:ascii="Palatino Linotype" w:cs="Palatino Linotype" w:eastAsia="Palatino Linotype" w:hAnsi="Palatino Linotype"/>
          <w:b w:val="1"/>
          <w:bCs w:val="1"/>
          <w:sz w:val="22"/>
          <w:szCs w:val="22"/>
          <w:rtl w:val="0"/>
        </w:rPr>
        <w:t xml:space="preserve">el Sujeto Obligado</w:t>
      </w:r>
      <w:r w:rsidDel="00000000" w:rsidR="00000000" w:rsidRPr="00000000">
        <w:rPr>
          <w:rFonts w:ascii="Palatino Linotype" w:cs="Palatino Linotype" w:eastAsia="Palatino Linotype" w:hAnsi="Palatino Linotype"/>
          <w:sz w:val="22"/>
          <w:szCs w:val="22"/>
          <w:rtl w:val="0"/>
        </w:rPr>
        <w:t xml:space="preserve">; por lo que, en caso de no atender de manera positiva</w:t>
      </w:r>
      <w:r w:rsidDel="00000000" w:rsidR="00000000" w:rsidRPr="00000000">
        <w:rPr>
          <w:rFonts w:ascii="Palatino Linotype" w:cs="Palatino Linotype" w:eastAsia="Palatino Linotype" w:hAnsi="Palatino Linotype"/>
          <w:sz w:val="22"/>
          <w:szCs w:val="22"/>
          <w:vertAlign w:val="superscript"/>
        </w:rPr>
        <w:footnoteReference w:customMarkFollows="0" w:id="1"/>
      </w:r>
      <w:r w:rsidDel="00000000" w:rsidR="00000000" w:rsidRPr="00000000">
        <w:rPr>
          <w:rFonts w:ascii="Palatino Linotype" w:cs="Palatino Linotype" w:eastAsia="Palatino Linotype" w:hAnsi="Palatino Linotype"/>
          <w:sz w:val="22"/>
          <w:szCs w:val="22"/>
          <w:rtl w:val="0"/>
        </w:rPr>
        <w:t xml:space="preserve">, el requerimiento de información deberá manifestarse al respecto.</w:t>
      </w:r>
    </w:p>
    <w:p w:rsidR="00000000" w:rsidDel="00000000" w:rsidP="00000000" w:rsidRDefault="00000000" w:rsidRPr="00000000" w14:paraId="0000007C">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D">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E">
      <w:pPr>
        <w:numPr>
          <w:ilvl w:val="0"/>
          <w:numId w:val="3"/>
        </w:numPr>
        <w:pBdr>
          <w:top w:space="0" w:sz="0" w:val="nil"/>
          <w:left w:space="0" w:sz="0" w:val="nil"/>
          <w:bottom w:space="0" w:sz="0" w:val="nil"/>
          <w:right w:space="0" w:sz="0" w:val="nil"/>
          <w:between w:space="0" w:sz="0" w:val="nil"/>
        </w:pBdr>
        <w:spacing w:line="360" w:lineRule="auto"/>
        <w:ind w:left="720" w:hanging="360"/>
        <w:jc w:val="both"/>
        <w:rPr>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De la clasificación de la información.</w:t>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line="360" w:lineRule="auto"/>
        <w:ind w:left="720" w:firstLine="0"/>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80">
      <w:pPr>
        <w:spacing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Ahora bien, en atención al sentido en que se resuelve el presente medio de impugnación, este Organismo Garante no omite señalar que, el derecho de acceso a la información puede ser restringido de manera excepcional por razones de interés público, en los términos de las causas legítimas y estrictamente necesarias previstas por la Ley, a través de la clasificación de la información como confidencial o reservada para permitir el acceso, como se desprende del artículo 91 de la Ley de la Materia que es del tenor literal siguiente:</w:t>
      </w:r>
    </w:p>
    <w:p w:rsidR="00000000" w:rsidDel="00000000" w:rsidP="00000000" w:rsidRDefault="00000000" w:rsidRPr="00000000" w14:paraId="00000081">
      <w:pPr>
        <w:spacing w:line="360" w:lineRule="auto"/>
        <w:ind w:right="51"/>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82">
      <w:pPr>
        <w:spacing w:line="276"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91. </w:t>
      </w:r>
      <w:r w:rsidDel="00000000" w:rsidR="00000000" w:rsidRPr="00000000">
        <w:rPr>
          <w:rFonts w:ascii="Palatino Linotype" w:cs="Palatino Linotype" w:eastAsia="Palatino Linotype" w:hAnsi="Palatino Linotype"/>
          <w:i w:val="1"/>
          <w:iCs w:val="1"/>
          <w:sz w:val="22"/>
          <w:szCs w:val="22"/>
          <w:rtl w:val="0"/>
        </w:rPr>
        <w:t xml:space="preserve">El acceso a la información pública será restringido excepcionalmente, cuando ésta sea clasificada como reservada o confidencial.”</w:t>
      </w:r>
    </w:p>
    <w:p w:rsidR="00000000" w:rsidDel="00000000" w:rsidP="00000000" w:rsidRDefault="00000000" w:rsidRPr="00000000" w14:paraId="00000083">
      <w:pPr>
        <w:spacing w:line="36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84">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Entendiéndose como información reservada aquella que se clasifica de manera temporal cuya divulgación pueda causar algún daño; y como información confidencial, la relacionada con los secretos bancario, fiduciario, industrial, comercial, fiscal, bursátil y postal, cuya titularidad corresponde a particulares, sujetos de derecho internacional o a Sujetos Obligados cuando no involucren el ejercicio de recursos públicos, así como la información privada contenida en documentos públicos o privados que refiera a la vida privada y/o los datos personales, que no son de acceso público. </w:t>
      </w:r>
    </w:p>
    <w:p w:rsidR="00000000" w:rsidDel="00000000" w:rsidP="00000000" w:rsidRDefault="00000000" w:rsidRPr="00000000" w14:paraId="00000085">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manera que, la Ley de Transparencia y Acceso a la Información Pública del Estado de México y Municipios, en sus artículos 140 y 143 prevé los siguientes supuestos para clasificar la información como reservada o confidencial:</w:t>
      </w:r>
    </w:p>
    <w:p w:rsidR="00000000" w:rsidDel="00000000" w:rsidP="00000000" w:rsidRDefault="00000000" w:rsidRPr="00000000" w14:paraId="00000086">
      <w:pPr>
        <w:tabs>
          <w:tab w:val="left" w:leader="none" w:pos="567"/>
        </w:tabs>
        <w:spacing w:line="276" w:lineRule="auto"/>
        <w:ind w:left="567" w:right="616" w:firstLine="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87">
      <w:pPr>
        <w:tabs>
          <w:tab w:val="left" w:leader="none" w:pos="567"/>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140. </w:t>
      </w:r>
      <w:r w:rsidDel="00000000" w:rsidR="00000000" w:rsidRPr="00000000">
        <w:rPr>
          <w:rFonts w:ascii="Palatino Linotype" w:cs="Palatino Linotype" w:eastAsia="Palatino Linotype" w:hAnsi="Palatino Linotype"/>
          <w:i w:val="1"/>
          <w:iCs w:val="1"/>
          <w:sz w:val="22"/>
          <w:szCs w:val="22"/>
          <w:rtl w:val="0"/>
        </w:rPr>
        <w:t xml:space="preserve">El acceso a la información pública será restringido excepcionalmente, cuando por razones de interés público, ésta sea clasificada como reservada, conforme a los criterios siguientes:</w:t>
      </w:r>
    </w:p>
    <w:p w:rsidR="00000000" w:rsidDel="00000000" w:rsidP="00000000" w:rsidRDefault="00000000" w:rsidRPr="00000000" w14:paraId="00000088">
      <w:pPr>
        <w:tabs>
          <w:tab w:val="left" w:leader="none" w:pos="567"/>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 </w:t>
      </w:r>
      <w:r w:rsidDel="00000000" w:rsidR="00000000" w:rsidRPr="00000000">
        <w:rPr>
          <w:rFonts w:ascii="Palatino Linotype" w:cs="Palatino Linotype" w:eastAsia="Palatino Linotype" w:hAnsi="Palatino Linotype"/>
          <w:i w:val="1"/>
          <w:iCs w:val="1"/>
          <w:sz w:val="22"/>
          <w:szCs w:val="22"/>
          <w:rtl w:val="0"/>
        </w:rPr>
        <w:t xml:space="preserve">Comprometa la seguridad pública y cuente con un propósito genuino y un efecto demostrable;</w:t>
      </w:r>
    </w:p>
    <w:p w:rsidR="00000000" w:rsidDel="00000000" w:rsidP="00000000" w:rsidRDefault="00000000" w:rsidRPr="00000000" w14:paraId="00000089">
      <w:pPr>
        <w:tabs>
          <w:tab w:val="left" w:leader="none" w:pos="567"/>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 </w:t>
      </w:r>
      <w:r w:rsidDel="00000000" w:rsidR="00000000" w:rsidRPr="00000000">
        <w:rPr>
          <w:rFonts w:ascii="Palatino Linotype" w:cs="Palatino Linotype" w:eastAsia="Palatino Linotype" w:hAnsi="Palatino Linotype"/>
          <w:i w:val="1"/>
          <w:iCs w:val="1"/>
          <w:sz w:val="22"/>
          <w:szCs w:val="22"/>
          <w:rtl w:val="0"/>
        </w:rPr>
        <w:t xml:space="preserve">Pueda menoscabar la conducción de las negociaciones y relaciones internacionales;</w:t>
      </w:r>
    </w:p>
    <w:p w:rsidR="00000000" w:rsidDel="00000000" w:rsidP="00000000" w:rsidRDefault="00000000" w:rsidRPr="00000000" w14:paraId="0000008A">
      <w:pPr>
        <w:tabs>
          <w:tab w:val="left" w:leader="none" w:pos="567"/>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 </w:t>
      </w:r>
      <w:r w:rsidDel="00000000" w:rsidR="00000000" w:rsidRPr="00000000">
        <w:rPr>
          <w:rFonts w:ascii="Palatino Linotype" w:cs="Palatino Linotype" w:eastAsia="Palatino Linotype" w:hAnsi="Palatino Linotype"/>
          <w:i w:val="1"/>
          <w:iCs w:val="1"/>
          <w:sz w:val="22"/>
          <w:szCs w:val="22"/>
          <w:rtl w:val="0"/>
        </w:rPr>
        <w:t xml:space="preserve">Se entregue a la Entidad expresamente con ese carácter o el de confidencialidad por otro u otros sujetos de derecho internacional, excepto cuando se trate de violaciones graves de derechos humanos o delitos de lesa humanidad de conformidad con el derecho internacional;</w:t>
      </w:r>
    </w:p>
    <w:p w:rsidR="00000000" w:rsidDel="00000000" w:rsidP="00000000" w:rsidRDefault="00000000" w:rsidRPr="00000000" w14:paraId="0000008B">
      <w:pPr>
        <w:tabs>
          <w:tab w:val="left" w:leader="none" w:pos="567"/>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IV. </w:t>
      </w:r>
      <w:r w:rsidDel="00000000" w:rsidR="00000000" w:rsidRPr="00000000">
        <w:rPr>
          <w:rFonts w:ascii="Palatino Linotype" w:cs="Palatino Linotype" w:eastAsia="Palatino Linotype" w:hAnsi="Palatino Linotype"/>
          <w:i w:val="1"/>
          <w:iCs w:val="1"/>
          <w:sz w:val="22"/>
          <w:szCs w:val="22"/>
          <w:rtl w:val="0"/>
        </w:rPr>
        <w:t xml:space="preserve">Ponga en riesgo la vida, la seguridad o la salud de una persona física;</w:t>
      </w:r>
    </w:p>
    <w:p w:rsidR="00000000" w:rsidDel="00000000" w:rsidP="00000000" w:rsidRDefault="00000000" w:rsidRPr="00000000" w14:paraId="0000008C">
      <w:pPr>
        <w:tabs>
          <w:tab w:val="left" w:leader="none" w:pos="567"/>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 </w:t>
      </w:r>
      <w:r w:rsidDel="00000000" w:rsidR="00000000" w:rsidRPr="00000000">
        <w:rPr>
          <w:rFonts w:ascii="Palatino Linotype" w:cs="Palatino Linotype" w:eastAsia="Palatino Linotype" w:hAnsi="Palatino Linotype"/>
          <w:i w:val="1"/>
          <w:iCs w:val="1"/>
          <w:sz w:val="22"/>
          <w:szCs w:val="22"/>
          <w:rtl w:val="0"/>
        </w:rPr>
        <w:t xml:space="preserve">Aquella cuya divulgación obstruya o pueda causar un serio perjuicio a:</w:t>
      </w:r>
    </w:p>
    <w:p w:rsidR="00000000" w:rsidDel="00000000" w:rsidP="00000000" w:rsidRDefault="00000000" w:rsidRPr="00000000" w14:paraId="0000008D">
      <w:pPr>
        <w:tabs>
          <w:tab w:val="left" w:leader="none" w:pos="567"/>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1. </w:t>
      </w:r>
      <w:r w:rsidDel="00000000" w:rsidR="00000000" w:rsidRPr="00000000">
        <w:rPr>
          <w:rFonts w:ascii="Palatino Linotype" w:cs="Palatino Linotype" w:eastAsia="Palatino Linotype" w:hAnsi="Palatino Linotype"/>
          <w:i w:val="1"/>
          <w:iCs w:val="1"/>
          <w:sz w:val="22"/>
          <w:szCs w:val="22"/>
          <w:rtl w:val="0"/>
        </w:rPr>
        <w:t xml:space="preserve">Las actividades de fiscalización, verificación, inspección, comprobación y auditoría sobre el cumplimiento de las Leyes; o </w:t>
      </w:r>
    </w:p>
    <w:p w:rsidR="00000000" w:rsidDel="00000000" w:rsidP="00000000" w:rsidRDefault="00000000" w:rsidRPr="00000000" w14:paraId="0000008E">
      <w:pPr>
        <w:tabs>
          <w:tab w:val="left" w:leader="none" w:pos="567"/>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2. </w:t>
      </w:r>
      <w:r w:rsidDel="00000000" w:rsidR="00000000" w:rsidRPr="00000000">
        <w:rPr>
          <w:rFonts w:ascii="Palatino Linotype" w:cs="Palatino Linotype" w:eastAsia="Palatino Linotype" w:hAnsi="Palatino Linotype"/>
          <w:i w:val="1"/>
          <w:iCs w:val="1"/>
          <w:sz w:val="22"/>
          <w:szCs w:val="22"/>
          <w:rtl w:val="0"/>
        </w:rPr>
        <w:t xml:space="preserve">La recaudación de las contribuciones.</w:t>
      </w:r>
    </w:p>
    <w:p w:rsidR="00000000" w:rsidDel="00000000" w:rsidP="00000000" w:rsidRDefault="00000000" w:rsidRPr="00000000" w14:paraId="0000008F">
      <w:pPr>
        <w:tabs>
          <w:tab w:val="left" w:leader="none" w:pos="567"/>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VI. </w:t>
      </w:r>
      <w:r w:rsidDel="00000000" w:rsidR="00000000" w:rsidRPr="00000000">
        <w:rPr>
          <w:rFonts w:ascii="Palatino Linotype" w:cs="Palatino Linotype" w:eastAsia="Palatino Linotype" w:hAnsi="Palatino Linotype"/>
          <w:i w:val="1"/>
          <w:iCs w:val="1"/>
          <w:sz w:val="22"/>
          <w:szCs w:val="22"/>
          <w:rtl w:val="0"/>
        </w:rPr>
        <w:t xml:space="preserve">Pueda causar daño u obstruya la prevención o persecución de los delitos, altere el proceso de investigación de las carpetas de investigación, afecte o vulnere la conducción o los derechos del debido proceso en los procedimientos judiciales o administrativos, incluidos los de quejas, denuncias, inconformidades, responsabilidades administrativas y resarcitorias en tanto no hayan quedado firmes o afecte la administración de justicia o la seguridad de un denunciante, querellante o testigo, así como sus familias, en los términos de las disposiciones jurídicas aplicables;</w:t>
      </w:r>
    </w:p>
    <w:p w:rsidR="00000000" w:rsidDel="00000000" w:rsidP="00000000" w:rsidRDefault="00000000" w:rsidRPr="00000000" w14:paraId="00000090">
      <w:pPr>
        <w:tabs>
          <w:tab w:val="left" w:leader="none" w:pos="567"/>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VII. </w:t>
      </w:r>
      <w:r w:rsidDel="00000000" w:rsidR="00000000" w:rsidRPr="00000000">
        <w:rPr>
          <w:rFonts w:ascii="Palatino Linotype" w:cs="Palatino Linotype" w:eastAsia="Palatino Linotype" w:hAnsi="Palatino Linotype"/>
          <w:i w:val="1"/>
          <w:iCs w:val="1"/>
          <w:sz w:val="22"/>
          <w:szCs w:val="22"/>
          <w:rtl w:val="0"/>
        </w:rPr>
        <w:t xml:space="preserve">La que contengan las opiniones, recomendaciones o puntos de vista que formen parte del proceso deliberativo de los servidores públicos, hasta en tanto sea adoptada la decisión definitiva, la cual deberá estar documentada;</w:t>
      </w:r>
    </w:p>
    <w:p w:rsidR="00000000" w:rsidDel="00000000" w:rsidP="00000000" w:rsidRDefault="00000000" w:rsidRPr="00000000" w14:paraId="00000091">
      <w:pPr>
        <w:tabs>
          <w:tab w:val="left" w:leader="none" w:pos="567"/>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VIII</w:t>
      </w:r>
      <w:r w:rsidDel="00000000" w:rsidR="00000000" w:rsidRPr="00000000">
        <w:rPr>
          <w:rFonts w:ascii="Palatino Linotype" w:cs="Palatino Linotype" w:eastAsia="Palatino Linotype" w:hAnsi="Palatino Linotype"/>
          <w:i w:val="1"/>
          <w:iCs w:val="1"/>
          <w:sz w:val="22"/>
          <w:szCs w:val="22"/>
          <w:rtl w:val="0"/>
        </w:rPr>
        <w:t xml:space="preserve">. Vulnere la conducción de los expedientes judiciales o de los procedimientos administrativos seguidos en forma de juicio, en tanto no hayan quedado firmes</w:t>
      </w:r>
      <w:r w:rsidDel="00000000" w:rsidR="00000000" w:rsidRPr="00000000">
        <w:rPr>
          <w:rFonts w:ascii="Palatino Linotype" w:cs="Palatino Linotype" w:eastAsia="Palatino Linotype" w:hAnsi="Palatino Linotype"/>
          <w:b w:val="1"/>
          <w:bCs w:val="1"/>
          <w:i w:val="1"/>
          <w:iCs w:val="1"/>
          <w:sz w:val="22"/>
          <w:szCs w:val="22"/>
          <w:rtl w:val="0"/>
        </w:rPr>
        <w:t xml:space="preserve">;</w:t>
      </w:r>
      <w:r w:rsidDel="00000000" w:rsidR="00000000" w:rsidRPr="00000000">
        <w:rPr>
          <w:rtl w:val="0"/>
        </w:rPr>
      </w:r>
    </w:p>
    <w:p w:rsidR="00000000" w:rsidDel="00000000" w:rsidP="00000000" w:rsidRDefault="00000000" w:rsidRPr="00000000" w14:paraId="00000092">
      <w:pPr>
        <w:tabs>
          <w:tab w:val="left" w:leader="none" w:pos="567"/>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IX. </w:t>
      </w:r>
      <w:r w:rsidDel="00000000" w:rsidR="00000000" w:rsidRPr="00000000">
        <w:rPr>
          <w:rFonts w:ascii="Palatino Linotype" w:cs="Palatino Linotype" w:eastAsia="Palatino Linotype" w:hAnsi="Palatino Linotype"/>
          <w:i w:val="1"/>
          <w:iCs w:val="1"/>
          <w:sz w:val="22"/>
          <w:szCs w:val="22"/>
          <w:rtl w:val="0"/>
        </w:rPr>
        <w:t xml:space="preserve">Se encuentre contenida dentro de las investigaciones de hechos que la Ley señale como delitos y se tramiten ante el Ministerio Público;</w:t>
      </w:r>
    </w:p>
    <w:p w:rsidR="00000000" w:rsidDel="00000000" w:rsidP="00000000" w:rsidRDefault="00000000" w:rsidRPr="00000000" w14:paraId="00000093">
      <w:pPr>
        <w:tabs>
          <w:tab w:val="left" w:leader="none" w:pos="567"/>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 </w:t>
      </w:r>
      <w:r w:rsidDel="00000000" w:rsidR="00000000" w:rsidRPr="00000000">
        <w:rPr>
          <w:rFonts w:ascii="Palatino Linotype" w:cs="Palatino Linotype" w:eastAsia="Palatino Linotype" w:hAnsi="Palatino Linotype"/>
          <w:i w:val="1"/>
          <w:iCs w:val="1"/>
          <w:sz w:val="22"/>
          <w:szCs w:val="22"/>
          <w:rtl w:val="0"/>
        </w:rPr>
        <w:t xml:space="preserve">El daño que pueda producirse con la publicación de la información sea mayor que el interés público de conocer la información de referencia, siempre que esté directamente relacionado con procesos o procedimientos administrativos o judiciales que no hayan quedado firmes;</w:t>
      </w:r>
    </w:p>
    <w:p w:rsidR="00000000" w:rsidDel="00000000" w:rsidP="00000000" w:rsidRDefault="00000000" w:rsidRPr="00000000" w14:paraId="00000094">
      <w:pPr>
        <w:tabs>
          <w:tab w:val="left" w:leader="none" w:pos="567"/>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Cuando se trate de información sobre estudios y proyectos cuya divulgación pueda causar daños al interés del Estado o suponga un riesgo para su realización, siempre que esté directamente relacionado con procesos o procedimientos administrativos o judiciales que no hayan quedado firmes; y</w:t>
      </w:r>
    </w:p>
    <w:p w:rsidR="00000000" w:rsidDel="00000000" w:rsidP="00000000" w:rsidRDefault="00000000" w:rsidRPr="00000000" w14:paraId="00000095">
      <w:pPr>
        <w:tabs>
          <w:tab w:val="left" w:leader="none" w:pos="567"/>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XI. </w:t>
      </w:r>
      <w:r w:rsidDel="00000000" w:rsidR="00000000" w:rsidRPr="00000000">
        <w:rPr>
          <w:rFonts w:ascii="Palatino Linotype" w:cs="Palatino Linotype" w:eastAsia="Palatino Linotype" w:hAnsi="Palatino Linotype"/>
          <w:i w:val="1"/>
          <w:iCs w:val="1"/>
          <w:sz w:val="22"/>
          <w:szCs w:val="22"/>
          <w:rtl w:val="0"/>
        </w:rPr>
        <w:t xml:space="preserve">Las que por disposición expresa de una ley tengan tal carácter, siempre que sean acordes con las bases, principios y disposiciones establecidos en esta Ley y no la contravengan; así como las previstas en tratados internacionales.</w:t>
      </w:r>
    </w:p>
    <w:p w:rsidR="00000000" w:rsidDel="00000000" w:rsidP="00000000" w:rsidRDefault="00000000" w:rsidRPr="00000000" w14:paraId="00000096">
      <w:pPr>
        <w:tabs>
          <w:tab w:val="left" w:leader="none" w:pos="567"/>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97">
      <w:pPr>
        <w:tabs>
          <w:tab w:val="left" w:leader="none" w:pos="567"/>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143. </w:t>
      </w:r>
      <w:r w:rsidDel="00000000" w:rsidR="00000000" w:rsidRPr="00000000">
        <w:rPr>
          <w:rFonts w:ascii="Palatino Linotype" w:cs="Palatino Linotype" w:eastAsia="Palatino Linotype" w:hAnsi="Palatino Linotype"/>
          <w:i w:val="1"/>
          <w:iCs w:val="1"/>
          <w:sz w:val="22"/>
          <w:szCs w:val="22"/>
          <w:rtl w:val="0"/>
        </w:rPr>
        <w:t xml:space="preserve">Para los efectos de esta Ley se considera información confidencial, la clasificada como tal, de manera permanente, por su naturaleza, cuando:</w:t>
      </w:r>
    </w:p>
    <w:p w:rsidR="00000000" w:rsidDel="00000000" w:rsidP="00000000" w:rsidRDefault="00000000" w:rsidRPr="00000000" w14:paraId="00000098">
      <w:pPr>
        <w:tabs>
          <w:tab w:val="left" w:leader="none" w:pos="567"/>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 </w:t>
      </w:r>
      <w:r w:rsidDel="00000000" w:rsidR="00000000" w:rsidRPr="00000000">
        <w:rPr>
          <w:rFonts w:ascii="Palatino Linotype" w:cs="Palatino Linotype" w:eastAsia="Palatino Linotype" w:hAnsi="Palatino Linotype"/>
          <w:i w:val="1"/>
          <w:iCs w:val="1"/>
          <w:sz w:val="22"/>
          <w:szCs w:val="22"/>
          <w:rtl w:val="0"/>
        </w:rPr>
        <w:t xml:space="preserve">Se refiera a la información privada y los datos personales concernientes a una persona física o jurídico colectiva identificada o identificable;</w:t>
      </w:r>
    </w:p>
    <w:p w:rsidR="00000000" w:rsidDel="00000000" w:rsidP="00000000" w:rsidRDefault="00000000" w:rsidRPr="00000000" w14:paraId="00000099">
      <w:pPr>
        <w:tabs>
          <w:tab w:val="left" w:leader="none" w:pos="567"/>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 </w:t>
      </w:r>
      <w:r w:rsidDel="00000000" w:rsidR="00000000" w:rsidRPr="00000000">
        <w:rPr>
          <w:rFonts w:ascii="Palatino Linotype" w:cs="Palatino Linotype" w:eastAsia="Palatino Linotype" w:hAnsi="Palatino Linotype"/>
          <w:i w:val="1"/>
          <w:iCs w:val="1"/>
          <w:sz w:val="22"/>
          <w:szCs w:val="22"/>
          <w:rtl w:val="0"/>
        </w:rPr>
        <w:t xml:space="preserve">Los secretos bancario, fiduciario, industrial, comercial, fiscal, bursátil y postal, cuya titularidad corresponda a particulares, sujetos de derecho internacional o a sujetos obligados cuando no involucren el ejercicio de recursos públicos; y</w:t>
      </w:r>
    </w:p>
    <w:p w:rsidR="00000000" w:rsidDel="00000000" w:rsidP="00000000" w:rsidRDefault="00000000" w:rsidRPr="00000000" w14:paraId="0000009A">
      <w:pPr>
        <w:tabs>
          <w:tab w:val="left" w:leader="none" w:pos="567"/>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 </w:t>
      </w:r>
      <w:r w:rsidDel="00000000" w:rsidR="00000000" w:rsidRPr="00000000">
        <w:rPr>
          <w:rFonts w:ascii="Palatino Linotype" w:cs="Palatino Linotype" w:eastAsia="Palatino Linotype" w:hAnsi="Palatino Linotype"/>
          <w:i w:val="1"/>
          <w:iCs w:val="1"/>
          <w:sz w:val="22"/>
          <w:szCs w:val="22"/>
          <w:rtl w:val="0"/>
        </w:rPr>
        <w:t xml:space="preserve">La que presenten los particulares a los sujetos obligados, de conformidad con lo dispuesto por las leyes o los tratados internacionales.</w:t>
      </w:r>
    </w:p>
    <w:p w:rsidR="00000000" w:rsidDel="00000000" w:rsidP="00000000" w:rsidRDefault="00000000" w:rsidRPr="00000000" w14:paraId="0000009B">
      <w:pPr>
        <w:tabs>
          <w:tab w:val="left" w:leader="none" w:pos="567"/>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La información confidencial no estará sujeta a temporalidad alguna y sólo podrán tener acceso a ella los titulares de la misma, sus representantes y los servidores públicos facultados para ello.</w:t>
      </w:r>
    </w:p>
    <w:p w:rsidR="00000000" w:rsidDel="00000000" w:rsidP="00000000" w:rsidRDefault="00000000" w:rsidRPr="00000000" w14:paraId="0000009C">
      <w:pPr>
        <w:tabs>
          <w:tab w:val="left" w:leader="none" w:pos="567"/>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No se considerará confidencial la información que se encuentre en los registros públicos o en fuentes de acceso público, ni tampoco la que sea considerada por la presente ley como información pública.”</w:t>
      </w:r>
    </w:p>
    <w:p w:rsidR="00000000" w:rsidDel="00000000" w:rsidP="00000000" w:rsidRDefault="00000000" w:rsidRPr="00000000" w14:paraId="0000009D">
      <w:pPr>
        <w:tabs>
          <w:tab w:val="left" w:leader="none" w:pos="567"/>
        </w:tabs>
        <w:spacing w:line="276"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9E">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este modo, conforme al artículo 132 de la Ley en la Materia Local, para clasificar la información se debe de atender a lo dispuesto por la normativa y aplicar, de manera estricta, las excepciones del derecho de acceso a la información y sólo podrán invocarlas cuando acrediten su procedencia, debiendo clasificar la información en el momento en que:</w:t>
      </w:r>
    </w:p>
    <w:p w:rsidR="00000000" w:rsidDel="00000000" w:rsidP="00000000" w:rsidRDefault="00000000" w:rsidRPr="00000000" w14:paraId="0000009F">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0">
      <w:pPr>
        <w:numPr>
          <w:ilvl w:val="0"/>
          <w:numId w:val="2"/>
        </w:numPr>
        <w:tabs>
          <w:tab w:val="left" w:leader="none" w:pos="851"/>
        </w:tabs>
        <w:spacing w:line="360" w:lineRule="auto"/>
        <w:ind w:left="567"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Se reciba una solicitud de acceso a la información;</w:t>
      </w:r>
    </w:p>
    <w:p w:rsidR="00000000" w:rsidDel="00000000" w:rsidP="00000000" w:rsidRDefault="00000000" w:rsidRPr="00000000" w14:paraId="000000A1">
      <w:pPr>
        <w:numPr>
          <w:ilvl w:val="0"/>
          <w:numId w:val="2"/>
        </w:numPr>
        <w:tabs>
          <w:tab w:val="left" w:leader="none" w:pos="851"/>
        </w:tabs>
        <w:spacing w:line="360" w:lineRule="auto"/>
        <w:ind w:left="567"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Se determine mediante resolución de autoridad competente; y/o</w:t>
      </w:r>
    </w:p>
    <w:p w:rsidR="00000000" w:rsidDel="00000000" w:rsidP="00000000" w:rsidRDefault="00000000" w:rsidRPr="00000000" w14:paraId="000000A2">
      <w:pPr>
        <w:numPr>
          <w:ilvl w:val="0"/>
          <w:numId w:val="2"/>
        </w:numPr>
        <w:tabs>
          <w:tab w:val="left" w:leader="none" w:pos="851"/>
        </w:tabs>
        <w:spacing w:line="360" w:lineRule="auto"/>
        <w:ind w:left="567"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Se generen versiones públicas para dar cumplimiento a las obligaciones de transparencia previstas en la Ley.</w:t>
      </w:r>
    </w:p>
    <w:p w:rsidR="00000000" w:rsidDel="00000000" w:rsidP="00000000" w:rsidRDefault="00000000" w:rsidRPr="00000000" w14:paraId="000000A3">
      <w:pPr>
        <w:tabs>
          <w:tab w:val="left" w:leader="none" w:pos="851"/>
        </w:tabs>
        <w:spacing w:line="360" w:lineRule="auto"/>
        <w:ind w:left="567" w:firstLine="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4">
      <w:pPr>
        <w:spacing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ese sentido, es de precisar que la clasificación de la información no se da por el simple mandato de la Ley, sino que es necesario que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cuando clasifique algún documento o información, ya sea todo o en parte, atienda lo dispuesto por la Ley de la materia, siendo que dicha clasificación es un trabajo en conjunto tanto de los Servidores Públicos Habilitados, de las Unidades de Transparencia y del Comité de Transparencia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teniendo el deber los primeros de ellos de presentar ante la Unidad de Transparencia la propuesta de la clasificación de la información, para que luego esta se presente ante al Comité de Transparencia de así resultar procedente el proyecto de clasificación de la información y que finalmente sea este último quien apruebe, modifique o revoque la misma, como se desprende de los artículos 59 fracción V</w:t>
      </w:r>
      <w:r w:rsidDel="00000000" w:rsidR="00000000" w:rsidRPr="00000000">
        <w:rPr>
          <w:rFonts w:ascii="Palatino Linotype" w:cs="Palatino Linotype" w:eastAsia="Palatino Linotype" w:hAnsi="Palatino Linotype"/>
          <w:sz w:val="22"/>
          <w:szCs w:val="22"/>
          <w:vertAlign w:val="superscript"/>
        </w:rPr>
        <w:footnoteReference w:customMarkFollows="0" w:id="2"/>
      </w:r>
      <w:r w:rsidDel="00000000" w:rsidR="00000000" w:rsidRPr="00000000">
        <w:rPr>
          <w:rFonts w:ascii="Palatino Linotype" w:cs="Palatino Linotype" w:eastAsia="Palatino Linotype" w:hAnsi="Palatino Linotype"/>
          <w:sz w:val="22"/>
          <w:szCs w:val="22"/>
          <w:rtl w:val="0"/>
        </w:rPr>
        <w:t xml:space="preserve">, 53 fracción X</w:t>
      </w:r>
      <w:r w:rsidDel="00000000" w:rsidR="00000000" w:rsidRPr="00000000">
        <w:rPr>
          <w:rFonts w:ascii="Palatino Linotype" w:cs="Palatino Linotype" w:eastAsia="Palatino Linotype" w:hAnsi="Palatino Linotype"/>
          <w:sz w:val="22"/>
          <w:szCs w:val="22"/>
          <w:vertAlign w:val="superscript"/>
        </w:rPr>
        <w:footnoteReference w:customMarkFollows="0" w:id="3"/>
      </w:r>
      <w:r w:rsidDel="00000000" w:rsidR="00000000" w:rsidRPr="00000000">
        <w:rPr>
          <w:rFonts w:ascii="Palatino Linotype" w:cs="Palatino Linotype" w:eastAsia="Palatino Linotype" w:hAnsi="Palatino Linotype"/>
          <w:sz w:val="22"/>
          <w:szCs w:val="22"/>
          <w:rtl w:val="0"/>
        </w:rPr>
        <w:t xml:space="preserve">, y 49 fracciones II y VIII</w:t>
      </w:r>
      <w:r w:rsidDel="00000000" w:rsidR="00000000" w:rsidRPr="00000000">
        <w:rPr>
          <w:rFonts w:ascii="Palatino Linotype" w:cs="Palatino Linotype" w:eastAsia="Palatino Linotype" w:hAnsi="Palatino Linotype"/>
          <w:sz w:val="22"/>
          <w:szCs w:val="22"/>
          <w:vertAlign w:val="superscript"/>
        </w:rPr>
        <w:footnoteReference w:customMarkFollows="0" w:id="4"/>
      </w:r>
      <w:r w:rsidDel="00000000" w:rsidR="00000000" w:rsidRPr="00000000">
        <w:rPr>
          <w:rFonts w:ascii="Palatino Linotype" w:cs="Palatino Linotype" w:eastAsia="Palatino Linotype" w:hAnsi="Palatino Linotype"/>
          <w:sz w:val="22"/>
          <w:szCs w:val="22"/>
          <w:rtl w:val="0"/>
        </w:rPr>
        <w:t xml:space="preserve"> de la Ley de Transparencia y Acceso a la Información Pública del Estado de México y Municipios.</w:t>
      </w:r>
    </w:p>
    <w:p w:rsidR="00000000" w:rsidDel="00000000" w:rsidP="00000000" w:rsidRDefault="00000000" w:rsidRPr="00000000" w14:paraId="000000A5">
      <w:pPr>
        <w:spacing w:line="360" w:lineRule="auto"/>
        <w:ind w:right="51"/>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6">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Bajo tales consideraciones, este Organismo Garante no omite señalar que, si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advierte que la información solicitada contiene </w:t>
      </w:r>
      <w:r w:rsidDel="00000000" w:rsidR="00000000" w:rsidRPr="00000000">
        <w:rPr>
          <w:rFonts w:ascii="Palatino Linotype" w:cs="Palatino Linotype" w:eastAsia="Palatino Linotype" w:hAnsi="Palatino Linotype"/>
          <w:b w:val="1"/>
          <w:bCs w:val="1"/>
          <w:sz w:val="22"/>
          <w:szCs w:val="22"/>
          <w:rtl w:val="0"/>
        </w:rPr>
        <w:t xml:space="preserve">datos personales</w:t>
      </w:r>
      <w:r w:rsidDel="00000000" w:rsidR="00000000" w:rsidRPr="00000000">
        <w:rPr>
          <w:rFonts w:ascii="Palatino Linotype" w:cs="Palatino Linotype" w:eastAsia="Palatino Linotype" w:hAnsi="Palatino Linotype"/>
          <w:sz w:val="22"/>
          <w:szCs w:val="22"/>
          <w:rtl w:val="0"/>
        </w:rPr>
        <w:t xml:space="preserve"> que sean susceptibles de ser </w:t>
      </w:r>
      <w:r w:rsidDel="00000000" w:rsidR="00000000" w:rsidRPr="00000000">
        <w:rPr>
          <w:rFonts w:ascii="Palatino Linotype" w:cs="Palatino Linotype" w:eastAsia="Palatino Linotype" w:hAnsi="Palatino Linotype"/>
          <w:b w:val="1"/>
          <w:bCs w:val="1"/>
          <w:sz w:val="22"/>
          <w:szCs w:val="22"/>
          <w:rtl w:val="0"/>
        </w:rPr>
        <w:t xml:space="preserve">clasificados como confidenciales, </w:t>
      </w:r>
      <w:r w:rsidDel="00000000" w:rsidR="00000000" w:rsidRPr="00000000">
        <w:rPr>
          <w:rFonts w:ascii="Palatino Linotype" w:cs="Palatino Linotype" w:eastAsia="Palatino Linotype" w:hAnsi="Palatino Linotype"/>
          <w:sz w:val="22"/>
          <w:szCs w:val="22"/>
          <w:rtl w:val="0"/>
        </w:rPr>
        <w:t xml:space="preserve">o, si por otro lado</w:t>
      </w:r>
      <w:r w:rsidDel="00000000" w:rsidR="00000000" w:rsidRPr="00000000">
        <w:rPr>
          <w:rFonts w:ascii="Palatino Linotype" w:cs="Palatino Linotype" w:eastAsia="Palatino Linotype" w:hAnsi="Palatino Linotype"/>
          <w:b w:val="1"/>
          <w:bCs w:val="1"/>
          <w:sz w:val="22"/>
          <w:szCs w:val="22"/>
          <w:rtl w:val="0"/>
        </w:rPr>
        <w:t xml:space="preserve">, por su propia y especial naturaleza,</w:t>
      </w:r>
      <w:r w:rsidDel="00000000" w:rsidR="00000000" w:rsidRPr="00000000">
        <w:rPr>
          <w:rFonts w:ascii="Palatino Linotype" w:cs="Palatino Linotype" w:eastAsia="Palatino Linotype" w:hAnsi="Palatino Linotype"/>
          <w:sz w:val="22"/>
          <w:szCs w:val="22"/>
          <w:rtl w:val="0"/>
        </w:rPr>
        <w:t xml:space="preserve"> encuadra en alguno de los </w:t>
      </w:r>
      <w:r w:rsidDel="00000000" w:rsidR="00000000" w:rsidRPr="00000000">
        <w:rPr>
          <w:rFonts w:ascii="Palatino Linotype" w:cs="Palatino Linotype" w:eastAsia="Palatino Linotype" w:hAnsi="Palatino Linotype"/>
          <w:b w:val="1"/>
          <w:bCs w:val="1"/>
          <w:sz w:val="22"/>
          <w:szCs w:val="22"/>
          <w:rtl w:val="0"/>
        </w:rPr>
        <w:t xml:space="preserve">supuestos de reserva o de confidencialidad en su totalidad</w:t>
      </w:r>
      <w:r w:rsidDel="00000000" w:rsidR="00000000" w:rsidRPr="00000000">
        <w:rPr>
          <w:rFonts w:ascii="Palatino Linotype" w:cs="Palatino Linotype" w:eastAsia="Palatino Linotype" w:hAnsi="Palatino Linotype"/>
          <w:sz w:val="22"/>
          <w:szCs w:val="22"/>
          <w:rtl w:val="0"/>
        </w:rPr>
        <w:t xml:space="preserve">, deberá emitir, un</w:t>
      </w:r>
      <w:r w:rsidDel="00000000" w:rsidR="00000000" w:rsidRPr="00000000">
        <w:rPr>
          <w:rFonts w:ascii="Palatino Linotype" w:cs="Palatino Linotype" w:eastAsia="Palatino Linotype" w:hAnsi="Palatino Linotype"/>
          <w:b w:val="1"/>
          <w:bCs w:val="1"/>
          <w:sz w:val="22"/>
          <w:szCs w:val="22"/>
          <w:rtl w:val="0"/>
        </w:rPr>
        <w:t xml:space="preserve"> Acuerdo de Clasificación </w:t>
      </w:r>
      <w:r w:rsidDel="00000000" w:rsidR="00000000" w:rsidRPr="00000000">
        <w:rPr>
          <w:rFonts w:ascii="Palatino Linotype" w:cs="Palatino Linotype" w:eastAsia="Palatino Linotype" w:hAnsi="Palatino Linotype"/>
          <w:sz w:val="22"/>
          <w:szCs w:val="22"/>
          <w:rtl w:val="0"/>
        </w:rPr>
        <w:t xml:space="preserve">debidamente fundado y motivado que</w:t>
      </w:r>
      <w:r w:rsidDel="00000000" w:rsidR="00000000" w:rsidRPr="00000000">
        <w:rPr>
          <w:rFonts w:ascii="Palatino Linotype" w:cs="Palatino Linotype" w:eastAsia="Palatino Linotype" w:hAnsi="Palatino Linotype"/>
          <w:b w:val="1"/>
          <w:bCs w:val="1"/>
          <w:sz w:val="22"/>
          <w:szCs w:val="22"/>
          <w:rtl w:val="0"/>
        </w:rPr>
        <w:t xml:space="preserve"> sustente la clasificación parcial, a través de la versión pública que emita,</w:t>
      </w:r>
      <w:r w:rsidDel="00000000" w:rsidR="00000000" w:rsidRPr="00000000">
        <w:rPr>
          <w:rFonts w:ascii="Palatino Linotype" w:cs="Palatino Linotype" w:eastAsia="Palatino Linotype" w:hAnsi="Palatino Linotype"/>
          <w:sz w:val="22"/>
          <w:szCs w:val="22"/>
          <w:rtl w:val="0"/>
        </w:rPr>
        <w:t xml:space="preserve"> o bien, la restricción total del derecho de acceso a la información.  </w:t>
      </w:r>
    </w:p>
    <w:p w:rsidR="00000000" w:rsidDel="00000000" w:rsidP="00000000" w:rsidRDefault="00000000" w:rsidRPr="00000000" w14:paraId="000000A7">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8">
      <w:pPr>
        <w:numPr>
          <w:ilvl w:val="0"/>
          <w:numId w:val="3"/>
        </w:numPr>
        <w:pBdr>
          <w:top w:space="0" w:sz="0" w:val="nil"/>
          <w:left w:space="0" w:sz="0" w:val="nil"/>
          <w:bottom w:space="0" w:sz="0" w:val="nil"/>
          <w:right w:space="0" w:sz="0" w:val="nil"/>
          <w:between w:space="0" w:sz="0" w:val="nil"/>
        </w:pBdr>
        <w:spacing w:line="360" w:lineRule="auto"/>
        <w:ind w:left="720" w:hanging="360"/>
        <w:jc w:val="both"/>
        <w:rPr>
          <w:sz w:val="22"/>
          <w:szCs w:val="22"/>
        </w:rPr>
      </w:pPr>
      <w:r w:rsidDel="00000000" w:rsidR="00000000" w:rsidRPr="00000000">
        <w:rPr>
          <w:rFonts w:ascii="Palatino Linotype" w:cs="Palatino Linotype" w:eastAsia="Palatino Linotype" w:hAnsi="Palatino Linotype"/>
          <w:b w:val="1"/>
          <w:bCs w:val="1"/>
          <w:sz w:val="22"/>
          <w:szCs w:val="22"/>
          <w:rtl w:val="0"/>
        </w:rPr>
        <w:t xml:space="preserve">De la clasificación parcial de la información.</w:t>
      </w: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line="360" w:lineRule="auto"/>
        <w:ind w:left="720" w:firstLine="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A">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Respecto de la elaboración de versiones públicas, debe mencionarse que dentro de los datos personales que pudieran contenerse se destacan los datos personales sensibles, los cuales son aquellos referentes de la esfera de su titular cuya utilización indebida pueda dar origen a discriminación o conlleve un riesgo grave para éste. De manera enunciativa más no limitativa, se consideran sensibles los datos personales que puedan revelar aspectos como origen racial o étnico, estado de salud física o mental, presente o futura, información genética, creencias religiosas, filosóficas y morales, opiniones políticas y preferencia sexual, de conformidad con el artículo 4, fracción XII de la Ley de Protección de Datos Personales en Posesión de Sujetos Obligados del Estado de México y Municipios.</w:t>
      </w:r>
    </w:p>
    <w:p w:rsidR="00000000" w:rsidDel="00000000" w:rsidP="00000000" w:rsidRDefault="00000000" w:rsidRPr="00000000" w14:paraId="000000AB">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C">
      <w:pPr>
        <w:numPr>
          <w:ilvl w:val="0"/>
          <w:numId w:val="3"/>
        </w:numPr>
        <w:pBdr>
          <w:top w:space="0" w:sz="0" w:val="nil"/>
          <w:left w:space="0" w:sz="0" w:val="nil"/>
          <w:bottom w:space="0" w:sz="0" w:val="nil"/>
          <w:right w:space="0" w:sz="0" w:val="nil"/>
          <w:between w:space="0" w:sz="0" w:val="nil"/>
        </w:pBdr>
        <w:spacing w:line="360" w:lineRule="auto"/>
        <w:ind w:left="720" w:right="51" w:hanging="360"/>
        <w:jc w:val="both"/>
        <w:rPr>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De la clasificación de información como reservada.</w:t>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line="360" w:lineRule="auto"/>
        <w:ind w:left="720" w:right="51" w:firstLine="0"/>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AE">
      <w:pPr>
        <w:spacing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cuanto hace a la reserva y ampliación del plazo de reserva de la información, para motivar la clasificación se deberán de señalar las razones, motivos o circunstancias especiales que llevaron al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a concluir que, el caso particular se ajusta al supuesto previsto por la norma legal invocada como fundamento; siendo que, además, en todo momento, se debe aplicar una prueba de daño, entendida esta como la responsabilidad de los Sujetos Obligados de demostrar, de manera fundada y motivada, que la divulgación de la información lesiona el interés debidamente protegido por la Ley y que el menoscabo o daño que puede producirse con la publicidad de la información, es mayor que el interés de conocerla; debiendo clasificarse como reservada.</w:t>
      </w:r>
    </w:p>
    <w:p w:rsidR="00000000" w:rsidDel="00000000" w:rsidP="00000000" w:rsidRDefault="00000000" w:rsidRPr="00000000" w14:paraId="000000AF">
      <w:pPr>
        <w:spacing w:line="360" w:lineRule="auto"/>
        <w:ind w:right="51"/>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0">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otras palabras, para la clasificación de la información como reservada se deben establecer, de manera fundada y motivada, las hipótesis normativas aplicables al caso concreto y se analice la prueba de daño, misma que se encuentra prevista en el artículo 129 de la Ley de Transparencia y Acceso a la Información pública del Estado de México y Municipios, para lo cual, los Sujetos Obligados deberán considerar que: </w:t>
      </w:r>
    </w:p>
    <w:p w:rsidR="00000000" w:rsidDel="00000000" w:rsidP="00000000" w:rsidRDefault="00000000" w:rsidRPr="00000000" w14:paraId="000000B1">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2">
      <w:pPr>
        <w:numPr>
          <w:ilvl w:val="0"/>
          <w:numId w:val="1"/>
        </w:numPr>
        <w:tabs>
          <w:tab w:val="left" w:leader="none" w:pos="851"/>
        </w:tabs>
        <w:spacing w:line="360" w:lineRule="auto"/>
        <w:ind w:left="567" w:firstLine="1.0000000000000142"/>
        <w:jc w:val="both"/>
        <w:rPr/>
      </w:pPr>
      <w:r w:rsidDel="00000000" w:rsidR="00000000" w:rsidRPr="00000000">
        <w:rPr>
          <w:rFonts w:ascii="Palatino Linotype" w:cs="Palatino Linotype" w:eastAsia="Palatino Linotype" w:hAnsi="Palatino Linotype"/>
          <w:sz w:val="22"/>
          <w:szCs w:val="22"/>
          <w:rtl w:val="0"/>
        </w:rPr>
        <w:t xml:space="preserve">La divulgación de la información representa un </w:t>
      </w:r>
      <w:r w:rsidDel="00000000" w:rsidR="00000000" w:rsidRPr="00000000">
        <w:rPr>
          <w:rFonts w:ascii="Palatino Linotype" w:cs="Palatino Linotype" w:eastAsia="Palatino Linotype" w:hAnsi="Palatino Linotype"/>
          <w:b w:val="1"/>
          <w:bCs w:val="1"/>
          <w:sz w:val="22"/>
          <w:szCs w:val="22"/>
          <w:rtl w:val="0"/>
        </w:rPr>
        <w:t xml:space="preserve">riesgo real, demostrable e identificable del perjuicio significativo al interés público o a la seguridad pública</w:t>
      </w:r>
      <w:r w:rsidDel="00000000" w:rsidR="00000000" w:rsidRPr="00000000">
        <w:rPr>
          <w:rFonts w:ascii="Palatino Linotype" w:cs="Palatino Linotype" w:eastAsia="Palatino Linotype" w:hAnsi="Palatino Linotype"/>
          <w:sz w:val="22"/>
          <w:szCs w:val="22"/>
          <w:rtl w:val="0"/>
        </w:rPr>
        <w:t xml:space="preserve">;</w:t>
      </w:r>
    </w:p>
    <w:p w:rsidR="00000000" w:rsidDel="00000000" w:rsidP="00000000" w:rsidRDefault="00000000" w:rsidRPr="00000000" w14:paraId="000000B3">
      <w:pPr>
        <w:numPr>
          <w:ilvl w:val="0"/>
          <w:numId w:val="1"/>
        </w:numPr>
        <w:tabs>
          <w:tab w:val="left" w:leader="none" w:pos="851"/>
        </w:tabs>
        <w:spacing w:line="360" w:lineRule="auto"/>
        <w:ind w:left="567" w:firstLine="1.0000000000000142"/>
        <w:jc w:val="both"/>
        <w:rPr/>
      </w:pPr>
      <w:r w:rsidDel="00000000" w:rsidR="00000000" w:rsidRPr="00000000">
        <w:rPr>
          <w:rFonts w:ascii="Palatino Linotype" w:cs="Palatino Linotype" w:eastAsia="Palatino Linotype" w:hAnsi="Palatino Linotype"/>
          <w:sz w:val="22"/>
          <w:szCs w:val="22"/>
          <w:rtl w:val="0"/>
        </w:rPr>
        <w:t xml:space="preserve">El riesgo de perjuicio que supondría la divulgación supera el interés público general de que se difunda; y,</w:t>
      </w:r>
    </w:p>
    <w:p w:rsidR="00000000" w:rsidDel="00000000" w:rsidP="00000000" w:rsidRDefault="00000000" w:rsidRPr="00000000" w14:paraId="000000B4">
      <w:pPr>
        <w:numPr>
          <w:ilvl w:val="0"/>
          <w:numId w:val="1"/>
        </w:numPr>
        <w:tabs>
          <w:tab w:val="left" w:leader="none" w:pos="851"/>
        </w:tabs>
        <w:spacing w:line="360" w:lineRule="auto"/>
        <w:ind w:left="567" w:firstLine="1.0000000000000142"/>
        <w:jc w:val="both"/>
        <w:rPr/>
      </w:pPr>
      <w:r w:rsidDel="00000000" w:rsidR="00000000" w:rsidRPr="00000000">
        <w:rPr>
          <w:rFonts w:ascii="Palatino Linotype" w:cs="Palatino Linotype" w:eastAsia="Palatino Linotype" w:hAnsi="Palatino Linotype"/>
          <w:sz w:val="22"/>
          <w:szCs w:val="22"/>
          <w:rtl w:val="0"/>
        </w:rPr>
        <w:t xml:space="preserve">La limitación se adecua al principio de proporcionalidad y representa el medio menos restrictivo disponible para evitar el perjuicio. </w:t>
      </w:r>
    </w:p>
    <w:p w:rsidR="00000000" w:rsidDel="00000000" w:rsidP="00000000" w:rsidRDefault="00000000" w:rsidRPr="00000000" w14:paraId="000000B5">
      <w:pPr>
        <w:tabs>
          <w:tab w:val="left" w:leader="none" w:pos="851"/>
        </w:tabs>
        <w:spacing w:line="360" w:lineRule="auto"/>
        <w:ind w:left="568" w:firstLine="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6">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Siendo pertinente aclarar que, la información que se clasifica bajo la premisa de reservada, </w:t>
      </w:r>
      <w:r w:rsidDel="00000000" w:rsidR="00000000" w:rsidRPr="00000000">
        <w:rPr>
          <w:rFonts w:ascii="Palatino Linotype" w:cs="Palatino Linotype" w:eastAsia="Palatino Linotype" w:hAnsi="Palatino Linotype"/>
          <w:b w:val="1"/>
          <w:bCs w:val="1"/>
          <w:sz w:val="22"/>
          <w:szCs w:val="22"/>
          <w:rtl w:val="0"/>
        </w:rPr>
        <w:t xml:space="preserve">no pierde el carácter de pública</w:t>
      </w:r>
      <w:r w:rsidDel="00000000" w:rsidR="00000000" w:rsidRPr="00000000">
        <w:rPr>
          <w:rFonts w:ascii="Palatino Linotype" w:cs="Palatino Linotype" w:eastAsia="Palatino Linotype" w:hAnsi="Palatino Linotype"/>
          <w:sz w:val="22"/>
          <w:szCs w:val="22"/>
          <w:rtl w:val="0"/>
        </w:rPr>
        <w:t xml:space="preserve">, sino que </w:t>
      </w:r>
      <w:r w:rsidDel="00000000" w:rsidR="00000000" w:rsidRPr="00000000">
        <w:rPr>
          <w:rFonts w:ascii="Palatino Linotype" w:cs="Palatino Linotype" w:eastAsia="Palatino Linotype" w:hAnsi="Palatino Linotype"/>
          <w:b w:val="1"/>
          <w:bCs w:val="1"/>
          <w:sz w:val="22"/>
          <w:szCs w:val="22"/>
          <w:rtl w:val="0"/>
        </w:rPr>
        <w:t xml:space="preserve">se reserva temporalmente</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del conocimiento público</w:t>
      </w:r>
      <w:r w:rsidDel="00000000" w:rsidR="00000000" w:rsidRPr="00000000">
        <w:rPr>
          <w:rFonts w:ascii="Palatino Linotype" w:cs="Palatino Linotype" w:eastAsia="Palatino Linotype" w:hAnsi="Palatino Linotype"/>
          <w:sz w:val="22"/>
          <w:szCs w:val="22"/>
          <w:rtl w:val="0"/>
        </w:rPr>
        <w:t xml:space="preserve">, es decir, que, </w:t>
      </w:r>
      <w:r w:rsidDel="00000000" w:rsidR="00000000" w:rsidRPr="00000000">
        <w:rPr>
          <w:rFonts w:ascii="Palatino Linotype" w:cs="Palatino Linotype" w:eastAsia="Palatino Linotype" w:hAnsi="Palatino Linotype"/>
          <w:b w:val="1"/>
          <w:bCs w:val="1"/>
          <w:sz w:val="22"/>
          <w:szCs w:val="22"/>
          <w:rtl w:val="0"/>
        </w:rPr>
        <w:t xml:space="preserve">por un tiempo determinado</w:t>
      </w:r>
      <w:r w:rsidDel="00000000" w:rsidR="00000000" w:rsidRPr="00000000">
        <w:rPr>
          <w:rFonts w:ascii="Palatino Linotype" w:cs="Palatino Linotype" w:eastAsia="Palatino Linotype" w:hAnsi="Palatino Linotype"/>
          <w:sz w:val="22"/>
          <w:szCs w:val="22"/>
          <w:rtl w:val="0"/>
        </w:rPr>
        <w:t xml:space="preserve">, se conservará y custodiará la información de manera especial, y una vez transcurrido el plazo de reserva, el documento podrá divulgarse.</w:t>
      </w:r>
    </w:p>
    <w:p w:rsidR="00000000" w:rsidDel="00000000" w:rsidP="00000000" w:rsidRDefault="00000000" w:rsidRPr="00000000" w14:paraId="000000B7">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8">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tal manera, las limitaciones al acceso a la información deben sustentarse en una adecuada clasificación que debe distinguir y tomar en cuenta qué información puede generar un daño desproporcionado o innecesario a valores jurídicamente protegidos. </w:t>
      </w:r>
    </w:p>
    <w:p w:rsidR="00000000" w:rsidDel="00000000" w:rsidP="00000000" w:rsidRDefault="00000000" w:rsidRPr="00000000" w14:paraId="000000B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A">
      <w:pPr>
        <w:numPr>
          <w:ilvl w:val="0"/>
          <w:numId w:val="3"/>
        </w:numPr>
        <w:pBdr>
          <w:top w:space="0" w:sz="0" w:val="nil"/>
          <w:left w:space="0" w:sz="0" w:val="nil"/>
          <w:bottom w:space="0" w:sz="0" w:val="nil"/>
          <w:right w:space="0" w:sz="0" w:val="nil"/>
          <w:between w:space="0" w:sz="0" w:val="nil"/>
        </w:pBdr>
        <w:tabs>
          <w:tab w:val="left" w:leader="none" w:pos="709"/>
        </w:tabs>
        <w:spacing w:line="360" w:lineRule="auto"/>
        <w:ind w:left="720" w:hanging="360"/>
        <w:jc w:val="both"/>
        <w:rPr>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De la clasificación de la información como totalmente confidencial.</w:t>
      </w:r>
    </w:p>
    <w:p w:rsidR="00000000" w:rsidDel="00000000" w:rsidP="00000000" w:rsidRDefault="00000000" w:rsidRPr="00000000" w14:paraId="000000BB">
      <w:pPr>
        <w:pBdr>
          <w:top w:space="0" w:sz="0" w:val="nil"/>
          <w:left w:space="0" w:sz="0" w:val="nil"/>
          <w:bottom w:space="0" w:sz="0" w:val="nil"/>
          <w:right w:space="0" w:sz="0" w:val="nil"/>
          <w:between w:space="0" w:sz="0" w:val="nil"/>
        </w:pBdr>
        <w:tabs>
          <w:tab w:val="left" w:leader="none" w:pos="709"/>
        </w:tabs>
        <w:spacing w:line="360" w:lineRule="auto"/>
        <w:ind w:left="720" w:firstLine="0"/>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BC">
      <w:pPr>
        <w:tabs>
          <w:tab w:val="left" w:leader="none" w:pos="709"/>
        </w:tabs>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cuanto hace a los documentos que por su propia y especial naturaleza sean de carácter privado, encuadran en el supuesto de información confidencial en su totalidad, bajo la premisa de que el derecho de acceso a la información pública tiene como limitante el respeto a la intimidad y a la vida privada de las personas, es por ello que este Instituto debe cuidar que los datos personales que obren en poder de los Sujetos Obligados estén protegidos, quienes deberán adoptar las medidas de seguridad administrativa, física y técnica necesarias para garantizar la integridad, confidencialidad y disponibilidad de los datos personales, considerando además, que conforme al principio de finalidad todo tratamiento de datos personales que efectúen los Sujetos Obligados deberá estar justificado en la Ley, lo anterior en términos de lo dispuesto por los artículos 6, 22, 38 y 43, de la Ley de Protección de Datos Personales en Posesión de los Sujetos Obligados del Estado de México y Municipios.</w:t>
      </w:r>
    </w:p>
    <w:p w:rsidR="00000000" w:rsidDel="00000000" w:rsidP="00000000" w:rsidRDefault="00000000" w:rsidRPr="00000000" w14:paraId="000000BD">
      <w:pPr>
        <w:tabs>
          <w:tab w:val="left" w:leader="none" w:pos="709"/>
        </w:tabs>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E">
      <w:pPr>
        <w:spacing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Asimismo, no obsta mencionar que el Acuerdo del Comité de Transparencia mediante el cual se clasifique la información como reservada o confidencial, de manera total o parcial debe emitirse siguiendo las formalidades previstas en la Ley de Transparencia y Acceso a la Información Pública del Estado de México y en los Lineamientos Generales en Materia de Clasificación y Desclasificación de la Información, así como para la Elaboración de Versiones Públicas</w:t>
      </w:r>
      <w:r w:rsidDel="00000000" w:rsidR="00000000" w:rsidRPr="00000000">
        <w:rPr>
          <w:rFonts w:ascii="Palatino Linotype" w:cs="Palatino Linotype" w:eastAsia="Palatino Linotype" w:hAnsi="Palatino Linotype"/>
          <w:sz w:val="22"/>
          <w:szCs w:val="22"/>
          <w:vertAlign w:val="superscript"/>
        </w:rPr>
        <w:footnoteReference w:customMarkFollows="0" w:id="5"/>
      </w:r>
      <w:r w:rsidDel="00000000" w:rsidR="00000000" w:rsidRPr="00000000">
        <w:rPr>
          <w:rFonts w:ascii="Palatino Linotype" w:cs="Palatino Linotype" w:eastAsia="Palatino Linotype" w:hAnsi="Palatino Linotype"/>
          <w:sz w:val="22"/>
          <w:szCs w:val="22"/>
          <w:rtl w:val="0"/>
        </w:rPr>
        <w:t xml:space="preserve">, de igual forma en dicho acuerdo se deben exponer de manera clara los fundamentos y razones que llevaron a la autoridad a clasificar la información, de lo contrario, implica dejar al solicitante en estado de incertidumbre, al no conocer o comprender las razones por las que se clasifica la documentación respectiva, es decir, si no se exponen de manera puntual las razones, de ello se estaría violentando el Derecho de Acceso a la Información del solicitante.</w:t>
      </w:r>
    </w:p>
    <w:p w:rsidR="00000000" w:rsidDel="00000000" w:rsidP="00000000" w:rsidRDefault="00000000" w:rsidRPr="00000000" w14:paraId="000000BF">
      <w:pPr>
        <w:spacing w:line="360" w:lineRule="auto"/>
        <w:ind w:right="51"/>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0">
      <w:pPr>
        <w:numPr>
          <w:ilvl w:val="0"/>
          <w:numId w:val="3"/>
        </w:numPr>
        <w:pBdr>
          <w:top w:space="0" w:sz="0" w:val="nil"/>
          <w:left w:space="0" w:sz="0" w:val="nil"/>
          <w:bottom w:space="0" w:sz="0" w:val="nil"/>
          <w:right w:space="0" w:sz="0" w:val="nil"/>
          <w:between w:space="0" w:sz="0" w:val="nil"/>
        </w:pBdr>
        <w:spacing w:line="360" w:lineRule="auto"/>
        <w:ind w:left="720" w:right="51" w:hanging="360"/>
        <w:jc w:val="both"/>
        <w:rPr>
          <w:sz w:val="22"/>
          <w:szCs w:val="22"/>
        </w:rPr>
      </w:pPr>
      <w:r w:rsidDel="00000000" w:rsidR="00000000" w:rsidRPr="00000000">
        <w:rPr>
          <w:rFonts w:ascii="Palatino Linotype" w:cs="Palatino Linotype" w:eastAsia="Palatino Linotype" w:hAnsi="Palatino Linotype"/>
          <w:b w:val="1"/>
          <w:bCs w:val="1"/>
          <w:sz w:val="22"/>
          <w:szCs w:val="22"/>
          <w:rtl w:val="0"/>
        </w:rPr>
        <w:t xml:space="preserve">De la declaratoria de inexistencia de la información</w:t>
      </w:r>
      <w:r w:rsidDel="00000000" w:rsidR="00000000" w:rsidRPr="00000000">
        <w:rPr>
          <w:rFonts w:ascii="Palatino Linotype" w:cs="Palatino Linotype" w:eastAsia="Palatino Linotype" w:hAnsi="Palatino Linotype"/>
          <w:sz w:val="22"/>
          <w:szCs w:val="22"/>
          <w:rtl w:val="0"/>
        </w:rPr>
        <w:t xml:space="preserve">.</w:t>
      </w:r>
    </w:p>
    <w:p w:rsidR="00000000" w:rsidDel="00000000" w:rsidP="00000000" w:rsidRDefault="00000000" w:rsidRPr="00000000" w14:paraId="000000C1">
      <w:pPr>
        <w:spacing w:line="360" w:lineRule="auto"/>
        <w:ind w:right="51"/>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2">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otro lado, estima prudente señalar al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que, en caso de que la información solicitada, debiera obrar en sus archivos y no cuente con ella, deberá entregar el Acuerdo del Comité de Transparencia, en donde conste la declaratoria de inexistencia de la misma.</w:t>
      </w:r>
    </w:p>
    <w:p w:rsidR="00000000" w:rsidDel="00000000" w:rsidP="00000000" w:rsidRDefault="00000000" w:rsidRPr="00000000" w14:paraId="000000C3">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4">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Siendo importante resaltar que los artículos 18 y 19 de la Ley de Transparencia y Acceso a la Información Pública del Estado de México y Municipios establecen que los Sujetos Obligados deben documentar todo acto que derive del ejercicio de sus facultades, competencias o funciones y que se presume que la información debe existir si se refiere a dichas facultades, competencias y/o funciones.</w:t>
      </w:r>
    </w:p>
    <w:p w:rsidR="00000000" w:rsidDel="00000000" w:rsidP="00000000" w:rsidRDefault="00000000" w:rsidRPr="00000000" w14:paraId="000000C5">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6">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tal caso, la declaratoria a que se ha hecho referencia deberá realizarse, conforme a lo dispuesto en los artículos 49, fracciones II y XIII, 169 y 170 de la Ley de Transparencia y Acceso a la Información Pública del Estado de México y Municipios, que establecen la forma en que los Sujetos Obligados deben dar curso a las Declaratorias de Inexistencia.</w:t>
      </w:r>
    </w:p>
    <w:p w:rsidR="00000000" w:rsidDel="00000000" w:rsidP="00000000" w:rsidRDefault="00000000" w:rsidRPr="00000000" w14:paraId="000000C7">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8">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Resulta aplicable el criterio de interpretación en el orden administrativo número 0008-19 emitido por Acuerdo del Pleno del Instituto de Transparencia y Acceso a la Información Pública del Estado de México y Municipios, que a la letra dice:</w:t>
      </w:r>
    </w:p>
    <w:p w:rsidR="00000000" w:rsidDel="00000000" w:rsidP="00000000" w:rsidRDefault="00000000" w:rsidRPr="00000000" w14:paraId="000000C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A">
      <w:pPr>
        <w:spacing w:line="276" w:lineRule="auto"/>
        <w:ind w:left="567"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“INEXISTENCIA DE LA INFORMACIÓN. SUPUESTOS PARA EMITIR LA RESOLUCIÓN DE LA. </w:t>
      </w:r>
      <w:r w:rsidDel="00000000" w:rsidR="00000000" w:rsidRPr="00000000">
        <w:rPr>
          <w:rFonts w:ascii="Palatino Linotype" w:cs="Palatino Linotype" w:eastAsia="Palatino Linotype" w:hAnsi="Palatino Linotype"/>
          <w:i w:val="1"/>
          <w:iCs w:val="1"/>
          <w:sz w:val="22"/>
          <w:szCs w:val="22"/>
          <w:rtl w:val="0"/>
        </w:rPr>
        <w:t xml:space="preserve">De conformidad con los artículos 19, párrafo tercero y 170 de la Ley de Transparencia y Acceso a la Información Pública del Estado de México y Municipios, el Comité de Transparencia deberá emitir un acuerdo de inexistencia de información debidamente fundado y motivado, para justificar por qué no obra en los archivos del Sujeto Obligado la información que deriva de las facultades, competencias y atribuciones que los ordenamientos jurídicos aplicables le otorgan, la cual debió generar, poseer y administrar. Por tanto, en términos de los numerales previamente citados, el referido acuerdo de inexistencia procede en los siguientes momentos: a) cuando no se generó, poseyó o administró el documento teniendo la obligación conforme a la presunción legal que deriva de las facultades, competencias y atribuciones que los ordenamientos jurídicos aplicables le otorgan; b) que habiendo sido generada, poseída o administrada, por algún motivo ya no se cuenta con la información solicitada; o bien, c) cuando el Sujeto Obligado fue omiso en ejercer una facultad, competencia o atribución inexcusable. Supuestos que, de actualizarse, deberán acreditarse con las exigencias legales contempladas en los numerales 49, fracción II, 169 y 170 de la Ley de Transparencia de la entidad, a través de una resolución del Comité de Transparencia del Sujeto Obligado que confirme la inexistencia de la información, acto jurídico que genera certeza jurídica al particular de que se realizó un criterio de búsqueda exhaustivo y razonable con la debida justificación de la falta de información y en su caso, las consecuencias de ello.”</w:t>
      </w:r>
    </w:p>
    <w:p w:rsidR="00000000" w:rsidDel="00000000" w:rsidP="00000000" w:rsidRDefault="00000000" w:rsidRPr="00000000" w14:paraId="000000CB">
      <w:pPr>
        <w:spacing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CC">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mérito de todo lo expuesto, ante lo </w:t>
      </w:r>
      <w:r w:rsidDel="00000000" w:rsidR="00000000" w:rsidRPr="00000000">
        <w:rPr>
          <w:rFonts w:ascii="Palatino Linotype" w:cs="Palatino Linotype" w:eastAsia="Palatino Linotype" w:hAnsi="Palatino Linotype"/>
          <w:b w:val="1"/>
          <w:bCs w:val="1"/>
          <w:sz w:val="22"/>
          <w:szCs w:val="22"/>
          <w:rtl w:val="0"/>
        </w:rPr>
        <w:t xml:space="preserve">FUNDADO</w:t>
      </w:r>
      <w:r w:rsidDel="00000000" w:rsidR="00000000" w:rsidRPr="00000000">
        <w:rPr>
          <w:rFonts w:ascii="Palatino Linotype" w:cs="Palatino Linotype" w:eastAsia="Palatino Linotype" w:hAnsi="Palatino Linotype"/>
          <w:sz w:val="22"/>
          <w:szCs w:val="22"/>
          <w:rtl w:val="0"/>
        </w:rPr>
        <w:t xml:space="preserve"> de las razones o motivos de inconformidad hechos valer por la parte Recurrente, este Instituto estima que lo dable es </w:t>
      </w:r>
      <w:r w:rsidDel="00000000" w:rsidR="00000000" w:rsidRPr="00000000">
        <w:rPr>
          <w:rFonts w:ascii="Palatino Linotype" w:cs="Palatino Linotype" w:eastAsia="Palatino Linotype" w:hAnsi="Palatino Linotype"/>
          <w:b w:val="1"/>
          <w:bCs w:val="1"/>
          <w:sz w:val="22"/>
          <w:szCs w:val="22"/>
          <w:rtl w:val="0"/>
        </w:rPr>
        <w:t xml:space="preserve">ORDENAR</w:t>
      </w:r>
      <w:r w:rsidDel="00000000" w:rsidR="00000000" w:rsidRPr="00000000">
        <w:rPr>
          <w:rFonts w:ascii="Palatino Linotype" w:cs="Palatino Linotype" w:eastAsia="Palatino Linotype" w:hAnsi="Palatino Linotype"/>
          <w:sz w:val="22"/>
          <w:szCs w:val="22"/>
          <w:rtl w:val="0"/>
        </w:rPr>
        <w:t xml:space="preserve"> al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dé respuesta a la solicitud de acceso a la información, atendiendo lo señalado en el presente Considerando.</w:t>
      </w:r>
    </w:p>
    <w:p w:rsidR="00000000" w:rsidDel="00000000" w:rsidP="00000000" w:rsidRDefault="00000000" w:rsidRPr="00000000" w14:paraId="000000CD">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E">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Finalmente, es de señalar que, como ya se mencionó el</w:t>
      </w:r>
      <w:r w:rsidDel="00000000" w:rsidR="00000000" w:rsidRPr="00000000">
        <w:rPr>
          <w:rFonts w:ascii="Palatino Linotype" w:cs="Palatino Linotype" w:eastAsia="Palatino Linotype" w:hAnsi="Palatino Linotype"/>
          <w:b w:val="1"/>
          <w:bCs w:val="1"/>
          <w:sz w:val="22"/>
          <w:szCs w:val="22"/>
          <w:rtl w:val="0"/>
        </w:rPr>
        <w:t xml:space="preserve"> Sujeto Obligado</w:t>
      </w:r>
      <w:r w:rsidDel="00000000" w:rsidR="00000000" w:rsidRPr="00000000">
        <w:rPr>
          <w:rFonts w:ascii="Palatino Linotype" w:cs="Palatino Linotype" w:eastAsia="Palatino Linotype" w:hAnsi="Palatino Linotype"/>
          <w:sz w:val="22"/>
          <w:szCs w:val="22"/>
          <w:rtl w:val="0"/>
        </w:rPr>
        <w:t xml:space="preserve">, omitió proporcionar la respuesta a la solicitud de acceso a la información pública, en el término contemplado en el ya citado artículo 163 de la Ley de la materia, razón por la que se ordena dar vista</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a la Secretaría Técnica del Pleno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w:t>
      </w:r>
    </w:p>
    <w:p w:rsidR="00000000" w:rsidDel="00000000" w:rsidP="00000000" w:rsidRDefault="00000000" w:rsidRPr="00000000" w14:paraId="000000CF">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D0">
      <w:pPr>
        <w:spacing w:line="360" w:lineRule="auto"/>
        <w:jc w:val="both"/>
        <w:rPr>
          <w:rFonts w:ascii="Palatino Linotype" w:cs="Palatino Linotype" w:eastAsia="Palatino Linotype" w:hAnsi="Palatino Linotype"/>
          <w:sz w:val="22"/>
          <w:szCs w:val="22"/>
        </w:rPr>
      </w:pPr>
      <w:bookmarkStart w:colFirst="0" w:colLast="0" w:name="_heading=h.ufldlg1z5cqe" w:id="1"/>
      <w:bookmarkEnd w:id="1"/>
      <w:r w:rsidDel="00000000" w:rsidR="00000000" w:rsidRPr="00000000">
        <w:rPr>
          <w:rFonts w:ascii="Palatino Linotype" w:cs="Palatino Linotype" w:eastAsia="Palatino Linotype" w:hAnsi="Palatino Linotype"/>
          <w:sz w:val="22"/>
          <w:szCs w:val="22"/>
          <w:rtl w:val="0"/>
        </w:rPr>
        <w:t xml:space="preserve">Así, con fundamento en lo prescrito en los artículos 5 párrafos cuadragésimo cuarto, cuadragésimo quinto y cuadragésimo sexto, fracciones IV y V de la Constitución Política del Estado Libre y Soberano de México; transitorio Cuarto del Decreto número 198 de la “LXII” Legislatura del Estado de México; 2, fracción II; 29, 36 fracciones I y II; 176, 178, 181, 185, fracción I, 186 y 188 de la Ley de Transparencia y Acceso a la Información Pública del Estado de México y Municipios, este Pleno:</w:t>
      </w:r>
    </w:p>
    <w:p w:rsidR="00000000" w:rsidDel="00000000" w:rsidP="00000000" w:rsidRDefault="00000000" w:rsidRPr="00000000" w14:paraId="000000D1">
      <w:pPr>
        <w:pBdr>
          <w:top w:space="0" w:sz="0" w:val="nil"/>
          <w:left w:space="0" w:sz="0" w:val="nil"/>
          <w:bottom w:space="0" w:sz="0" w:val="nil"/>
          <w:right w:space="0" w:sz="0" w:val="nil"/>
          <w:between w:space="0" w:sz="0" w:val="nil"/>
        </w:pBdr>
        <w:spacing w:line="360" w:lineRule="auto"/>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D2">
      <w:pPr>
        <w:pBdr>
          <w:top w:space="0" w:sz="0" w:val="nil"/>
          <w:left w:space="0" w:sz="0" w:val="nil"/>
          <w:bottom w:space="0" w:sz="0" w:val="nil"/>
          <w:right w:space="0" w:sz="0" w:val="nil"/>
          <w:between w:space="0" w:sz="0" w:val="nil"/>
        </w:pBdr>
        <w:spacing w:line="360" w:lineRule="auto"/>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III. R E S U E L V E</w:t>
      </w:r>
    </w:p>
    <w:p w:rsidR="00000000" w:rsidDel="00000000" w:rsidP="00000000" w:rsidRDefault="00000000" w:rsidRPr="00000000" w14:paraId="000000D3">
      <w:pPr>
        <w:pBdr>
          <w:top w:space="0" w:sz="0" w:val="nil"/>
          <w:left w:space="0" w:sz="0" w:val="nil"/>
          <w:bottom w:space="0" w:sz="0" w:val="nil"/>
          <w:right w:space="0" w:sz="0" w:val="nil"/>
          <w:between w:space="0" w:sz="0" w:val="nil"/>
        </w:pBdr>
        <w:spacing w:line="360" w:lineRule="auto"/>
        <w:jc w:val="center"/>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D4">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Primero. </w:t>
      </w:r>
      <w:r w:rsidDel="00000000" w:rsidR="00000000" w:rsidRPr="00000000">
        <w:rPr>
          <w:rFonts w:ascii="Palatino Linotype" w:cs="Palatino Linotype" w:eastAsia="Palatino Linotype" w:hAnsi="Palatino Linotype"/>
          <w:sz w:val="22"/>
          <w:szCs w:val="22"/>
          <w:rtl w:val="0"/>
        </w:rPr>
        <w:t xml:space="preserve">Resultan </w:t>
      </w:r>
      <w:r w:rsidDel="00000000" w:rsidR="00000000" w:rsidRPr="00000000">
        <w:rPr>
          <w:rFonts w:ascii="Palatino Linotype" w:cs="Palatino Linotype" w:eastAsia="Palatino Linotype" w:hAnsi="Palatino Linotype"/>
          <w:b w:val="1"/>
          <w:bCs w:val="1"/>
          <w:sz w:val="22"/>
          <w:szCs w:val="22"/>
          <w:rtl w:val="0"/>
        </w:rPr>
        <w:t xml:space="preserve">FUNDADOS</w:t>
      </w:r>
      <w:r w:rsidDel="00000000" w:rsidR="00000000" w:rsidRPr="00000000">
        <w:rPr>
          <w:rFonts w:ascii="Palatino Linotype" w:cs="Palatino Linotype" w:eastAsia="Palatino Linotype" w:hAnsi="Palatino Linotype"/>
          <w:sz w:val="22"/>
          <w:szCs w:val="22"/>
          <w:rtl w:val="0"/>
        </w:rPr>
        <w:t xml:space="preserve"> los motivos de inconformidad de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en términos del </w:t>
      </w:r>
      <w:r w:rsidDel="00000000" w:rsidR="00000000" w:rsidRPr="00000000">
        <w:rPr>
          <w:rFonts w:ascii="Palatino Linotype" w:cs="Palatino Linotype" w:eastAsia="Palatino Linotype" w:hAnsi="Palatino Linotype"/>
          <w:b w:val="1"/>
          <w:bCs w:val="1"/>
          <w:sz w:val="22"/>
          <w:szCs w:val="22"/>
          <w:rtl w:val="0"/>
        </w:rPr>
        <w:t xml:space="preserve">Considerando Cuarto</w:t>
      </w:r>
      <w:r w:rsidDel="00000000" w:rsidR="00000000" w:rsidRPr="00000000">
        <w:rPr>
          <w:rFonts w:ascii="Palatino Linotype" w:cs="Palatino Linotype" w:eastAsia="Palatino Linotype" w:hAnsi="Palatino Linotype"/>
          <w:sz w:val="22"/>
          <w:szCs w:val="22"/>
          <w:rtl w:val="0"/>
        </w:rPr>
        <w:t xml:space="preserve"> de la presente resolución.</w:t>
      </w:r>
    </w:p>
    <w:p w:rsidR="00000000" w:rsidDel="00000000" w:rsidP="00000000" w:rsidRDefault="00000000" w:rsidRPr="00000000" w14:paraId="000000D5">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D6">
      <w:pPr>
        <w:spacing w:line="360" w:lineRule="auto"/>
        <w:jc w:val="both"/>
        <w:rPr>
          <w:rFonts w:ascii="Palatino Linotype" w:cs="Palatino Linotype" w:eastAsia="Palatino Linotype" w:hAnsi="Palatino Linotype"/>
          <w:sz w:val="22"/>
          <w:szCs w:val="22"/>
        </w:rPr>
      </w:pPr>
      <w:bookmarkStart w:colFirst="0" w:colLast="0" w:name="_heading=h.3dy6vkm" w:id="2"/>
      <w:bookmarkEnd w:id="2"/>
      <w:r w:rsidDel="00000000" w:rsidR="00000000" w:rsidRPr="00000000">
        <w:rPr>
          <w:rFonts w:ascii="Palatino Linotype" w:cs="Palatino Linotype" w:eastAsia="Palatino Linotype" w:hAnsi="Palatino Linotype"/>
          <w:b w:val="1"/>
          <w:bCs w:val="1"/>
          <w:sz w:val="22"/>
          <w:szCs w:val="22"/>
          <w:rtl w:val="0"/>
        </w:rPr>
        <w:t xml:space="preserve">Segundo.</w:t>
      </w:r>
      <w:r w:rsidDel="00000000" w:rsidR="00000000" w:rsidRPr="00000000">
        <w:rPr>
          <w:rFonts w:ascii="Palatino Linotype" w:cs="Palatino Linotype" w:eastAsia="Palatino Linotype" w:hAnsi="Palatino Linotype"/>
          <w:sz w:val="22"/>
          <w:szCs w:val="22"/>
          <w:rtl w:val="0"/>
        </w:rPr>
        <w:t xml:space="preserve"> Se</w:t>
      </w:r>
      <w:r w:rsidDel="00000000" w:rsidR="00000000" w:rsidRPr="00000000">
        <w:rPr>
          <w:rFonts w:ascii="Palatino Linotype" w:cs="Palatino Linotype" w:eastAsia="Palatino Linotype" w:hAnsi="Palatino Linotype"/>
          <w:b w:val="1"/>
          <w:bCs w:val="1"/>
          <w:sz w:val="22"/>
          <w:szCs w:val="22"/>
          <w:rtl w:val="0"/>
        </w:rPr>
        <w:t xml:space="preserve"> Ordena </w:t>
      </w:r>
      <w:r w:rsidDel="00000000" w:rsidR="00000000" w:rsidRPr="00000000">
        <w:rPr>
          <w:rFonts w:ascii="Palatino Linotype" w:cs="Palatino Linotype" w:eastAsia="Palatino Linotype" w:hAnsi="Palatino Linotype"/>
          <w:sz w:val="22"/>
          <w:szCs w:val="22"/>
          <w:rtl w:val="0"/>
        </w:rPr>
        <w:t xml:space="preserve">al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dé trámite, vía </w:t>
      </w:r>
      <w:r w:rsidDel="00000000" w:rsidR="00000000" w:rsidRPr="00000000">
        <w:rPr>
          <w:rFonts w:ascii="Palatino Linotype" w:cs="Palatino Linotype" w:eastAsia="Palatino Linotype" w:hAnsi="Palatino Linotype"/>
          <w:b w:val="1"/>
          <w:bCs w:val="1"/>
          <w:sz w:val="22"/>
          <w:szCs w:val="22"/>
          <w:rtl w:val="0"/>
        </w:rPr>
        <w:t xml:space="preserve">Sistema de Acceso a la Información Mexiquense </w:t>
      </w:r>
      <w:r w:rsidDel="00000000" w:rsidR="00000000" w:rsidRPr="00000000">
        <w:rPr>
          <w:rFonts w:ascii="Palatino Linotype" w:cs="Palatino Linotype" w:eastAsia="Palatino Linotype" w:hAnsi="Palatino Linotype"/>
          <w:sz w:val="22"/>
          <w:szCs w:val="22"/>
          <w:rtl w:val="0"/>
        </w:rPr>
        <w:t xml:space="preserve">a la solicitud de acceso a la información pública </w:t>
      </w:r>
      <w:r w:rsidDel="00000000" w:rsidR="00000000" w:rsidRPr="00000000">
        <w:rPr>
          <w:rFonts w:ascii="Palatino Linotype" w:cs="Palatino Linotype" w:eastAsia="Palatino Linotype" w:hAnsi="Palatino Linotype"/>
          <w:b w:val="1"/>
          <w:bCs w:val="1"/>
          <w:sz w:val="22"/>
          <w:szCs w:val="22"/>
          <w:rtl w:val="0"/>
        </w:rPr>
        <w:t xml:space="preserve"> 00005/IMCFUFIDEVBRAVO/IP/2026 </w:t>
      </w:r>
      <w:r w:rsidDel="00000000" w:rsidR="00000000" w:rsidRPr="00000000">
        <w:rPr>
          <w:rFonts w:ascii="Palatino Linotype" w:cs="Palatino Linotype" w:eastAsia="Palatino Linotype" w:hAnsi="Palatino Linotype"/>
          <w:sz w:val="22"/>
          <w:szCs w:val="22"/>
          <w:rtl w:val="0"/>
        </w:rPr>
        <w:t xml:space="preserve">que dio origen al recurso de revisión </w:t>
      </w:r>
      <w:r w:rsidDel="00000000" w:rsidR="00000000" w:rsidRPr="00000000">
        <w:rPr>
          <w:rFonts w:ascii="Palatino Linotype" w:cs="Palatino Linotype" w:eastAsia="Palatino Linotype" w:hAnsi="Palatino Linotype"/>
          <w:b w:val="1"/>
          <w:bCs w:val="1"/>
          <w:sz w:val="22"/>
          <w:szCs w:val="22"/>
          <w:rtl w:val="0"/>
        </w:rPr>
        <w:t xml:space="preserve">07289/INFOEM/IP/RR/2026 </w:t>
      </w:r>
      <w:r w:rsidDel="00000000" w:rsidR="00000000" w:rsidRPr="00000000">
        <w:rPr>
          <w:rFonts w:ascii="Palatino Linotype" w:cs="Palatino Linotype" w:eastAsia="Palatino Linotype" w:hAnsi="Palatino Linotype"/>
          <w:sz w:val="22"/>
          <w:szCs w:val="22"/>
          <w:rtl w:val="0"/>
        </w:rPr>
        <w:t xml:space="preserve">en términos del </w:t>
      </w:r>
      <w:r w:rsidDel="00000000" w:rsidR="00000000" w:rsidRPr="00000000">
        <w:rPr>
          <w:rFonts w:ascii="Palatino Linotype" w:cs="Palatino Linotype" w:eastAsia="Palatino Linotype" w:hAnsi="Palatino Linotype"/>
          <w:b w:val="1"/>
          <w:bCs w:val="1"/>
          <w:sz w:val="22"/>
          <w:szCs w:val="22"/>
          <w:rtl w:val="0"/>
        </w:rPr>
        <w:t xml:space="preserve">Considerando Cuarto</w:t>
      </w:r>
      <w:r w:rsidDel="00000000" w:rsidR="00000000" w:rsidRPr="00000000">
        <w:rPr>
          <w:rFonts w:ascii="Palatino Linotype" w:cs="Palatino Linotype" w:eastAsia="Palatino Linotype" w:hAnsi="Palatino Linotype"/>
          <w:sz w:val="22"/>
          <w:szCs w:val="22"/>
          <w:rtl w:val="0"/>
        </w:rPr>
        <w:t xml:space="preserve"> de esta resolución y emita respuesta, debiendo observar las excepciones contenidas en la Ley de Transparencia y Acceso a la Información Pública del Estado de México y Municipios.</w:t>
      </w:r>
    </w:p>
    <w:p w:rsidR="00000000" w:rsidDel="00000000" w:rsidP="00000000" w:rsidRDefault="00000000" w:rsidRPr="00000000" w14:paraId="000000D7">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D8">
      <w:pPr>
        <w:spacing w:line="360" w:lineRule="auto"/>
        <w:ind w:right="49"/>
        <w:jc w:val="both"/>
        <w:rPr>
          <w:rFonts w:ascii="Palatino Linotype" w:cs="Palatino Linotype" w:eastAsia="Palatino Linotype" w:hAnsi="Palatino Linotype"/>
          <w:sz w:val="22"/>
          <w:szCs w:val="22"/>
        </w:rPr>
      </w:pPr>
      <w:bookmarkStart w:colFirst="0" w:colLast="0" w:name="_heading=h.3znysh7" w:id="3"/>
      <w:bookmarkEnd w:id="3"/>
      <w:r w:rsidDel="00000000" w:rsidR="00000000" w:rsidRPr="00000000">
        <w:rPr>
          <w:rFonts w:ascii="Palatino Linotype" w:cs="Palatino Linotype" w:eastAsia="Palatino Linotype" w:hAnsi="Palatino Linotype"/>
          <w:b w:val="1"/>
          <w:bCs w:val="1"/>
          <w:sz w:val="22"/>
          <w:szCs w:val="22"/>
          <w:rtl w:val="0"/>
        </w:rPr>
        <w:t xml:space="preserve">Tercero.</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Notifíquese vía Sistema de Acceso a la Información Mexiquense </w:t>
      </w:r>
      <w:r w:rsidDel="00000000" w:rsidR="00000000" w:rsidRPr="00000000">
        <w:rPr>
          <w:rFonts w:ascii="Palatino Linotype" w:cs="Palatino Linotype" w:eastAsia="Palatino Linotype" w:hAnsi="Palatino Linotype"/>
          <w:sz w:val="22"/>
          <w:szCs w:val="22"/>
          <w:rtl w:val="0"/>
        </w:rPr>
        <w:t xml:space="preserve">la presente resolución al T</w:t>
      </w:r>
      <w:r w:rsidDel="00000000" w:rsidR="00000000" w:rsidRPr="00000000">
        <w:rPr>
          <w:rFonts w:ascii="Palatino Linotype" w:cs="Palatino Linotype" w:eastAsia="Palatino Linotype" w:hAnsi="Palatino Linotype"/>
          <w:b w:val="1"/>
          <w:bCs w:val="1"/>
          <w:sz w:val="22"/>
          <w:szCs w:val="22"/>
          <w:rtl w:val="0"/>
        </w:rPr>
        <w:t xml:space="preserve">itular de la Unidad de Transparencia </w:t>
      </w:r>
      <w:r w:rsidDel="00000000" w:rsidR="00000000" w:rsidRPr="00000000">
        <w:rPr>
          <w:rFonts w:ascii="Palatino Linotype" w:cs="Palatino Linotype" w:eastAsia="Palatino Linotype" w:hAnsi="Palatino Linotype"/>
          <w:sz w:val="22"/>
          <w:szCs w:val="22"/>
          <w:rtl w:val="0"/>
        </w:rPr>
        <w:t xml:space="preserve">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para que conforme al artículo 186 último párrafo, 189 segundo párrafo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rsidR="00000000" w:rsidDel="00000000" w:rsidP="00000000" w:rsidRDefault="00000000" w:rsidRPr="00000000" w14:paraId="000000D9">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DA">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Cuarto. Notifíquese</w:t>
      </w:r>
      <w:r w:rsidDel="00000000" w:rsidR="00000000" w:rsidRPr="00000000">
        <w:rPr>
          <w:rFonts w:ascii="Palatino Linotype" w:cs="Palatino Linotype" w:eastAsia="Palatino Linotype" w:hAnsi="Palatino Linotype"/>
          <w:sz w:val="22"/>
          <w:szCs w:val="22"/>
          <w:rtl w:val="0"/>
        </w:rPr>
        <w:t xml:space="preserve">,</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vía </w:t>
      </w:r>
      <w:r w:rsidDel="00000000" w:rsidR="00000000" w:rsidRPr="00000000">
        <w:rPr>
          <w:rFonts w:ascii="Palatino Linotype" w:cs="Palatino Linotype" w:eastAsia="Palatino Linotype" w:hAnsi="Palatino Linotype"/>
          <w:b w:val="1"/>
          <w:bCs w:val="1"/>
          <w:sz w:val="22"/>
          <w:szCs w:val="22"/>
          <w:rtl w:val="0"/>
        </w:rPr>
        <w:t xml:space="preserve">Sistema de Acceso a la Información Mexiquense</w:t>
      </w:r>
      <w:r w:rsidDel="00000000" w:rsidR="00000000" w:rsidRPr="00000000">
        <w:rPr>
          <w:rFonts w:ascii="Palatino Linotype" w:cs="Palatino Linotype" w:eastAsia="Palatino Linotype" w:hAnsi="Palatino Linotype"/>
          <w:sz w:val="22"/>
          <w:szCs w:val="22"/>
          <w:rtl w:val="0"/>
        </w:rPr>
        <w:t xml:space="preserve">, a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la presente resolución, así como, que de conformidad con lo establecido en el artículo 196 de la Ley de Transparencia y Acceso a la Información Pública del Estado de México y Municipios, en caso de que considere que le causa algún perjuicio podrá impugnarla vía Juicio de Amparo en los términos de las leyes aplicables.</w:t>
      </w:r>
    </w:p>
    <w:p w:rsidR="00000000" w:rsidDel="00000000" w:rsidP="00000000" w:rsidRDefault="00000000" w:rsidRPr="00000000" w14:paraId="000000DB">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DC">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Quinto. Notifíquese </w:t>
      </w:r>
      <w:r w:rsidDel="00000000" w:rsidR="00000000" w:rsidRPr="00000000">
        <w:rPr>
          <w:rFonts w:ascii="Palatino Linotype" w:cs="Palatino Linotype" w:eastAsia="Palatino Linotype" w:hAnsi="Palatino Linotype"/>
          <w:sz w:val="22"/>
          <w:szCs w:val="22"/>
          <w:rtl w:val="0"/>
        </w:rPr>
        <w:t xml:space="preserve">a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que la respuesta que dé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derivada de la presente resolución es susceptible de ser impugnadas nuevamente, mediante recurso de revisión, ante el Instituto, en términos del artículo 179, último párrafo de la Ley de Transparencia y Acceso a la Información Pública del Estado de México y Municipios.</w:t>
      </w:r>
    </w:p>
    <w:p w:rsidR="00000000" w:rsidDel="00000000" w:rsidP="00000000" w:rsidRDefault="00000000" w:rsidRPr="00000000" w14:paraId="000000DD">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DE">
      <w:pPr>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Sexto. Gírese </w:t>
      </w:r>
      <w:r w:rsidDel="00000000" w:rsidR="00000000" w:rsidRPr="00000000">
        <w:rPr>
          <w:rFonts w:ascii="Palatino Linotype" w:cs="Palatino Linotype" w:eastAsia="Palatino Linotype" w:hAnsi="Palatino Linotype"/>
          <w:sz w:val="22"/>
          <w:szCs w:val="22"/>
          <w:rtl w:val="0"/>
        </w:rPr>
        <w:t xml:space="preserve">oficio a la </w:t>
      </w:r>
      <w:r w:rsidDel="00000000" w:rsidR="00000000" w:rsidRPr="00000000">
        <w:rPr>
          <w:rFonts w:ascii="Palatino Linotype" w:cs="Palatino Linotype" w:eastAsia="Palatino Linotype" w:hAnsi="Palatino Linotype"/>
          <w:b w:val="1"/>
          <w:bCs w:val="1"/>
          <w:sz w:val="22"/>
          <w:szCs w:val="22"/>
          <w:rtl w:val="0"/>
        </w:rPr>
        <w:t xml:space="preserve">Secretaría Técnica del Pleno</w:t>
      </w:r>
      <w:r w:rsidDel="00000000" w:rsidR="00000000" w:rsidRPr="00000000">
        <w:rPr>
          <w:rFonts w:ascii="Palatino Linotype" w:cs="Palatino Linotype" w:eastAsia="Palatino Linotype" w:hAnsi="Palatino Linotype"/>
          <w:sz w:val="22"/>
          <w:szCs w:val="22"/>
          <w:rtl w:val="0"/>
        </w:rPr>
        <w:t xml:space="preserve">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 en términos de lo señalado en el Considerando Cuarto</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de la presente resolución.</w:t>
      </w:r>
      <w:r w:rsidDel="00000000" w:rsidR="00000000" w:rsidRPr="00000000">
        <w:rPr>
          <w:rFonts w:ascii="Palatino Linotype" w:cs="Palatino Linotype" w:eastAsia="Palatino Linotype" w:hAnsi="Palatino Linotype"/>
          <w:b w:val="1"/>
          <w:bCs w:val="1"/>
          <w:sz w:val="22"/>
          <w:szCs w:val="22"/>
          <w:rtl w:val="0"/>
        </w:rPr>
        <w:t xml:space="preserve"> </w:t>
      </w:r>
    </w:p>
    <w:p w:rsidR="00000000" w:rsidDel="00000000" w:rsidP="00000000" w:rsidRDefault="00000000" w:rsidRPr="00000000" w14:paraId="000000DF">
      <w:pPr>
        <w:spacing w:line="360" w:lineRule="auto"/>
        <w:jc w:val="both"/>
        <w:rPr>
          <w:rFonts w:ascii="Palatino Linotype" w:cs="Palatino Linotype" w:eastAsia="Palatino Linotype" w:hAnsi="Palatino Linotype"/>
          <w:sz w:val="22"/>
          <w:szCs w:val="22"/>
        </w:rPr>
      </w:pPr>
      <w:bookmarkStart w:colFirst="0" w:colLast="0" w:name="_heading=h.ibiie51sawl6" w:id="4"/>
      <w:bookmarkEnd w:id="4"/>
      <w:r w:rsidDel="00000000" w:rsidR="00000000" w:rsidRPr="00000000">
        <w:rPr>
          <w:rtl w:val="0"/>
        </w:rPr>
      </w:r>
    </w:p>
    <w:p w:rsidR="00000000" w:rsidDel="00000000" w:rsidP="00000000" w:rsidRDefault="00000000" w:rsidRPr="00000000" w14:paraId="000000E0">
      <w:pPr>
        <w:spacing w:line="360" w:lineRule="auto"/>
        <w:ind w:right="49"/>
        <w:jc w:val="both"/>
        <w:rPr>
          <w:rFonts w:ascii="Palatino Linotype" w:cs="Palatino Linotype" w:eastAsia="Palatino Linotype" w:hAnsi="Palatino Linotype"/>
          <w:sz w:val="22"/>
          <w:szCs w:val="22"/>
        </w:rPr>
      </w:pPr>
      <w:bookmarkStart w:colFirst="0" w:colLast="0" w:name="_heading=h.1fob9te" w:id="5"/>
      <w:bookmarkEnd w:id="5"/>
      <w:r w:rsidDel="00000000" w:rsidR="00000000" w:rsidRPr="00000000">
        <w:rPr>
          <w:rFonts w:ascii="Palatino Linotype" w:cs="Palatino Linotype" w:eastAsia="Palatino Linotype" w:hAnsi="Palatino Linotype"/>
          <w:sz w:val="22"/>
          <w:szCs w:val="22"/>
          <w:rtl w:val="0"/>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MEJÍA AYALA, SHARON CRISTINA MORALES MARTÍNEZ, LUIS GUSTAVO PARRA NORIEGA Y GUADALUPE RAMÍREZ PEÑA; EN LA VIGÉSIMA NOVENA SESIÓN ORDINARIA CELEBRADA EL DIECINUEVE DE AGOSTO DE DOS MIL VEINTISÉIS, ANTE EL SECRETARIO TÉCNICO DEL PLENO ALEXIS TAPIA RAMÍREZ. </w:t>
      </w:r>
    </w:p>
    <w:p w:rsidR="00000000" w:rsidDel="00000000" w:rsidP="00000000" w:rsidRDefault="00000000" w:rsidRPr="00000000" w14:paraId="000000E1">
      <w:pPr>
        <w:spacing w:line="360" w:lineRule="auto"/>
        <w:ind w:right="49"/>
        <w:jc w:val="both"/>
        <w:rPr>
          <w:rFonts w:ascii="Palatino Linotype" w:cs="Palatino Linotype" w:eastAsia="Palatino Linotype" w:hAnsi="Palatino Linotype"/>
          <w:sz w:val="22"/>
          <w:szCs w:val="22"/>
        </w:rPr>
      </w:pPr>
      <w:bookmarkStart w:colFirst="0" w:colLast="0" w:name="_heading=h.jm1r6tddkv27" w:id="6"/>
      <w:bookmarkEnd w:id="6"/>
      <w:r w:rsidDel="00000000" w:rsidR="00000000" w:rsidRPr="00000000">
        <w:rPr>
          <w:rtl w:val="0"/>
        </w:rPr>
      </w:r>
    </w:p>
    <w:p w:rsidR="00000000" w:rsidDel="00000000" w:rsidP="00000000" w:rsidRDefault="00000000" w:rsidRPr="00000000" w14:paraId="000000E2">
      <w:pPr>
        <w:spacing w:line="360" w:lineRule="auto"/>
        <w:ind w:right="49"/>
        <w:jc w:val="both"/>
        <w:rPr>
          <w:rFonts w:ascii="Palatino Linotype" w:cs="Palatino Linotype" w:eastAsia="Palatino Linotype" w:hAnsi="Palatino Linotype"/>
          <w:sz w:val="22"/>
          <w:szCs w:val="22"/>
        </w:rPr>
      </w:pPr>
      <w:bookmarkStart w:colFirst="0" w:colLast="0" w:name="_heading=h.bcnx93d92m59" w:id="7"/>
      <w:bookmarkEnd w:id="7"/>
      <w:r w:rsidDel="00000000" w:rsidR="00000000" w:rsidRPr="00000000">
        <w:rPr>
          <w:rtl w:val="0"/>
        </w:rPr>
      </w:r>
    </w:p>
    <w:p w:rsidR="00000000" w:rsidDel="00000000" w:rsidP="00000000" w:rsidRDefault="00000000" w:rsidRPr="00000000" w14:paraId="000000E3">
      <w:pPr>
        <w:spacing w:line="360" w:lineRule="auto"/>
        <w:ind w:right="49"/>
        <w:jc w:val="both"/>
        <w:rPr>
          <w:rFonts w:ascii="Palatino Linotype" w:cs="Palatino Linotype" w:eastAsia="Palatino Linotype" w:hAnsi="Palatino Linotype"/>
          <w:sz w:val="22"/>
          <w:szCs w:val="22"/>
        </w:rPr>
      </w:pPr>
      <w:bookmarkStart w:colFirst="0" w:colLast="0" w:name="_heading=h.3gbiyqry7r9o" w:id="8"/>
      <w:bookmarkEnd w:id="8"/>
      <w:r w:rsidDel="00000000" w:rsidR="00000000" w:rsidRPr="00000000">
        <w:rPr>
          <w:rtl w:val="0"/>
        </w:rPr>
      </w:r>
    </w:p>
    <w:p w:rsidR="00000000" w:rsidDel="00000000" w:rsidP="00000000" w:rsidRDefault="00000000" w:rsidRPr="00000000" w14:paraId="000000E4">
      <w:pPr>
        <w:spacing w:line="360" w:lineRule="auto"/>
        <w:ind w:right="49"/>
        <w:jc w:val="both"/>
        <w:rPr>
          <w:rFonts w:ascii="Palatino Linotype" w:cs="Palatino Linotype" w:eastAsia="Palatino Linotype" w:hAnsi="Palatino Linotype"/>
          <w:sz w:val="22"/>
          <w:szCs w:val="22"/>
        </w:rPr>
      </w:pPr>
      <w:bookmarkStart w:colFirst="0" w:colLast="0" w:name="_heading=h.qgprv9227ffu" w:id="9"/>
      <w:bookmarkEnd w:id="9"/>
      <w:r w:rsidDel="00000000" w:rsidR="00000000" w:rsidRPr="00000000">
        <w:rPr>
          <w:rtl w:val="0"/>
        </w:rPr>
      </w:r>
    </w:p>
    <w:p w:rsidR="00000000" w:rsidDel="00000000" w:rsidP="00000000" w:rsidRDefault="00000000" w:rsidRPr="00000000" w14:paraId="000000E5">
      <w:pPr>
        <w:spacing w:line="360" w:lineRule="auto"/>
        <w:ind w:right="49"/>
        <w:jc w:val="both"/>
        <w:rPr>
          <w:rFonts w:ascii="Palatino Linotype" w:cs="Palatino Linotype" w:eastAsia="Palatino Linotype" w:hAnsi="Palatino Linotype"/>
          <w:sz w:val="22"/>
          <w:szCs w:val="22"/>
        </w:rPr>
      </w:pPr>
      <w:bookmarkStart w:colFirst="0" w:colLast="0" w:name="_heading=h.4i76yb1233on" w:id="10"/>
      <w:bookmarkEnd w:id="10"/>
      <w:r w:rsidDel="00000000" w:rsidR="00000000" w:rsidRPr="00000000">
        <w:rPr>
          <w:rtl w:val="0"/>
        </w:rPr>
      </w:r>
    </w:p>
    <w:p w:rsidR="00000000" w:rsidDel="00000000" w:rsidP="00000000" w:rsidRDefault="00000000" w:rsidRPr="00000000" w14:paraId="000000E6">
      <w:pPr>
        <w:spacing w:line="360" w:lineRule="auto"/>
        <w:ind w:right="49"/>
        <w:jc w:val="both"/>
        <w:rPr>
          <w:rFonts w:ascii="Palatino Linotype" w:cs="Palatino Linotype" w:eastAsia="Palatino Linotype" w:hAnsi="Palatino Linotype"/>
          <w:sz w:val="22"/>
          <w:szCs w:val="22"/>
        </w:rPr>
      </w:pPr>
      <w:bookmarkStart w:colFirst="0" w:colLast="0" w:name="_heading=h.ssvgwokvi27" w:id="11"/>
      <w:bookmarkEnd w:id="11"/>
      <w:r w:rsidDel="00000000" w:rsidR="00000000" w:rsidRPr="00000000">
        <w:rPr>
          <w:rtl w:val="0"/>
        </w:rPr>
      </w:r>
    </w:p>
    <w:p w:rsidR="00000000" w:rsidDel="00000000" w:rsidP="00000000" w:rsidRDefault="00000000" w:rsidRPr="00000000" w14:paraId="000000E7">
      <w:pPr>
        <w:spacing w:line="360" w:lineRule="auto"/>
        <w:ind w:right="49"/>
        <w:jc w:val="both"/>
        <w:rPr>
          <w:rFonts w:ascii="Palatino Linotype" w:cs="Palatino Linotype" w:eastAsia="Palatino Linotype" w:hAnsi="Palatino Linotype"/>
          <w:sz w:val="22"/>
          <w:szCs w:val="22"/>
        </w:rPr>
      </w:pPr>
      <w:bookmarkStart w:colFirst="0" w:colLast="0" w:name="_heading=h.4dgyho1qv3w9" w:id="12"/>
      <w:bookmarkEnd w:id="12"/>
      <w:r w:rsidDel="00000000" w:rsidR="00000000" w:rsidRPr="00000000">
        <w:rPr>
          <w:rtl w:val="0"/>
        </w:rPr>
      </w:r>
    </w:p>
    <w:p w:rsidR="00000000" w:rsidDel="00000000" w:rsidP="00000000" w:rsidRDefault="00000000" w:rsidRPr="00000000" w14:paraId="000000E8">
      <w:pPr>
        <w:spacing w:line="360" w:lineRule="auto"/>
        <w:ind w:right="49"/>
        <w:jc w:val="both"/>
        <w:rPr>
          <w:rFonts w:ascii="Palatino Linotype" w:cs="Palatino Linotype" w:eastAsia="Palatino Linotype" w:hAnsi="Palatino Linotype"/>
          <w:sz w:val="22"/>
          <w:szCs w:val="22"/>
        </w:rPr>
      </w:pPr>
      <w:bookmarkStart w:colFirst="0" w:colLast="0" w:name="_heading=h.slmbiceip3vw" w:id="13"/>
      <w:bookmarkEnd w:id="13"/>
      <w:r w:rsidDel="00000000" w:rsidR="00000000" w:rsidRPr="00000000">
        <w:rPr>
          <w:rtl w:val="0"/>
        </w:rPr>
      </w:r>
    </w:p>
    <w:p w:rsidR="00000000" w:rsidDel="00000000" w:rsidP="00000000" w:rsidRDefault="00000000" w:rsidRPr="00000000" w14:paraId="000000E9">
      <w:pPr>
        <w:spacing w:line="360" w:lineRule="auto"/>
        <w:ind w:right="49"/>
        <w:jc w:val="both"/>
        <w:rPr>
          <w:rFonts w:ascii="Palatino Linotype" w:cs="Palatino Linotype" w:eastAsia="Palatino Linotype" w:hAnsi="Palatino Linotype"/>
          <w:sz w:val="22"/>
          <w:szCs w:val="22"/>
        </w:rPr>
      </w:pPr>
      <w:bookmarkStart w:colFirst="0" w:colLast="0" w:name="_heading=h.nlgn6q8etddo" w:id="14"/>
      <w:bookmarkEnd w:id="14"/>
      <w:r w:rsidDel="00000000" w:rsidR="00000000" w:rsidRPr="00000000">
        <w:rPr>
          <w:rtl w:val="0"/>
        </w:rPr>
      </w:r>
    </w:p>
    <w:p w:rsidR="00000000" w:rsidDel="00000000" w:rsidP="00000000" w:rsidRDefault="00000000" w:rsidRPr="00000000" w14:paraId="000000EA">
      <w:pPr>
        <w:spacing w:line="360" w:lineRule="auto"/>
        <w:ind w:right="49"/>
        <w:jc w:val="both"/>
        <w:rPr>
          <w:rFonts w:ascii="Palatino Linotype" w:cs="Palatino Linotype" w:eastAsia="Palatino Linotype" w:hAnsi="Palatino Linotype"/>
          <w:sz w:val="22"/>
          <w:szCs w:val="22"/>
        </w:rPr>
      </w:pPr>
      <w:bookmarkStart w:colFirst="0" w:colLast="0" w:name="_heading=h.kf2fymej9ud5" w:id="15"/>
      <w:bookmarkEnd w:id="15"/>
      <w:r w:rsidDel="00000000" w:rsidR="00000000" w:rsidRPr="00000000">
        <w:rPr>
          <w:rtl w:val="0"/>
        </w:rPr>
      </w:r>
    </w:p>
    <w:p w:rsidR="00000000" w:rsidDel="00000000" w:rsidP="00000000" w:rsidRDefault="00000000" w:rsidRPr="00000000" w14:paraId="000000EB">
      <w:pPr>
        <w:spacing w:line="360" w:lineRule="auto"/>
        <w:ind w:right="49"/>
        <w:jc w:val="both"/>
        <w:rPr>
          <w:rFonts w:ascii="Palatino Linotype" w:cs="Palatino Linotype" w:eastAsia="Palatino Linotype" w:hAnsi="Palatino Linotype"/>
          <w:sz w:val="22"/>
          <w:szCs w:val="22"/>
        </w:rPr>
      </w:pPr>
      <w:bookmarkStart w:colFirst="0" w:colLast="0" w:name="_heading=h.odtc7qkwfcyq" w:id="16"/>
      <w:bookmarkEnd w:id="16"/>
      <w:r w:rsidDel="00000000" w:rsidR="00000000" w:rsidRPr="00000000">
        <w:rPr>
          <w:rtl w:val="0"/>
        </w:rPr>
      </w:r>
    </w:p>
    <w:p w:rsidR="00000000" w:rsidDel="00000000" w:rsidP="00000000" w:rsidRDefault="00000000" w:rsidRPr="00000000" w14:paraId="000000EC">
      <w:pPr>
        <w:spacing w:line="360" w:lineRule="auto"/>
        <w:ind w:right="49"/>
        <w:jc w:val="both"/>
        <w:rPr>
          <w:rFonts w:ascii="Palatino Linotype" w:cs="Palatino Linotype" w:eastAsia="Palatino Linotype" w:hAnsi="Palatino Linotype"/>
          <w:sz w:val="22"/>
          <w:szCs w:val="22"/>
        </w:rPr>
      </w:pPr>
      <w:bookmarkStart w:colFirst="0" w:colLast="0" w:name="_heading=h.ojtwqcvcxao1" w:id="17"/>
      <w:bookmarkEnd w:id="17"/>
      <w:r w:rsidDel="00000000" w:rsidR="00000000" w:rsidRPr="00000000">
        <w:rPr>
          <w:rtl w:val="0"/>
        </w:rPr>
      </w:r>
    </w:p>
    <w:p w:rsidR="00000000" w:rsidDel="00000000" w:rsidP="00000000" w:rsidRDefault="00000000" w:rsidRPr="00000000" w14:paraId="000000ED">
      <w:pPr>
        <w:spacing w:line="360" w:lineRule="auto"/>
        <w:ind w:right="49"/>
        <w:jc w:val="both"/>
        <w:rPr>
          <w:rFonts w:ascii="Palatino Linotype" w:cs="Palatino Linotype" w:eastAsia="Palatino Linotype" w:hAnsi="Palatino Linotype"/>
          <w:sz w:val="22"/>
          <w:szCs w:val="22"/>
        </w:rPr>
      </w:pPr>
      <w:bookmarkStart w:colFirst="0" w:colLast="0" w:name="_heading=h.md02ufwlzmts" w:id="18"/>
      <w:bookmarkEnd w:id="18"/>
      <w:r w:rsidDel="00000000" w:rsidR="00000000" w:rsidRPr="00000000">
        <w:rPr>
          <w:rtl w:val="0"/>
        </w:rPr>
      </w:r>
    </w:p>
    <w:p w:rsidR="00000000" w:rsidDel="00000000" w:rsidP="00000000" w:rsidRDefault="00000000" w:rsidRPr="00000000" w14:paraId="000000EE">
      <w:pPr>
        <w:spacing w:line="360" w:lineRule="auto"/>
        <w:ind w:right="49"/>
        <w:jc w:val="both"/>
        <w:rPr>
          <w:rFonts w:ascii="Palatino Linotype" w:cs="Palatino Linotype" w:eastAsia="Palatino Linotype" w:hAnsi="Palatino Linotype"/>
          <w:sz w:val="22"/>
          <w:szCs w:val="22"/>
        </w:rPr>
      </w:pPr>
      <w:bookmarkStart w:colFirst="0" w:colLast="0" w:name="_heading=h.pqn083vwk0zg" w:id="19"/>
      <w:bookmarkEnd w:id="19"/>
      <w:r w:rsidDel="00000000" w:rsidR="00000000" w:rsidRPr="00000000">
        <w:rPr>
          <w:rtl w:val="0"/>
        </w:rPr>
      </w:r>
    </w:p>
    <w:sectPr>
      <w:headerReference r:id="rId9" w:type="default"/>
      <w:headerReference r:id="rId10" w:type="first"/>
      <w:footerReference r:id="rId11" w:type="default"/>
      <w:footerReference r:id="rId12" w:type="first"/>
      <w:pgSz w:h="15840" w:w="12240" w:orient="portrait"/>
      <w:pgMar w:bottom="1701" w:top="1985" w:left="1701" w:right="1701"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Verdana"/>
  <w:font w:name="Calibri"/>
  <w:font w:name="Arial"/>
  <w:font w:name="Courier New"/>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F">
    <w:pPr>
      <w:pBdr>
        <w:top w:space="0" w:sz="0" w:val="nil"/>
        <w:left w:space="0" w:sz="0" w:val="nil"/>
        <w:bottom w:space="0" w:sz="0" w:val="nil"/>
        <w:right w:space="0" w:sz="0" w:val="nil"/>
        <w:between w:space="0" w:sz="0" w:val="nil"/>
      </w:pBdr>
      <w:tabs>
        <w:tab w:val="center" w:leader="none" w:pos="4252"/>
        <w:tab w:val="right" w:leader="none" w:pos="8504"/>
      </w:tabs>
      <w:jc w:val="right"/>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Página </w:t>
    </w:r>
    <w:r w:rsidDel="00000000" w:rsidR="00000000" w:rsidRPr="00000000">
      <w:rPr>
        <w:rFonts w:ascii="Arial" w:cs="Arial" w:eastAsia="Arial" w:hAnsi="Arial"/>
        <w:b w:val="1"/>
        <w:bCs w:val="1"/>
        <w:color w:val="000000"/>
        <w:sz w:val="20"/>
        <w:szCs w:val="20"/>
      </w:rPr>
      <w:fldChar w:fldCharType="begin"/>
      <w:instrText xml:space="preserve">PAGE</w:instrText>
      <w:fldChar w:fldCharType="separate"/>
      <w:fldChar w:fldCharType="end"/>
    </w:r>
    <w:r w:rsidDel="00000000" w:rsidR="00000000" w:rsidRPr="00000000">
      <w:rPr>
        <w:rFonts w:ascii="Arial" w:cs="Arial" w:eastAsia="Arial" w:hAnsi="Arial"/>
        <w:color w:val="000000"/>
        <w:sz w:val="20"/>
        <w:szCs w:val="20"/>
        <w:rtl w:val="0"/>
      </w:rPr>
      <w:t xml:space="preserve"> de </w:t>
    </w:r>
    <w:r w:rsidDel="00000000" w:rsidR="00000000" w:rsidRPr="00000000">
      <w:rPr>
        <w:rFonts w:ascii="Arial" w:cs="Arial" w:eastAsia="Arial" w:hAnsi="Arial"/>
        <w:b w:val="1"/>
        <w:bCs w:val="1"/>
        <w:color w:val="000000"/>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10">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p w:rsidR="00000000" w:rsidDel="00000000" w:rsidP="00000000" w:rsidRDefault="00000000" w:rsidRPr="00000000" w14:paraId="00000111">
    <w:pPr>
      <w:pBdr>
        <w:top w:space="0" w:sz="0" w:val="nil"/>
        <w:left w:space="0" w:sz="0" w:val="nil"/>
        <w:bottom w:space="0" w:sz="0" w:val="nil"/>
        <w:right w:space="0" w:sz="0" w:val="nil"/>
        <w:between w:space="0" w:sz="0" w:val="nil"/>
      </w:pBdr>
      <w:tabs>
        <w:tab w:val="center" w:leader="none" w:pos="4252"/>
        <w:tab w:val="right" w:leader="none" w:pos="8504"/>
      </w:tabs>
      <w:ind w:firstLine="708"/>
      <w:rPr>
        <w:rFonts w:ascii="Calibri" w:cs="Calibri" w:eastAsia="Calibri" w:hAnsi="Calibri"/>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2">
    <w:pPr>
      <w:pBdr>
        <w:top w:space="0" w:sz="0" w:val="nil"/>
        <w:left w:space="0" w:sz="0" w:val="nil"/>
        <w:bottom w:space="0" w:sz="0" w:val="nil"/>
        <w:right w:space="0" w:sz="0" w:val="nil"/>
        <w:between w:space="0" w:sz="0" w:val="nil"/>
      </w:pBdr>
      <w:tabs>
        <w:tab w:val="center" w:leader="none" w:pos="4252"/>
        <w:tab w:val="right" w:leader="none" w:pos="8504"/>
      </w:tabs>
      <w:jc w:val="right"/>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Página </w:t>
    </w:r>
    <w:r w:rsidDel="00000000" w:rsidR="00000000" w:rsidRPr="00000000">
      <w:rPr>
        <w:rFonts w:ascii="Arial" w:cs="Arial" w:eastAsia="Arial" w:hAnsi="Arial"/>
        <w:b w:val="1"/>
        <w:bCs w:val="1"/>
        <w:color w:val="000000"/>
        <w:sz w:val="20"/>
        <w:szCs w:val="20"/>
      </w:rPr>
      <w:fldChar w:fldCharType="begin"/>
      <w:instrText xml:space="preserve">PAGE</w:instrText>
      <w:fldChar w:fldCharType="separate"/>
      <w:fldChar w:fldCharType="end"/>
    </w:r>
    <w:r w:rsidDel="00000000" w:rsidR="00000000" w:rsidRPr="00000000">
      <w:rPr>
        <w:rFonts w:ascii="Arial" w:cs="Arial" w:eastAsia="Arial" w:hAnsi="Arial"/>
        <w:color w:val="000000"/>
        <w:sz w:val="20"/>
        <w:szCs w:val="20"/>
        <w:rtl w:val="0"/>
      </w:rPr>
      <w:t xml:space="preserve"> de </w:t>
    </w:r>
    <w:r w:rsidDel="00000000" w:rsidR="00000000" w:rsidRPr="00000000">
      <w:rPr>
        <w:rFonts w:ascii="Arial" w:cs="Arial" w:eastAsia="Arial" w:hAnsi="Arial"/>
        <w:b w:val="1"/>
        <w:bCs w:val="1"/>
        <w:color w:val="000000"/>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13">
    <w:pPr>
      <w:pBdr>
        <w:top w:space="0" w:sz="0" w:val="nil"/>
        <w:left w:space="0" w:sz="0" w:val="nil"/>
        <w:bottom w:space="0" w:sz="0" w:val="nil"/>
        <w:right w:space="0" w:sz="0" w:val="nil"/>
        <w:between w:space="0" w:sz="0" w:val="nil"/>
      </w:pBdr>
      <w:tabs>
        <w:tab w:val="center" w:leader="none" w:pos="4252"/>
        <w:tab w:val="right" w:leader="none" w:pos="8504"/>
      </w:tabs>
      <w:rPr>
        <w:rFonts w:ascii="Calibri" w:cs="Calibri" w:eastAsia="Calibri" w:hAnsi="Calibri"/>
        <w:color w:val="00000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EF">
      <w:pPr>
        <w:spacing w:before="240" w:lineRule="auto"/>
        <w:jc w:val="both"/>
        <w:rPr>
          <w:rFonts w:ascii="Palatino Linotype" w:cs="Palatino Linotype" w:eastAsia="Palatino Linotype" w:hAnsi="Palatino Linotype"/>
          <w:sz w:val="16"/>
          <w:szCs w:val="16"/>
        </w:rPr>
      </w:pPr>
      <w:r w:rsidDel="00000000" w:rsidR="00000000" w:rsidRPr="00000000">
        <w:rPr>
          <w:rStyle w:val="FootnoteReference"/>
          <w:vertAlign w:val="superscript"/>
        </w:rPr>
        <w:footnoteRef/>
      </w:r>
      <w:r w:rsidDel="00000000" w:rsidR="00000000" w:rsidRPr="00000000">
        <w:rPr>
          <w:rFonts w:ascii="Palatino Linotype" w:cs="Palatino Linotype" w:eastAsia="Palatino Linotype" w:hAnsi="Palatino Linotype"/>
          <w:sz w:val="16"/>
          <w:szCs w:val="16"/>
          <w:rtl w:val="0"/>
        </w:rPr>
        <w:t xml:space="preserve">“Artículo 178.</w:t>
      </w:r>
    </w:p>
    <w:p w:rsidR="00000000" w:rsidDel="00000000" w:rsidP="00000000" w:rsidRDefault="00000000" w:rsidRPr="00000000" w14:paraId="000000F0">
      <w:pPr>
        <w:jc w:val="both"/>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w:t>
      </w:r>
    </w:p>
    <w:p w:rsidR="00000000" w:rsidDel="00000000" w:rsidP="00000000" w:rsidRDefault="00000000" w:rsidRPr="00000000" w14:paraId="000000F1">
      <w:pPr>
        <w:spacing w:after="240" w:lineRule="auto"/>
        <w:jc w:val="both"/>
        <w:rPr/>
      </w:pPr>
      <w:r w:rsidDel="00000000" w:rsidR="00000000" w:rsidRPr="00000000">
        <w:rPr>
          <w:rFonts w:ascii="Palatino Linotype" w:cs="Palatino Linotype" w:eastAsia="Palatino Linotype" w:hAnsi="Palatino Linotype"/>
          <w:sz w:val="16"/>
          <w:szCs w:val="16"/>
          <w:rtl w:val="0"/>
        </w:rPr>
        <w:t xml:space="preserve">A falta de respuesta del sujeto obligado, dentro de los plazos establecidos en esta Ley, a una solicitud de acceso a la información pública, el recurso podrá ser interpuesto en cualquier momento, acompañado con el documento que pruebe la fecha en que presentó la solicitud…”(Sic)</w:t>
      </w:r>
      <w:r w:rsidDel="00000000" w:rsidR="00000000" w:rsidRPr="00000000">
        <w:rPr>
          <w:rtl w:val="0"/>
        </w:rPr>
      </w:r>
    </w:p>
  </w:footnote>
  <w:footnote w:id="1">
    <w:p w:rsidR="00000000" w:rsidDel="00000000" w:rsidP="00000000" w:rsidRDefault="00000000" w:rsidRPr="00000000" w14:paraId="000000F2">
      <w:pPr>
        <w:pBdr>
          <w:top w:space="0" w:sz="0" w:val="nil"/>
          <w:left w:space="0" w:sz="0" w:val="nil"/>
          <w:bottom w:space="0" w:sz="0" w:val="nil"/>
          <w:right w:space="0" w:sz="0" w:val="nil"/>
          <w:between w:space="0" w:sz="0" w:val="nil"/>
        </w:pBdr>
        <w:jc w:val="both"/>
        <w:rPr>
          <w:rFonts w:ascii="Palatino Linotype" w:cs="Palatino Linotype" w:eastAsia="Palatino Linotype" w:hAnsi="Palatino Linotype"/>
          <w:color w:val="000000"/>
          <w:sz w:val="16"/>
          <w:szCs w:val="16"/>
        </w:rPr>
      </w:pPr>
      <w:r w:rsidDel="00000000" w:rsidR="00000000" w:rsidRPr="00000000">
        <w:rPr>
          <w:rStyle w:val="FootnoteReference"/>
          <w:vertAlign w:val="superscript"/>
        </w:rPr>
        <w:footnoteRef/>
      </w:r>
      <w:r w:rsidDel="00000000" w:rsidR="00000000" w:rsidRPr="00000000">
        <w:rPr>
          <w:rFonts w:ascii="Palatino Linotype" w:cs="Palatino Linotype" w:eastAsia="Palatino Linotype" w:hAnsi="Palatino Linotype"/>
          <w:color w:val="000000"/>
          <w:sz w:val="16"/>
          <w:szCs w:val="16"/>
          <w:rtl w:val="0"/>
        </w:rPr>
        <w:t xml:space="preserve"> Al encontrarse en algún supuesto restrictivo, previsto en la normatividad aplicable.</w:t>
      </w:r>
    </w:p>
  </w:footnote>
  <w:footnote w:id="2">
    <w:p w:rsidR="00000000" w:rsidDel="00000000" w:rsidP="00000000" w:rsidRDefault="00000000" w:rsidRPr="00000000" w14:paraId="000000F3">
      <w:pPr>
        <w:pBdr>
          <w:top w:space="0" w:sz="0" w:val="nil"/>
          <w:left w:space="0" w:sz="0" w:val="nil"/>
          <w:bottom w:space="0" w:sz="0" w:val="nil"/>
          <w:right w:space="0" w:sz="0" w:val="nil"/>
          <w:between w:space="0" w:sz="0" w:val="nil"/>
        </w:pBdr>
        <w:jc w:val="both"/>
        <w:rPr>
          <w:rFonts w:ascii="Palatino Linotype" w:cs="Palatino Linotype" w:eastAsia="Palatino Linotype" w:hAnsi="Palatino Linotype"/>
          <w:color w:val="000000"/>
          <w:sz w:val="16"/>
          <w:szCs w:val="16"/>
        </w:rPr>
      </w:pPr>
      <w:r w:rsidDel="00000000" w:rsidR="00000000" w:rsidRPr="00000000">
        <w:rPr>
          <w:rStyle w:val="FootnoteReference"/>
          <w:vertAlign w:val="superscript"/>
        </w:rPr>
        <w:footnoteRef/>
      </w:r>
      <w:r w:rsidDel="00000000" w:rsidR="00000000" w:rsidRPr="00000000">
        <w:rPr>
          <w:rFonts w:ascii="Palatino Linotype" w:cs="Palatino Linotype" w:eastAsia="Palatino Linotype" w:hAnsi="Palatino Linotype"/>
          <w:color w:val="000000"/>
          <w:sz w:val="16"/>
          <w:szCs w:val="16"/>
          <w:rtl w:val="0"/>
        </w:rPr>
        <w:t xml:space="preserve"> Artículo 59. Los servidores públicos habilitados tendrán las funciones siguientes:</w:t>
      </w:r>
    </w:p>
    <w:p w:rsidR="00000000" w:rsidDel="00000000" w:rsidP="00000000" w:rsidRDefault="00000000" w:rsidRPr="00000000" w14:paraId="000000F4">
      <w:pPr>
        <w:pBdr>
          <w:top w:space="0" w:sz="0" w:val="nil"/>
          <w:left w:space="0" w:sz="0" w:val="nil"/>
          <w:bottom w:space="0" w:sz="0" w:val="nil"/>
          <w:right w:space="0" w:sz="0" w:val="nil"/>
          <w:between w:space="0" w:sz="0" w:val="nil"/>
        </w:pBdr>
        <w:jc w:val="both"/>
        <w:rPr>
          <w:rFonts w:ascii="Palatino Linotype" w:cs="Palatino Linotype" w:eastAsia="Palatino Linotype" w:hAnsi="Palatino Linotype"/>
          <w:color w:val="000000"/>
          <w:sz w:val="16"/>
          <w:szCs w:val="16"/>
        </w:rPr>
      </w:pPr>
      <w:r w:rsidDel="00000000" w:rsidR="00000000" w:rsidRPr="00000000">
        <w:rPr>
          <w:rFonts w:ascii="Palatino Linotype" w:cs="Palatino Linotype" w:eastAsia="Palatino Linotype" w:hAnsi="Palatino Linotype"/>
          <w:color w:val="000000"/>
          <w:sz w:val="16"/>
          <w:szCs w:val="16"/>
          <w:rtl w:val="0"/>
        </w:rPr>
        <w:t xml:space="preserve">V. Integrar y presentar al responsable de la Unidad de Transparencia la propuesta de clasificación de información, la cual tendrá los fundamentos y argumentos en que se basa dicha propuesta;</w:t>
      </w:r>
    </w:p>
  </w:footnote>
  <w:footnote w:id="3">
    <w:p w:rsidR="00000000" w:rsidDel="00000000" w:rsidP="00000000" w:rsidRDefault="00000000" w:rsidRPr="00000000" w14:paraId="000000F5">
      <w:pPr>
        <w:pBdr>
          <w:top w:space="0" w:sz="0" w:val="nil"/>
          <w:left w:space="0" w:sz="0" w:val="nil"/>
          <w:bottom w:space="0" w:sz="0" w:val="nil"/>
          <w:right w:space="0" w:sz="0" w:val="nil"/>
          <w:between w:space="0" w:sz="0" w:val="nil"/>
        </w:pBdr>
        <w:jc w:val="both"/>
        <w:rPr>
          <w:rFonts w:ascii="Palatino Linotype" w:cs="Palatino Linotype" w:eastAsia="Palatino Linotype" w:hAnsi="Palatino Linotype"/>
          <w:color w:val="000000"/>
          <w:sz w:val="16"/>
          <w:szCs w:val="16"/>
        </w:rPr>
      </w:pPr>
      <w:r w:rsidDel="00000000" w:rsidR="00000000" w:rsidRPr="00000000">
        <w:rPr>
          <w:rStyle w:val="FootnoteReference"/>
          <w:vertAlign w:val="superscript"/>
        </w:rPr>
        <w:footnoteRef/>
      </w:r>
      <w:r w:rsidDel="00000000" w:rsidR="00000000" w:rsidRPr="00000000">
        <w:rPr>
          <w:rFonts w:ascii="Palatino Linotype" w:cs="Palatino Linotype" w:eastAsia="Palatino Linotype" w:hAnsi="Palatino Linotype"/>
          <w:color w:val="000000"/>
          <w:sz w:val="16"/>
          <w:szCs w:val="16"/>
          <w:rtl w:val="0"/>
        </w:rPr>
        <w:t xml:space="preserve"> Artículo 53. Las Unidades de Transparencia tendrán las siguientes funciones:</w:t>
      </w:r>
    </w:p>
    <w:p w:rsidR="00000000" w:rsidDel="00000000" w:rsidP="00000000" w:rsidRDefault="00000000" w:rsidRPr="00000000" w14:paraId="000000F6">
      <w:pPr>
        <w:pBdr>
          <w:top w:space="0" w:sz="0" w:val="nil"/>
          <w:left w:space="0" w:sz="0" w:val="nil"/>
          <w:bottom w:space="0" w:sz="0" w:val="nil"/>
          <w:right w:space="0" w:sz="0" w:val="nil"/>
          <w:between w:space="0" w:sz="0" w:val="nil"/>
        </w:pBdr>
        <w:jc w:val="both"/>
        <w:rPr>
          <w:rFonts w:ascii="Palatino Linotype" w:cs="Palatino Linotype" w:eastAsia="Palatino Linotype" w:hAnsi="Palatino Linotype"/>
          <w:color w:val="000000"/>
          <w:sz w:val="16"/>
          <w:szCs w:val="16"/>
        </w:rPr>
      </w:pPr>
      <w:r w:rsidDel="00000000" w:rsidR="00000000" w:rsidRPr="00000000">
        <w:rPr>
          <w:rFonts w:ascii="Palatino Linotype" w:cs="Palatino Linotype" w:eastAsia="Palatino Linotype" w:hAnsi="Palatino Linotype"/>
          <w:color w:val="000000"/>
          <w:sz w:val="16"/>
          <w:szCs w:val="16"/>
          <w:rtl w:val="0"/>
        </w:rPr>
        <w:t xml:space="preserve">X. Presentar ante el Comité, el proyecto de clasificación de información;</w:t>
      </w:r>
    </w:p>
  </w:footnote>
  <w:footnote w:id="4">
    <w:p w:rsidR="00000000" w:rsidDel="00000000" w:rsidP="00000000" w:rsidRDefault="00000000" w:rsidRPr="00000000" w14:paraId="000000F7">
      <w:pPr>
        <w:pBdr>
          <w:top w:space="0" w:sz="0" w:val="nil"/>
          <w:left w:space="0" w:sz="0" w:val="nil"/>
          <w:bottom w:space="0" w:sz="0" w:val="nil"/>
          <w:right w:space="0" w:sz="0" w:val="nil"/>
          <w:between w:space="0" w:sz="0" w:val="nil"/>
        </w:pBdr>
        <w:jc w:val="both"/>
        <w:rPr>
          <w:rFonts w:ascii="Palatino Linotype" w:cs="Palatino Linotype" w:eastAsia="Palatino Linotype" w:hAnsi="Palatino Linotype"/>
          <w:color w:val="000000"/>
          <w:sz w:val="16"/>
          <w:szCs w:val="16"/>
        </w:rPr>
      </w:pPr>
      <w:r w:rsidDel="00000000" w:rsidR="00000000" w:rsidRPr="00000000">
        <w:rPr>
          <w:rStyle w:val="FootnoteReference"/>
          <w:vertAlign w:val="superscript"/>
        </w:rPr>
        <w:footnoteRef/>
      </w:r>
      <w:r w:rsidDel="00000000" w:rsidR="00000000" w:rsidRPr="00000000">
        <w:rPr>
          <w:rFonts w:ascii="Palatino Linotype" w:cs="Palatino Linotype" w:eastAsia="Palatino Linotype" w:hAnsi="Palatino Linotype"/>
          <w:color w:val="000000"/>
          <w:sz w:val="16"/>
          <w:szCs w:val="16"/>
          <w:rtl w:val="0"/>
        </w:rPr>
        <w:t xml:space="preserve"> Artículo 49. Los Comités de Transparencia tendrán las siguientes atribuciones:</w:t>
      </w:r>
    </w:p>
    <w:p w:rsidR="00000000" w:rsidDel="00000000" w:rsidP="00000000" w:rsidRDefault="00000000" w:rsidRPr="00000000" w14:paraId="000000F8">
      <w:pPr>
        <w:pBdr>
          <w:top w:space="0" w:sz="0" w:val="nil"/>
          <w:left w:space="0" w:sz="0" w:val="nil"/>
          <w:bottom w:space="0" w:sz="0" w:val="nil"/>
          <w:right w:space="0" w:sz="0" w:val="nil"/>
          <w:between w:space="0" w:sz="0" w:val="nil"/>
        </w:pBdr>
        <w:jc w:val="both"/>
        <w:rPr>
          <w:rFonts w:ascii="Palatino Linotype" w:cs="Palatino Linotype" w:eastAsia="Palatino Linotype" w:hAnsi="Palatino Linotype"/>
          <w:color w:val="000000"/>
          <w:sz w:val="16"/>
          <w:szCs w:val="16"/>
        </w:rPr>
      </w:pPr>
      <w:r w:rsidDel="00000000" w:rsidR="00000000" w:rsidRPr="00000000">
        <w:rPr>
          <w:rFonts w:ascii="Palatino Linotype" w:cs="Palatino Linotype" w:eastAsia="Palatino Linotype" w:hAnsi="Palatino Linotype"/>
          <w:color w:val="000000"/>
          <w:sz w:val="16"/>
          <w:szCs w:val="16"/>
          <w:rtl w:val="0"/>
        </w:rPr>
        <w:t xml:space="preserve">II. Confirmar, modificar o revocar las determinaciones que en materia de ampliación del plazo de respuesta, clasificación de la información y declaración de inexistencia o de incompetencia realicen los titulares de las áreas de los sujetos obligados;</w:t>
      </w:r>
    </w:p>
    <w:p w:rsidR="00000000" w:rsidDel="00000000" w:rsidP="00000000" w:rsidRDefault="00000000" w:rsidRPr="00000000" w14:paraId="000000F9">
      <w:pPr>
        <w:pBdr>
          <w:top w:space="0" w:sz="0" w:val="nil"/>
          <w:left w:space="0" w:sz="0" w:val="nil"/>
          <w:bottom w:space="0" w:sz="0" w:val="nil"/>
          <w:right w:space="0" w:sz="0" w:val="nil"/>
          <w:between w:space="0" w:sz="0" w:val="nil"/>
        </w:pBdr>
        <w:jc w:val="both"/>
        <w:rPr>
          <w:rFonts w:ascii="Palatino Linotype" w:cs="Palatino Linotype" w:eastAsia="Palatino Linotype" w:hAnsi="Palatino Linotype"/>
          <w:color w:val="000000"/>
          <w:sz w:val="16"/>
          <w:szCs w:val="16"/>
        </w:rPr>
      </w:pPr>
      <w:r w:rsidDel="00000000" w:rsidR="00000000" w:rsidRPr="00000000">
        <w:rPr>
          <w:rFonts w:ascii="Palatino Linotype" w:cs="Palatino Linotype" w:eastAsia="Palatino Linotype" w:hAnsi="Palatino Linotype"/>
          <w:color w:val="000000"/>
          <w:sz w:val="16"/>
          <w:szCs w:val="16"/>
          <w:rtl w:val="0"/>
        </w:rPr>
        <w:t xml:space="preserve">VIII. Aprobar, modificar o revocar la clasificación de la información;</w:t>
      </w:r>
    </w:p>
  </w:footnote>
  <w:footnote w:id="5">
    <w:p w:rsidR="00000000" w:rsidDel="00000000" w:rsidP="00000000" w:rsidRDefault="00000000" w:rsidRPr="00000000" w14:paraId="000000FA">
      <w:pPr>
        <w:pBdr>
          <w:top w:space="0" w:sz="0" w:val="nil"/>
          <w:left w:space="0" w:sz="0" w:val="nil"/>
          <w:bottom w:space="0" w:sz="0" w:val="nil"/>
          <w:right w:space="0" w:sz="0" w:val="nil"/>
          <w:between w:space="0" w:sz="0" w:val="nil"/>
        </w:pBdr>
        <w:jc w:val="both"/>
        <w:rPr>
          <w:rFonts w:ascii="Palatino Linotype" w:cs="Palatino Linotype" w:eastAsia="Palatino Linotype" w:hAnsi="Palatino Linotype"/>
          <w:color w:val="000000"/>
          <w:sz w:val="16"/>
          <w:szCs w:val="16"/>
        </w:rPr>
      </w:pPr>
      <w:r w:rsidDel="00000000" w:rsidR="00000000" w:rsidRPr="00000000">
        <w:rPr>
          <w:rStyle w:val="FootnoteReference"/>
          <w:vertAlign w:val="superscript"/>
        </w:rPr>
        <w:footnoteRef/>
      </w:r>
      <w:r w:rsidDel="00000000" w:rsidR="00000000" w:rsidRPr="00000000">
        <w:rPr>
          <w:rFonts w:ascii="Palatino Linotype" w:cs="Palatino Linotype" w:eastAsia="Palatino Linotype" w:hAnsi="Palatino Linotype"/>
          <w:color w:val="000000"/>
          <w:sz w:val="16"/>
          <w:szCs w:val="16"/>
          <w:rtl w:val="0"/>
        </w:rPr>
        <w:t xml:space="preserve"> Publicados en el Diario Oficial de la Federación en fecha quince de abril del año dos mil dieciséis, mediante Acuerdo del Consejo Nacional del Sistema Nacional de Transparencia, Acceso a la Información Pública y Protección de Datos Personales.</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B">
    <w:pPr>
      <w:widowControl w:val="0"/>
      <w:pBdr>
        <w:top w:space="0" w:sz="0" w:val="nil"/>
        <w:left w:space="0" w:sz="0" w:val="nil"/>
        <w:bottom w:space="0" w:sz="0" w:val="nil"/>
        <w:right w:space="0" w:sz="0" w:val="nil"/>
        <w:between w:space="0" w:sz="0" w:val="nil"/>
      </w:pBdr>
      <w:spacing w:line="276" w:lineRule="auto"/>
      <w:rPr>
        <w:rFonts w:ascii="Calibri" w:cs="Calibri" w:eastAsia="Calibri" w:hAnsi="Calibri"/>
        <w:color w:val="000000"/>
      </w:rPr>
    </w:pPr>
    <w:r w:rsidDel="00000000" w:rsidR="00000000" w:rsidRPr="00000000">
      <w:rPr>
        <w:rtl w:val="0"/>
      </w:rPr>
    </w:r>
  </w:p>
  <w:tbl>
    <w:tblPr>
      <w:tblStyle w:val="Table1"/>
      <w:tblW w:w="5528.0" w:type="dxa"/>
      <w:jc w:val="left"/>
      <w:tblInd w:w="3261.0" w:type="dxa"/>
      <w:tblLayout w:type="fixed"/>
      <w:tblLook w:val="0400"/>
    </w:tblPr>
    <w:tblGrid>
      <w:gridCol w:w="2552"/>
      <w:gridCol w:w="2976"/>
      <w:tblGridChange w:id="0">
        <w:tblGrid>
          <w:gridCol w:w="2552"/>
          <w:gridCol w:w="2976"/>
        </w:tblGrid>
      </w:tblGridChange>
    </w:tblGrid>
    <w:tr>
      <w:trPr>
        <w:cantSplit w:val="0"/>
        <w:tblHeader w:val="0"/>
      </w:trPr>
      <w:tc>
        <w:tcPr>
          <w:vAlign w:val="center"/>
        </w:tcPr>
        <w:p w:rsidR="00000000" w:rsidDel="00000000" w:rsidP="00000000" w:rsidRDefault="00000000" w:rsidRPr="00000000" w14:paraId="000000FC">
          <w:pPr>
            <w:rPr>
              <w:rFonts w:ascii="Palatino Linotype" w:cs="Palatino Linotype" w:eastAsia="Palatino Linotype" w:hAnsi="Palatino Linotype"/>
              <w:b w:val="1"/>
              <w:bCs w:val="1"/>
              <w:sz w:val="21"/>
              <w:szCs w:val="21"/>
            </w:rPr>
          </w:pPr>
          <w:r w:rsidDel="00000000" w:rsidR="00000000" w:rsidRPr="00000000">
            <w:rPr>
              <w:rFonts w:ascii="Palatino Linotype" w:cs="Palatino Linotype" w:eastAsia="Palatino Linotype" w:hAnsi="Palatino Linotype"/>
              <w:b w:val="1"/>
              <w:bCs w:val="1"/>
              <w:sz w:val="21"/>
              <w:szCs w:val="21"/>
              <w:rtl w:val="0"/>
            </w:rPr>
            <w:t xml:space="preserve">Recurso de Revisión:</w:t>
          </w:r>
        </w:p>
      </w:tc>
      <w:tc>
        <w:tcPr>
          <w:vAlign w:val="center"/>
        </w:tcPr>
        <w:p w:rsidR="00000000" w:rsidDel="00000000" w:rsidP="00000000" w:rsidRDefault="00000000" w:rsidRPr="00000000" w14:paraId="000000FD">
          <w:pPr>
            <w:jc w:val="both"/>
            <w:rPr>
              <w:rFonts w:ascii="Palatino Linotype" w:cs="Palatino Linotype" w:eastAsia="Palatino Linotype" w:hAnsi="Palatino Linotype"/>
              <w:b w:val="1"/>
              <w:bCs w:val="1"/>
              <w:sz w:val="21"/>
              <w:szCs w:val="21"/>
            </w:rPr>
          </w:pPr>
          <w:r w:rsidDel="00000000" w:rsidR="00000000" w:rsidRPr="00000000">
            <w:rPr>
              <w:rFonts w:ascii="Palatino Linotype" w:cs="Palatino Linotype" w:eastAsia="Palatino Linotype" w:hAnsi="Palatino Linotype"/>
              <w:b w:val="1"/>
              <w:bCs w:val="1"/>
              <w:sz w:val="21"/>
              <w:szCs w:val="21"/>
              <w:rtl w:val="0"/>
            </w:rPr>
            <w:t xml:space="preserve">07289/INFOEM/IP/RR/2026 </w:t>
          </w:r>
        </w:p>
      </w:tc>
    </w:tr>
    <w:tr>
      <w:trPr>
        <w:cantSplit w:val="0"/>
        <w:trHeight w:val="228" w:hRule="atLeast"/>
        <w:tblHeader w:val="0"/>
      </w:trPr>
      <w:tc>
        <w:tcPr>
          <w:shd w:fill="auto" w:val="clear"/>
          <w:vAlign w:val="center"/>
        </w:tcPr>
        <w:p w:rsidR="00000000" w:rsidDel="00000000" w:rsidP="00000000" w:rsidRDefault="00000000" w:rsidRPr="00000000" w14:paraId="000000FE">
          <w:pPr>
            <w:rPr>
              <w:rFonts w:ascii="Palatino Linotype" w:cs="Palatino Linotype" w:eastAsia="Palatino Linotype" w:hAnsi="Palatino Linotype"/>
              <w:b w:val="1"/>
              <w:bCs w:val="1"/>
              <w:sz w:val="21"/>
              <w:szCs w:val="21"/>
            </w:rPr>
          </w:pPr>
          <w:r w:rsidDel="00000000" w:rsidR="00000000" w:rsidRPr="00000000">
            <w:rPr>
              <w:rFonts w:ascii="Palatino Linotype" w:cs="Palatino Linotype" w:eastAsia="Palatino Linotype" w:hAnsi="Palatino Linotype"/>
              <w:b w:val="1"/>
              <w:bCs w:val="1"/>
              <w:sz w:val="21"/>
              <w:szCs w:val="21"/>
              <w:rtl w:val="0"/>
            </w:rPr>
            <w:t xml:space="preserve">Sujeto obligado:</w:t>
          </w:r>
        </w:p>
        <w:p w:rsidR="00000000" w:rsidDel="00000000" w:rsidP="00000000" w:rsidRDefault="00000000" w:rsidRPr="00000000" w14:paraId="000000FF">
          <w:pPr>
            <w:rPr>
              <w:rFonts w:ascii="Palatino Linotype" w:cs="Palatino Linotype" w:eastAsia="Palatino Linotype" w:hAnsi="Palatino Linotype"/>
              <w:b w:val="1"/>
              <w:bCs w:val="1"/>
              <w:sz w:val="21"/>
              <w:szCs w:val="21"/>
            </w:rPr>
          </w:pPr>
          <w:r w:rsidDel="00000000" w:rsidR="00000000" w:rsidRPr="00000000">
            <w:rPr>
              <w:rtl w:val="0"/>
            </w:rPr>
          </w:r>
        </w:p>
      </w:tc>
      <w:tc>
        <w:tcPr>
          <w:shd w:fill="auto" w:val="clear"/>
          <w:vAlign w:val="center"/>
        </w:tcPr>
        <w:p w:rsidR="00000000" w:rsidDel="00000000" w:rsidP="00000000" w:rsidRDefault="00000000" w:rsidRPr="00000000" w14:paraId="00000100">
          <w:pPr>
            <w:jc w:val="both"/>
            <w:rPr>
              <w:rFonts w:ascii="Palatino Linotype" w:cs="Palatino Linotype" w:eastAsia="Palatino Linotype" w:hAnsi="Palatino Linotype"/>
              <w:b w:val="1"/>
              <w:bCs w:val="1"/>
              <w:sz w:val="21"/>
              <w:szCs w:val="21"/>
            </w:rPr>
          </w:pPr>
          <w:r w:rsidDel="00000000" w:rsidR="00000000" w:rsidRPr="00000000">
            <w:rPr>
              <w:rFonts w:ascii="Palatino Linotype" w:cs="Palatino Linotype" w:eastAsia="Palatino Linotype" w:hAnsi="Palatino Linotype"/>
              <w:b w:val="1"/>
              <w:bCs w:val="1"/>
              <w:sz w:val="21"/>
              <w:szCs w:val="21"/>
              <w:rtl w:val="0"/>
            </w:rPr>
            <w:t xml:space="preserve">Instituto Municipal de Cultura Física y Deporte de Valle de Bravo</w:t>
          </w:r>
        </w:p>
      </w:tc>
    </w:tr>
    <w:tr>
      <w:trPr>
        <w:cantSplit w:val="0"/>
        <w:tblHeader w:val="0"/>
      </w:trPr>
      <w:tc>
        <w:tcPr>
          <w:vAlign w:val="center"/>
        </w:tcPr>
        <w:p w:rsidR="00000000" w:rsidDel="00000000" w:rsidP="00000000" w:rsidRDefault="00000000" w:rsidRPr="00000000" w14:paraId="00000101">
          <w:pPr>
            <w:rPr>
              <w:rFonts w:ascii="Palatino Linotype" w:cs="Palatino Linotype" w:eastAsia="Palatino Linotype" w:hAnsi="Palatino Linotype"/>
              <w:b w:val="1"/>
              <w:bCs w:val="1"/>
              <w:sz w:val="21"/>
              <w:szCs w:val="21"/>
            </w:rPr>
          </w:pPr>
          <w:r w:rsidDel="00000000" w:rsidR="00000000" w:rsidRPr="00000000">
            <w:rPr>
              <w:rFonts w:ascii="Palatino Linotype" w:cs="Palatino Linotype" w:eastAsia="Palatino Linotype" w:hAnsi="Palatino Linotype"/>
              <w:b w:val="1"/>
              <w:bCs w:val="1"/>
              <w:sz w:val="21"/>
              <w:szCs w:val="21"/>
              <w:rtl w:val="0"/>
            </w:rPr>
            <w:t xml:space="preserve">Comisionada ponente:</w:t>
          </w:r>
        </w:p>
      </w:tc>
      <w:tc>
        <w:tcPr>
          <w:vAlign w:val="center"/>
        </w:tcPr>
        <w:p w:rsidR="00000000" w:rsidDel="00000000" w:rsidP="00000000" w:rsidRDefault="00000000" w:rsidRPr="00000000" w14:paraId="00000102">
          <w:pPr>
            <w:ind w:right="-533"/>
            <w:jc w:val="both"/>
            <w:rPr>
              <w:rFonts w:ascii="Palatino Linotype" w:cs="Palatino Linotype" w:eastAsia="Palatino Linotype" w:hAnsi="Palatino Linotype"/>
              <w:b w:val="1"/>
              <w:bCs w:val="1"/>
              <w:sz w:val="21"/>
              <w:szCs w:val="21"/>
            </w:rPr>
          </w:pPr>
          <w:r w:rsidDel="00000000" w:rsidR="00000000" w:rsidRPr="00000000">
            <w:rPr>
              <w:rFonts w:ascii="Palatino Linotype" w:cs="Palatino Linotype" w:eastAsia="Palatino Linotype" w:hAnsi="Palatino Linotype"/>
              <w:b w:val="1"/>
              <w:bCs w:val="1"/>
              <w:sz w:val="21"/>
              <w:szCs w:val="21"/>
              <w:rtl w:val="0"/>
            </w:rPr>
            <w:t xml:space="preserve">Guadalupe Ramírez Peña.</w:t>
          </w:r>
        </w:p>
      </w:tc>
    </w:tr>
  </w:tbl>
  <w:p w:rsidR="00000000" w:rsidDel="00000000" w:rsidP="00000000" w:rsidRDefault="00000000" w:rsidRPr="00000000" w14:paraId="00000103">
    <w:pPr>
      <w:pBdr>
        <w:top w:space="0" w:sz="0" w:val="nil"/>
        <w:left w:space="0" w:sz="0" w:val="nil"/>
        <w:bottom w:space="0" w:sz="0" w:val="nil"/>
        <w:right w:space="0" w:sz="0" w:val="nil"/>
        <w:between w:space="0" w:sz="0" w:val="nil"/>
      </w:pBdr>
      <w:tabs>
        <w:tab w:val="center" w:leader="none" w:pos="4252"/>
        <w:tab w:val="right" w:leader="none" w:pos="8504"/>
        <w:tab w:val="left" w:leader="none" w:pos="2326"/>
      </w:tabs>
      <w:rPr>
        <w:rFonts w:ascii="Calibri" w:cs="Calibri" w:eastAsia="Calibri" w:hAnsi="Calibri"/>
        <w:color w:val="000000"/>
      </w:rPr>
    </w:pPr>
    <w:r w:rsidDel="00000000" w:rsidR="00000000" w:rsidRPr="00000000">
      <w:rPr>
        <w:rFonts w:ascii="Calibri" w:cs="Calibri" w:eastAsia="Calibri" w:hAnsi="Calibri"/>
        <w:color w:val="000000"/>
        <w:rtl w:val="0"/>
      </w:rPr>
      <w:tab/>
    </w:r>
    <w:r w:rsidDel="00000000" w:rsidR="00000000" w:rsidRPr="00000000">
      <w:drawing>
        <wp:anchor allowOverlap="1" behindDoc="1" distB="0" distT="0" distL="0" distR="0" hidden="0" layoutInCell="1" locked="0" relativeHeight="0" simplePos="0">
          <wp:simplePos x="0" y="0"/>
          <wp:positionH relativeFrom="column">
            <wp:posOffset>-689272</wp:posOffset>
          </wp:positionH>
          <wp:positionV relativeFrom="paragraph">
            <wp:posOffset>-1171011</wp:posOffset>
          </wp:positionV>
          <wp:extent cx="7635875" cy="9943465"/>
          <wp:effectExtent b="0" l="0" r="0" t="0"/>
          <wp:wrapNone/>
          <wp:docPr id="2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635875" cy="994346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4">
    <w:pPr>
      <w:pBdr>
        <w:top w:space="0" w:sz="0" w:val="nil"/>
        <w:left w:space="0" w:sz="0" w:val="nil"/>
        <w:bottom w:space="0" w:sz="0" w:val="nil"/>
        <w:right w:space="0" w:sz="0" w:val="nil"/>
        <w:between w:space="0" w:sz="0" w:val="nil"/>
      </w:pBdr>
      <w:tabs>
        <w:tab w:val="center" w:leader="none" w:pos="4252"/>
        <w:tab w:val="right" w:leader="none" w:pos="8504"/>
      </w:tabs>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r w:rsidDel="00000000" w:rsidR="00000000" w:rsidRPr="00000000">
      <w:drawing>
        <wp:anchor allowOverlap="1" behindDoc="1" distB="0" distT="0" distL="0" distR="0" hidden="0" layoutInCell="1" locked="0" relativeHeight="0" simplePos="0">
          <wp:simplePos x="0" y="0"/>
          <wp:positionH relativeFrom="column">
            <wp:posOffset>-655954</wp:posOffset>
          </wp:positionH>
          <wp:positionV relativeFrom="paragraph">
            <wp:posOffset>-341629</wp:posOffset>
          </wp:positionV>
          <wp:extent cx="7635875" cy="9943465"/>
          <wp:effectExtent b="0" l="0" r="0" t="0"/>
          <wp:wrapNone/>
          <wp:docPr id="20"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635875" cy="9943465"/>
                  </a:xfrm>
                  <a:prstGeom prst="rect"/>
                  <a:ln/>
                </pic:spPr>
              </pic:pic>
            </a:graphicData>
          </a:graphic>
        </wp:anchor>
      </w:drawing>
    </w:r>
  </w:p>
  <w:tbl>
    <w:tblPr>
      <w:tblStyle w:val="Table2"/>
      <w:tblW w:w="6238.0" w:type="dxa"/>
      <w:jc w:val="left"/>
      <w:tblInd w:w="3119.0" w:type="dxa"/>
      <w:tblLayout w:type="fixed"/>
      <w:tblLook w:val="0400"/>
    </w:tblPr>
    <w:tblGrid>
      <w:gridCol w:w="2551"/>
      <w:gridCol w:w="3687"/>
      <w:tblGridChange w:id="0">
        <w:tblGrid>
          <w:gridCol w:w="2551"/>
          <w:gridCol w:w="3687"/>
        </w:tblGrid>
      </w:tblGridChange>
    </w:tblGrid>
    <w:tr>
      <w:trPr>
        <w:cantSplit w:val="0"/>
        <w:tblHeader w:val="0"/>
      </w:trPr>
      <w:tc>
        <w:tcPr>
          <w:vAlign w:val="center"/>
        </w:tcPr>
        <w:p w:rsidR="00000000" w:rsidDel="00000000" w:rsidP="00000000" w:rsidRDefault="00000000" w:rsidRPr="00000000" w14:paraId="00000105">
          <w:pPr>
            <w:rPr>
              <w:rFonts w:ascii="Palatino Linotype" w:cs="Palatino Linotype" w:eastAsia="Palatino Linotype" w:hAnsi="Palatino Linotype"/>
              <w:b w:val="1"/>
              <w:bCs w:val="1"/>
              <w:sz w:val="21"/>
              <w:szCs w:val="21"/>
            </w:rPr>
          </w:pPr>
          <w:r w:rsidDel="00000000" w:rsidR="00000000" w:rsidRPr="00000000">
            <w:rPr>
              <w:rFonts w:ascii="Palatino Linotype" w:cs="Palatino Linotype" w:eastAsia="Palatino Linotype" w:hAnsi="Palatino Linotype"/>
              <w:b w:val="1"/>
              <w:bCs w:val="1"/>
              <w:sz w:val="21"/>
              <w:szCs w:val="21"/>
              <w:rtl w:val="0"/>
            </w:rPr>
            <w:t xml:space="preserve">Recurso de Revisión:</w:t>
          </w:r>
        </w:p>
      </w:tc>
      <w:tc>
        <w:tcPr>
          <w:vAlign w:val="center"/>
        </w:tcPr>
        <w:p w:rsidR="00000000" w:rsidDel="00000000" w:rsidP="00000000" w:rsidRDefault="00000000" w:rsidRPr="00000000" w14:paraId="00000106">
          <w:pPr>
            <w:jc w:val="both"/>
            <w:rPr>
              <w:rFonts w:ascii="Palatino Linotype" w:cs="Palatino Linotype" w:eastAsia="Palatino Linotype" w:hAnsi="Palatino Linotype"/>
              <w:b w:val="1"/>
              <w:bCs w:val="1"/>
              <w:sz w:val="21"/>
              <w:szCs w:val="21"/>
            </w:rPr>
          </w:pPr>
          <w:r w:rsidDel="00000000" w:rsidR="00000000" w:rsidRPr="00000000">
            <w:rPr>
              <w:rFonts w:ascii="Palatino Linotype" w:cs="Palatino Linotype" w:eastAsia="Palatino Linotype" w:hAnsi="Palatino Linotype"/>
              <w:b w:val="1"/>
              <w:bCs w:val="1"/>
              <w:sz w:val="21"/>
              <w:szCs w:val="21"/>
              <w:rtl w:val="0"/>
            </w:rPr>
            <w:t xml:space="preserve">07289/INFOEM/IP/RR/2026</w:t>
          </w:r>
        </w:p>
      </w:tc>
    </w:tr>
    <w:tr>
      <w:trPr>
        <w:cantSplit w:val="0"/>
        <w:tblHeader w:val="0"/>
      </w:trPr>
      <w:tc>
        <w:tcPr>
          <w:vAlign w:val="center"/>
        </w:tcPr>
        <w:p w:rsidR="00000000" w:rsidDel="00000000" w:rsidP="00000000" w:rsidRDefault="00000000" w:rsidRPr="00000000" w14:paraId="00000107">
          <w:pPr>
            <w:ind w:left="35" w:hanging="35"/>
            <w:rPr>
              <w:rFonts w:ascii="Palatino Linotype" w:cs="Palatino Linotype" w:eastAsia="Palatino Linotype" w:hAnsi="Palatino Linotype"/>
              <w:b w:val="1"/>
              <w:bCs w:val="1"/>
              <w:sz w:val="21"/>
              <w:szCs w:val="21"/>
            </w:rPr>
          </w:pPr>
          <w:r w:rsidDel="00000000" w:rsidR="00000000" w:rsidRPr="00000000">
            <w:rPr>
              <w:rFonts w:ascii="Palatino Linotype" w:cs="Palatino Linotype" w:eastAsia="Palatino Linotype" w:hAnsi="Palatino Linotype"/>
              <w:b w:val="1"/>
              <w:bCs w:val="1"/>
              <w:sz w:val="21"/>
              <w:szCs w:val="21"/>
              <w:rtl w:val="0"/>
            </w:rPr>
            <w:t xml:space="preserve">Recurrente:</w:t>
          </w:r>
        </w:p>
      </w:tc>
      <w:tc>
        <w:tcPr>
          <w:vAlign w:val="center"/>
        </w:tcPr>
        <w:p w:rsidR="00000000" w:rsidDel="00000000" w:rsidP="00000000" w:rsidRDefault="00000000" w:rsidRPr="00000000" w14:paraId="00000108">
          <w:pPr>
            <w:ind w:right="452"/>
            <w:jc w:val="both"/>
            <w:rPr>
              <w:rFonts w:ascii="Palatino Linotype" w:cs="Palatino Linotype" w:eastAsia="Palatino Linotype" w:hAnsi="Palatino Linotype"/>
              <w:b w:val="1"/>
              <w:bCs w:val="1"/>
              <w:sz w:val="21"/>
              <w:szCs w:val="21"/>
            </w:rPr>
          </w:pPr>
          <w:r w:rsidDel="00000000" w:rsidR="00000000" w:rsidRPr="00000000">
            <w:rPr>
              <w:rFonts w:ascii="Palatino Linotype" w:cs="Palatino Linotype" w:eastAsia="Palatino Linotype" w:hAnsi="Palatino Linotype"/>
              <w:b w:val="1"/>
              <w:bCs w:val="1"/>
              <w:sz w:val="21"/>
              <w:szCs w:val="21"/>
              <w:rtl w:val="0"/>
            </w:rPr>
            <w:t xml:space="preserve">XXXX</w:t>
          </w:r>
        </w:p>
      </w:tc>
    </w:tr>
    <w:tr>
      <w:trPr>
        <w:cantSplit w:val="0"/>
        <w:trHeight w:val="228" w:hRule="atLeast"/>
        <w:tblHeader w:val="0"/>
      </w:trPr>
      <w:tc>
        <w:tcPr>
          <w:vAlign w:val="center"/>
        </w:tcPr>
        <w:p w:rsidR="00000000" w:rsidDel="00000000" w:rsidP="00000000" w:rsidRDefault="00000000" w:rsidRPr="00000000" w14:paraId="00000109">
          <w:pPr>
            <w:rPr>
              <w:rFonts w:ascii="Palatino Linotype" w:cs="Palatino Linotype" w:eastAsia="Palatino Linotype" w:hAnsi="Palatino Linotype"/>
              <w:b w:val="1"/>
              <w:bCs w:val="1"/>
              <w:sz w:val="21"/>
              <w:szCs w:val="21"/>
            </w:rPr>
          </w:pPr>
          <w:r w:rsidDel="00000000" w:rsidR="00000000" w:rsidRPr="00000000">
            <w:rPr>
              <w:rFonts w:ascii="Palatino Linotype" w:cs="Palatino Linotype" w:eastAsia="Palatino Linotype" w:hAnsi="Palatino Linotype"/>
              <w:b w:val="1"/>
              <w:bCs w:val="1"/>
              <w:sz w:val="21"/>
              <w:szCs w:val="21"/>
              <w:rtl w:val="0"/>
            </w:rPr>
            <w:t xml:space="preserve">Sujeto obligado:</w:t>
          </w:r>
        </w:p>
        <w:p w:rsidR="00000000" w:rsidDel="00000000" w:rsidP="00000000" w:rsidRDefault="00000000" w:rsidRPr="00000000" w14:paraId="0000010A">
          <w:pPr>
            <w:rPr>
              <w:rFonts w:ascii="Palatino Linotype" w:cs="Palatino Linotype" w:eastAsia="Palatino Linotype" w:hAnsi="Palatino Linotype"/>
              <w:b w:val="1"/>
              <w:bCs w:val="1"/>
              <w:sz w:val="21"/>
              <w:szCs w:val="21"/>
            </w:rPr>
          </w:pPr>
          <w:r w:rsidDel="00000000" w:rsidR="00000000" w:rsidRPr="00000000">
            <w:rPr>
              <w:rtl w:val="0"/>
            </w:rPr>
          </w:r>
        </w:p>
      </w:tc>
      <w:tc>
        <w:tcPr>
          <w:vAlign w:val="center"/>
        </w:tcPr>
        <w:p w:rsidR="00000000" w:rsidDel="00000000" w:rsidP="00000000" w:rsidRDefault="00000000" w:rsidRPr="00000000" w14:paraId="0000010B">
          <w:pPr>
            <w:ind w:right="452"/>
            <w:jc w:val="both"/>
            <w:rPr>
              <w:rFonts w:ascii="Palatino Linotype" w:cs="Palatino Linotype" w:eastAsia="Palatino Linotype" w:hAnsi="Palatino Linotype"/>
              <w:b w:val="1"/>
              <w:bCs w:val="1"/>
              <w:sz w:val="21"/>
              <w:szCs w:val="21"/>
            </w:rPr>
          </w:pPr>
          <w:r w:rsidDel="00000000" w:rsidR="00000000" w:rsidRPr="00000000">
            <w:rPr>
              <w:rFonts w:ascii="Palatino Linotype" w:cs="Palatino Linotype" w:eastAsia="Palatino Linotype" w:hAnsi="Palatino Linotype"/>
              <w:b w:val="1"/>
              <w:bCs w:val="1"/>
              <w:sz w:val="21"/>
              <w:szCs w:val="21"/>
              <w:rtl w:val="0"/>
            </w:rPr>
            <w:t xml:space="preserve">Instituto Municipal de Cultura Física y Deporte de Valle de Bravo</w:t>
          </w:r>
        </w:p>
      </w:tc>
    </w:tr>
    <w:tr>
      <w:trPr>
        <w:cantSplit w:val="0"/>
        <w:tblHeader w:val="0"/>
      </w:trPr>
      <w:tc>
        <w:tcPr>
          <w:vAlign w:val="center"/>
        </w:tcPr>
        <w:p w:rsidR="00000000" w:rsidDel="00000000" w:rsidP="00000000" w:rsidRDefault="00000000" w:rsidRPr="00000000" w14:paraId="0000010C">
          <w:pPr>
            <w:rPr>
              <w:rFonts w:ascii="Palatino Linotype" w:cs="Palatino Linotype" w:eastAsia="Palatino Linotype" w:hAnsi="Palatino Linotype"/>
              <w:b w:val="1"/>
              <w:bCs w:val="1"/>
              <w:sz w:val="21"/>
              <w:szCs w:val="21"/>
            </w:rPr>
          </w:pPr>
          <w:r w:rsidDel="00000000" w:rsidR="00000000" w:rsidRPr="00000000">
            <w:rPr>
              <w:rFonts w:ascii="Palatino Linotype" w:cs="Palatino Linotype" w:eastAsia="Palatino Linotype" w:hAnsi="Palatino Linotype"/>
              <w:b w:val="1"/>
              <w:bCs w:val="1"/>
              <w:sz w:val="21"/>
              <w:szCs w:val="21"/>
              <w:rtl w:val="0"/>
            </w:rPr>
            <w:t xml:space="preserve">Comisionada ponente:</w:t>
          </w:r>
        </w:p>
      </w:tc>
      <w:tc>
        <w:tcPr>
          <w:vAlign w:val="center"/>
        </w:tcPr>
        <w:p w:rsidR="00000000" w:rsidDel="00000000" w:rsidP="00000000" w:rsidRDefault="00000000" w:rsidRPr="00000000" w14:paraId="0000010D">
          <w:pPr>
            <w:ind w:right="-533"/>
            <w:jc w:val="both"/>
            <w:rPr>
              <w:rFonts w:ascii="Palatino Linotype" w:cs="Palatino Linotype" w:eastAsia="Palatino Linotype" w:hAnsi="Palatino Linotype"/>
              <w:b w:val="1"/>
              <w:bCs w:val="1"/>
              <w:sz w:val="21"/>
              <w:szCs w:val="21"/>
            </w:rPr>
          </w:pPr>
          <w:r w:rsidDel="00000000" w:rsidR="00000000" w:rsidRPr="00000000">
            <w:rPr>
              <w:rFonts w:ascii="Palatino Linotype" w:cs="Palatino Linotype" w:eastAsia="Palatino Linotype" w:hAnsi="Palatino Linotype"/>
              <w:b w:val="1"/>
              <w:bCs w:val="1"/>
              <w:sz w:val="21"/>
              <w:szCs w:val="21"/>
              <w:rtl w:val="0"/>
            </w:rPr>
            <w:t xml:space="preserve">Guadalupe Ramírez Peña</w:t>
          </w:r>
        </w:p>
      </w:tc>
    </w:tr>
  </w:tbl>
  <w:p w:rsidR="00000000" w:rsidDel="00000000" w:rsidP="00000000" w:rsidRDefault="00000000" w:rsidRPr="00000000" w14:paraId="0000010E">
    <w:pPr>
      <w:pBdr>
        <w:top w:space="0" w:sz="0" w:val="nil"/>
        <w:left w:space="0" w:sz="0" w:val="nil"/>
        <w:bottom w:space="0" w:sz="0" w:val="nil"/>
        <w:right w:space="0" w:sz="0" w:val="nil"/>
        <w:between w:space="0" w:sz="0" w:val="nil"/>
      </w:pBdr>
      <w:tabs>
        <w:tab w:val="center" w:leader="none" w:pos="4252"/>
        <w:tab w:val="right" w:leader="none" w:pos="8504"/>
      </w:tabs>
      <w:rPr>
        <w:rFonts w:ascii="Calibri" w:cs="Calibri" w:eastAsia="Calibri" w:hAnsi="Calibri"/>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7"/>
      <w:numFmt w:val="upperRoman"/>
      <w:lvlText w:val="%1."/>
      <w:lvlJc w:val="left"/>
      <w:pPr>
        <w:ind w:left="1080" w:hanging="72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paragraph" w:styleId="Encabezado">
    <w:name w:val="header"/>
    <w:basedOn w:val="Normal"/>
    <w:link w:val="EncabezadoCar"/>
    <w:uiPriority w:val="99"/>
    <w:unhideWhenUsed w:val="1"/>
    <w:rsid w:val="00591A48"/>
    <w:pPr>
      <w:tabs>
        <w:tab w:val="center" w:pos="4252"/>
        <w:tab w:val="right" w:pos="8504"/>
      </w:tabs>
    </w:pPr>
    <w:rPr>
      <w:rFonts w:asciiTheme="minorHAnsi" w:cstheme="minorBidi" w:eastAsiaTheme="minorEastAsia" w:hAnsiTheme="minorHAnsi"/>
      <w:lang w:val="es-ES_tradnl"/>
    </w:rPr>
  </w:style>
  <w:style w:type="character" w:styleId="EncabezadoCar" w:customStyle="1">
    <w:name w:val="Encabezado Car"/>
    <w:basedOn w:val="Fuentedeprrafopredeter"/>
    <w:link w:val="Encabezado"/>
    <w:uiPriority w:val="99"/>
    <w:rsid w:val="00591A48"/>
    <w:rPr>
      <w:rFonts w:eastAsiaTheme="minorEastAsia"/>
      <w:sz w:val="24"/>
      <w:szCs w:val="24"/>
      <w:lang w:eastAsia="es-ES" w:val="es-ES_tradnl"/>
    </w:rPr>
  </w:style>
  <w:style w:type="paragraph" w:styleId="Piedepgina">
    <w:name w:val="footer"/>
    <w:basedOn w:val="Normal"/>
    <w:link w:val="PiedepginaCar"/>
    <w:uiPriority w:val="99"/>
    <w:unhideWhenUsed w:val="1"/>
    <w:rsid w:val="00591A48"/>
    <w:pPr>
      <w:tabs>
        <w:tab w:val="center" w:pos="4252"/>
        <w:tab w:val="right" w:pos="8504"/>
      </w:tabs>
    </w:pPr>
    <w:rPr>
      <w:rFonts w:asciiTheme="minorHAnsi" w:cstheme="minorBidi" w:eastAsiaTheme="minorEastAsia" w:hAnsiTheme="minorHAnsi"/>
      <w:lang w:val="es-ES_tradnl"/>
    </w:rPr>
  </w:style>
  <w:style w:type="character" w:styleId="PiedepginaCar" w:customStyle="1">
    <w:name w:val="Pie de página Car"/>
    <w:basedOn w:val="Fuentedeprrafopredeter"/>
    <w:link w:val="Piedepgina"/>
    <w:uiPriority w:val="99"/>
    <w:rsid w:val="00591A48"/>
    <w:rPr>
      <w:rFonts w:eastAsiaTheme="minorEastAsia"/>
      <w:sz w:val="24"/>
      <w:szCs w:val="24"/>
      <w:lang w:eastAsia="es-ES" w:val="es-ES_tradnl"/>
    </w:rPr>
  </w:style>
  <w:style w:type="character" w:styleId="PrrafodelistaCar" w:customStyle="1">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val="1"/>
    <w:locked w:val="1"/>
    <w:rsid w:val="00591A48"/>
    <w:rPr>
      <w:rFonts w:ascii="Times New Roman" w:cs="Times New Roman" w:eastAsia="Times New Roman" w:hAnsi="Times New Roman"/>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val="1"/>
    <w:rsid w:val="00591A48"/>
    <w:pPr>
      <w:ind w:left="708"/>
    </w:pPr>
    <w:rPr>
      <w:sz w:val="22"/>
      <w:szCs w:val="22"/>
      <w:lang w:eastAsia="en-US" w:val="es-MX"/>
    </w:rPr>
  </w:style>
  <w:style w:type="table" w:styleId="Tablaconcuadrcula">
    <w:name w:val="Table Grid"/>
    <w:basedOn w:val="Tablanormal"/>
    <w:uiPriority w:val="59"/>
    <w:rsid w:val="00591A48"/>
    <w:rPr>
      <w:rFonts w:eastAsiaTheme="minorEastAsia"/>
      <w:lang w:eastAsia="es-ES" w:val="es-ES_tradnl"/>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normaltextrun" w:customStyle="1">
    <w:name w:val="normaltextrun"/>
    <w:basedOn w:val="Fuentedeprrafopredeter"/>
    <w:rsid w:val="00591A48"/>
  </w:style>
  <w:style w:type="character" w:styleId="apple-converted-space" w:customStyle="1">
    <w:name w:val="apple-converted-space"/>
    <w:basedOn w:val="Fuentedeprrafopredeter"/>
    <w:rsid w:val="00591A48"/>
  </w:style>
  <w:style w:type="character" w:styleId="Hipervnculo">
    <w:name w:val="Hyperlink"/>
    <w:basedOn w:val="Fuentedeprrafopredeter"/>
    <w:uiPriority w:val="99"/>
    <w:unhideWhenUsed w:val="1"/>
    <w:rsid w:val="00591A48"/>
    <w:rPr>
      <w:color w:val="0000ff"/>
      <w:u w:val="single"/>
    </w:rPr>
  </w:style>
  <w:style w:type="paragraph" w:styleId="NormalWeb">
    <w:name w:val="Normal (Web)"/>
    <w:basedOn w:val="Normal"/>
    <w:uiPriority w:val="99"/>
    <w:unhideWhenUsed w:val="1"/>
    <w:rsid w:val="00591A48"/>
    <w:pPr>
      <w:spacing w:after="100" w:afterAutospacing="1" w:before="100" w:beforeAutospacing="1"/>
    </w:pPr>
    <w:rPr>
      <w:lang w:val="es-MX"/>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nhideWhenUsed w:val="1"/>
    <w:qFormat w:val="1"/>
    <w:rsid w:val="00591A48"/>
    <w:rPr>
      <w:rFonts w:asciiTheme="minorHAnsi" w:cstheme="minorBidi" w:eastAsiaTheme="minorHAnsi" w:hAnsiTheme="minorHAnsi"/>
      <w:sz w:val="20"/>
      <w:szCs w:val="20"/>
      <w:lang w:eastAsia="en-US" w:val="es-MX"/>
    </w:rPr>
  </w:style>
  <w:style w:type="character" w:styleId="TextonotapieCar" w:customStyle="1">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qFormat w:val="1"/>
    <w:rsid w:val="00591A48"/>
    <w:rPr>
      <w:sz w:val="20"/>
      <w:szCs w:val="20"/>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f"/>
    <w:basedOn w:val="Fuentedeprrafopredeter"/>
    <w:unhideWhenUsed w:val="1"/>
    <w:qFormat w:val="1"/>
    <w:rsid w:val="00591A48"/>
    <w:rPr>
      <w:vertAlign w:val="superscript"/>
    </w:rPr>
  </w:style>
  <w:style w:type="character" w:styleId="Refdecomentario">
    <w:name w:val="annotation reference"/>
    <w:basedOn w:val="Fuentedeprrafopredeter"/>
    <w:uiPriority w:val="99"/>
    <w:semiHidden w:val="1"/>
    <w:unhideWhenUsed w:val="1"/>
    <w:rsid w:val="00D33422"/>
    <w:rPr>
      <w:sz w:val="16"/>
      <w:szCs w:val="16"/>
    </w:rPr>
  </w:style>
  <w:style w:type="paragraph" w:styleId="Textocomentario">
    <w:name w:val="annotation text"/>
    <w:basedOn w:val="Normal"/>
    <w:link w:val="TextocomentarioCar"/>
    <w:uiPriority w:val="99"/>
    <w:semiHidden w:val="1"/>
    <w:unhideWhenUsed w:val="1"/>
    <w:rsid w:val="00D33422"/>
    <w:rPr>
      <w:sz w:val="20"/>
      <w:szCs w:val="20"/>
    </w:rPr>
  </w:style>
  <w:style w:type="character" w:styleId="TextocomentarioCar" w:customStyle="1">
    <w:name w:val="Texto comentario Car"/>
    <w:basedOn w:val="Fuentedeprrafopredeter"/>
    <w:link w:val="Textocomentario"/>
    <w:uiPriority w:val="99"/>
    <w:semiHidden w:val="1"/>
    <w:rsid w:val="00D33422"/>
    <w:rPr>
      <w:rFonts w:ascii="Times New Roman" w:cs="Times New Roman" w:eastAsia="Times New Roman" w:hAnsi="Times New Roman"/>
      <w:sz w:val="20"/>
      <w:szCs w:val="20"/>
      <w:lang w:eastAsia="es-ES" w:val="es-ES"/>
    </w:rPr>
  </w:style>
  <w:style w:type="paragraph" w:styleId="Asuntodelcomentario">
    <w:name w:val="annotation subject"/>
    <w:basedOn w:val="Textocomentario"/>
    <w:next w:val="Textocomentario"/>
    <w:link w:val="AsuntodelcomentarioCar"/>
    <w:uiPriority w:val="99"/>
    <w:semiHidden w:val="1"/>
    <w:unhideWhenUsed w:val="1"/>
    <w:rsid w:val="00D33422"/>
    <w:rPr>
      <w:b w:val="1"/>
      <w:bCs w:val="1"/>
    </w:rPr>
  </w:style>
  <w:style w:type="character" w:styleId="AsuntodelcomentarioCar" w:customStyle="1">
    <w:name w:val="Asunto del comentario Car"/>
    <w:basedOn w:val="TextocomentarioCar"/>
    <w:link w:val="Asuntodelcomentario"/>
    <w:uiPriority w:val="99"/>
    <w:semiHidden w:val="1"/>
    <w:rsid w:val="00D33422"/>
    <w:rPr>
      <w:rFonts w:ascii="Times New Roman" w:cs="Times New Roman" w:eastAsia="Times New Roman" w:hAnsi="Times New Roman"/>
      <w:b w:val="1"/>
      <w:bCs w:val="1"/>
      <w:sz w:val="20"/>
      <w:szCs w:val="20"/>
      <w:lang w:eastAsia="es-ES" w:val="es-ES"/>
    </w:rPr>
  </w:style>
  <w:style w:type="paragraph" w:styleId="Textodeglobo">
    <w:name w:val="Balloon Text"/>
    <w:basedOn w:val="Normal"/>
    <w:link w:val="TextodegloboCar"/>
    <w:uiPriority w:val="99"/>
    <w:semiHidden w:val="1"/>
    <w:unhideWhenUsed w:val="1"/>
    <w:rsid w:val="00D33422"/>
    <w:rPr>
      <w:rFonts w:ascii="Segoe UI" w:cs="Segoe UI" w:hAnsi="Segoe UI"/>
      <w:sz w:val="18"/>
      <w:szCs w:val="18"/>
    </w:rPr>
  </w:style>
  <w:style w:type="character" w:styleId="TextodegloboCar" w:customStyle="1">
    <w:name w:val="Texto de globo Car"/>
    <w:basedOn w:val="Fuentedeprrafopredeter"/>
    <w:link w:val="Textodeglobo"/>
    <w:uiPriority w:val="99"/>
    <w:semiHidden w:val="1"/>
    <w:rsid w:val="00D33422"/>
    <w:rPr>
      <w:rFonts w:ascii="Segoe UI" w:cs="Segoe UI" w:eastAsia="Times New Roman" w:hAnsi="Segoe UI"/>
      <w:sz w:val="18"/>
      <w:szCs w:val="18"/>
      <w:lang w:eastAsia="es-ES" w:val="es-ES"/>
    </w:rPr>
  </w:style>
  <w:style w:type="paragraph" w:styleId="paragraph" w:customStyle="1">
    <w:name w:val="paragraph"/>
    <w:basedOn w:val="Normal"/>
    <w:rsid w:val="00225930"/>
    <w:pPr>
      <w:spacing w:after="100" w:afterAutospacing="1" w:before="100" w:beforeAutospacing="1"/>
    </w:pPr>
    <w:rPr>
      <w:lang w:val="es-MX"/>
    </w:rPr>
  </w:style>
  <w:style w:type="table" w:styleId="a" w:customStyle="1">
    <w:basedOn w:val="TableNormal2"/>
    <w:tblPr>
      <w:tblStyleRowBandSize w:val="1"/>
      <w:tblStyleColBandSize w:val="1"/>
      <w:tblCellMar>
        <w:left w:w="115.0" w:type="dxa"/>
        <w:right w:w="115.0" w:type="dxa"/>
      </w:tblCellMar>
    </w:tblPr>
  </w:style>
  <w:style w:type="table" w:styleId="a0" w:customStyle="1">
    <w:basedOn w:val="TableNormal2"/>
    <w:tblPr>
      <w:tblStyleRowBandSize w:val="1"/>
      <w:tblStyleColBandSize w:val="1"/>
      <w:tblCellMar>
        <w:left w:w="115.0" w:type="dxa"/>
        <w:right w:w="115.0" w:type="dxa"/>
      </w:tblCellMar>
    </w:tblPr>
  </w:style>
  <w:style w:type="table" w:styleId="a1" w:customStyle="1">
    <w:basedOn w:val="TableNormal2"/>
    <w:tblPr>
      <w:tblStyleRowBandSize w:val="1"/>
      <w:tblStyleColBandSize w:val="1"/>
      <w:tblCellMar>
        <w:left w:w="115.0" w:type="dxa"/>
        <w:right w:w="115.0" w:type="dxa"/>
      </w:tblCellMar>
    </w:tblPr>
  </w:style>
  <w:style w:type="table" w:styleId="a2" w:customStyle="1">
    <w:basedOn w:val="TableNormal2"/>
    <w:tblPr>
      <w:tblStyleRowBandSize w:val="1"/>
      <w:tblStyleColBandSize w:val="1"/>
      <w:tblCellMar>
        <w:left w:w="115.0" w:type="dxa"/>
        <w:right w:w="115.0" w:type="dxa"/>
      </w:tblCellMar>
    </w:tblPr>
  </w:style>
  <w:style w:type="paragraph" w:styleId="Textoindependiente">
    <w:name w:val="Body Text"/>
    <w:basedOn w:val="Normal"/>
    <w:link w:val="TextoindependienteCar"/>
    <w:uiPriority w:val="99"/>
    <w:unhideWhenUsed w:val="1"/>
    <w:rsid w:val="00AA0915"/>
    <w:pPr>
      <w:spacing w:after="120"/>
    </w:pPr>
  </w:style>
  <w:style w:type="character" w:styleId="TextoindependienteCar" w:customStyle="1">
    <w:name w:val="Texto independiente Car"/>
    <w:basedOn w:val="Fuentedeprrafopredeter"/>
    <w:link w:val="Textoindependiente"/>
    <w:uiPriority w:val="99"/>
    <w:rsid w:val="00AA0915"/>
  </w:style>
  <w:style w:type="table" w:styleId="a3" w:customStyle="1">
    <w:basedOn w:val="TableNormal1"/>
    <w:tblPr>
      <w:tblStyleRowBandSize w:val="1"/>
      <w:tblStyleColBandSize w:val="1"/>
      <w:tblCellMar>
        <w:left w:w="115.0" w:type="dxa"/>
        <w:right w:w="115.0" w:type="dxa"/>
      </w:tblCellMar>
    </w:tblPr>
  </w:style>
  <w:style w:type="table" w:styleId="a4" w:customStyle="1">
    <w:basedOn w:val="TableNormal1"/>
    <w:tblPr>
      <w:tblStyleRowBandSize w:val="1"/>
      <w:tblStyleColBandSize w:val="1"/>
      <w:tblCellMar>
        <w:left w:w="115.0" w:type="dxa"/>
        <w:right w:w="115.0" w:type="dxa"/>
      </w:tblCellMar>
    </w:tblPr>
  </w:style>
  <w:style w:type="table" w:styleId="a5" w:customStyle="1">
    <w:basedOn w:val="TableNormal1"/>
    <w:tblPr>
      <w:tblStyleRowBandSize w:val="1"/>
      <w:tblStyleColBandSize w:val="1"/>
      <w:tblCellMar>
        <w:left w:w="115.0" w:type="dxa"/>
        <w:right w:w="115.0" w:type="dxa"/>
      </w:tblCellMar>
    </w:tblPr>
  </w:style>
  <w:style w:type="paragraph" w:styleId="Sinespaciado">
    <w:name w:val="No Spacing"/>
    <w:aliases w:val="Francesa,INAI"/>
    <w:link w:val="SinespaciadoCar"/>
    <w:uiPriority w:val="1"/>
    <w:qFormat w:val="1"/>
    <w:rsid w:val="0085765F"/>
    <w:rPr>
      <w:lang w:eastAsia="es-ES" w:val="es-MX"/>
    </w:rPr>
  </w:style>
  <w:style w:type="character" w:styleId="SinespaciadoCar" w:customStyle="1">
    <w:name w:val="Sin espaciado Car"/>
    <w:aliases w:val="Francesa Car,INAI Car"/>
    <w:link w:val="Sinespaciado"/>
    <w:uiPriority w:val="1"/>
    <w:locked w:val="1"/>
    <w:rsid w:val="0085765F"/>
    <w:rPr>
      <w:lang w:eastAsia="es-ES" w:val="es-MX"/>
    </w:rPr>
  </w:style>
  <w:style w:type="table" w:styleId="a6" w:customStyle="1">
    <w:basedOn w:val="TableNormal0"/>
    <w:tblPr>
      <w:tblStyleRowBandSize w:val="1"/>
      <w:tblStyleColBandSize w:val="1"/>
      <w:tblCellMar>
        <w:left w:w="115.0" w:type="dxa"/>
        <w:right w:w="115.0" w:type="dxa"/>
      </w:tblCellMar>
    </w:tblPr>
  </w:style>
  <w:style w:type="table" w:styleId="a7"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hToA7HKWPcQ00y/qNUna8Hm/CA==">CgMxLjAyCGguZ2pkZ3hzMg5oLnVmbGRsZzF6NWNxZTIJaC4zZHk2dmttMgloLjN6bnlzaDcyDmguaWJpaWU1MXNhd2w2MgloLjFmb2I5dGUyDmguam0xcjZ0ZGRrdjI3Mg5oLmJjbng5M2Q5Mm01OTIOaC4zZ2JpeXFyeTdyOW8yDmgucWdwcnY5MjI3ZmZ1Mg5oLjRpNzZ5YjEyMzNvbjINaC5zc3Znd29rdmkyNzIOaC40ZGd5aG8xcXYzdzkyDmguc2xtYmljZWlwM3Z3Mg5oLm5sZ242cThldGRkbzIOaC5rZjJmeW1lajl1ZDUyDmgub2R0Yzdxa3dmY3lxMg5oLm9qdHdxY3ZjeGFvMTIOaC5tZDAydWZ3bHptdHMyDmgucHFuMDgzdndrMHpnOAByITFtMXBXaGtWYlZ4ZjFiMjBqMGR0TlJRcTB4MW9yRm9H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2026-09-01T17:51:00Z</dcterms:created>
  <dc:creator>Usuario de Windows</dc:creator>
</cp:coreProperties>
</file>