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9D7" w:rsidRPr="00121BAE" w:rsidRDefault="007B09D7" w:rsidP="007B09D7">
      <w:pPr>
        <w:spacing w:before="240" w:line="360" w:lineRule="auto"/>
        <w:jc w:val="both"/>
        <w:rPr>
          <w:rFonts w:ascii="Palatino Linotype" w:eastAsia="Times New Roman" w:hAnsi="Palatino Linotype" w:cs="Arial"/>
          <w:sz w:val="24"/>
          <w:szCs w:val="24"/>
          <w:lang w:eastAsia="es-MX"/>
        </w:rPr>
      </w:pPr>
      <w:r w:rsidRPr="00121BAE">
        <w:rPr>
          <w:rFonts w:ascii="Palatino Linotype" w:eastAsia="Times New Roman" w:hAnsi="Palatino Linotype" w:cs="Arial"/>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Pr="00121BAE">
        <w:rPr>
          <w:rFonts w:ascii="Palatino Linotype" w:eastAsia="Times New Roman" w:hAnsi="Palatino Linotype" w:cs="Arial"/>
          <w:b/>
          <w:sz w:val="24"/>
          <w:szCs w:val="24"/>
          <w:lang w:eastAsia="es-MX"/>
        </w:rPr>
        <w:t>diecinueve de agosto de dos mil veintiséis</w:t>
      </w:r>
      <w:r w:rsidRPr="00121BAE">
        <w:rPr>
          <w:rFonts w:ascii="Palatino Linotype" w:eastAsia="Times New Roman" w:hAnsi="Palatino Linotype" w:cs="Arial"/>
          <w:sz w:val="24"/>
          <w:szCs w:val="24"/>
          <w:lang w:eastAsia="es-MX"/>
        </w:rPr>
        <w:t>.</w:t>
      </w:r>
    </w:p>
    <w:p w:rsidR="007B09D7" w:rsidRPr="00121BAE" w:rsidRDefault="007B09D7" w:rsidP="007B09D7">
      <w:pPr>
        <w:tabs>
          <w:tab w:val="left" w:pos="1701"/>
        </w:tabs>
        <w:spacing w:before="240" w:line="360" w:lineRule="auto"/>
        <w:jc w:val="both"/>
        <w:rPr>
          <w:rFonts w:ascii="Palatino Linotype" w:hAnsi="Palatino Linotype"/>
          <w:sz w:val="24"/>
        </w:rPr>
      </w:pPr>
      <w:r w:rsidRPr="00121BAE">
        <w:rPr>
          <w:rFonts w:ascii="Palatino Linotype" w:hAnsi="Palatino Linotype" w:cs="Arial"/>
          <w:b/>
          <w:sz w:val="24"/>
        </w:rPr>
        <w:t>VISTO</w:t>
      </w:r>
      <w:r w:rsidRPr="00121BAE">
        <w:rPr>
          <w:rFonts w:ascii="Palatino Linotype" w:hAnsi="Palatino Linotype" w:cs="Arial"/>
          <w:sz w:val="24"/>
        </w:rPr>
        <w:t xml:space="preserve"> el expediente electrónico formado con motivo del recurso de revisión número</w:t>
      </w:r>
      <w:r w:rsidRPr="00121BAE">
        <w:rPr>
          <w:rFonts w:ascii="Palatino Linotype" w:hAnsi="Palatino Linotype" w:cs="Arial"/>
          <w:b/>
          <w:sz w:val="24"/>
        </w:rPr>
        <w:t xml:space="preserve"> </w:t>
      </w:r>
      <w:bookmarkStart w:id="0" w:name="_GoBack"/>
      <w:r w:rsidRPr="00121BAE">
        <w:rPr>
          <w:rFonts w:ascii="Palatino Linotype" w:hAnsi="Palatino Linotype" w:cs="Arial"/>
          <w:b/>
          <w:sz w:val="24"/>
        </w:rPr>
        <w:t>0</w:t>
      </w:r>
      <w:r w:rsidRPr="00121BAE">
        <w:rPr>
          <w:rFonts w:ascii="Palatino Linotype" w:hAnsi="Palatino Linotype" w:cs="Arial"/>
          <w:b/>
          <w:bCs/>
          <w:sz w:val="24"/>
          <w:lang w:eastAsia="es-MX"/>
        </w:rPr>
        <w:t>6165/INFOEM/IP/RR/2026</w:t>
      </w:r>
      <w:bookmarkEnd w:id="0"/>
      <w:r w:rsidRPr="00121BAE">
        <w:rPr>
          <w:rFonts w:ascii="Palatino Linotype" w:hAnsi="Palatino Linotype" w:cs="Arial"/>
          <w:b/>
          <w:bCs/>
          <w:sz w:val="24"/>
          <w:lang w:eastAsia="es-MX"/>
        </w:rPr>
        <w:t xml:space="preserve">, </w:t>
      </w:r>
      <w:r w:rsidRPr="00121BAE">
        <w:rPr>
          <w:rFonts w:ascii="Palatino Linotype" w:hAnsi="Palatino Linotype"/>
          <w:sz w:val="24"/>
        </w:rPr>
        <w:t xml:space="preserve">interpuesto por </w:t>
      </w:r>
      <w:r w:rsidR="00386D6A">
        <w:rPr>
          <w:rFonts w:ascii="Palatino Linotype" w:hAnsi="Palatino Linotype"/>
          <w:b/>
          <w:sz w:val="24"/>
        </w:rPr>
        <w:t>xxxxxxxxxxxxxxxxxxxxxxxxxx</w:t>
      </w:r>
      <w:r w:rsidRPr="00121BAE">
        <w:rPr>
          <w:rFonts w:ascii="Palatino Linotype" w:hAnsi="Palatino Linotype"/>
          <w:sz w:val="24"/>
        </w:rPr>
        <w:t xml:space="preserve">, en lo sucesivo la parte </w:t>
      </w:r>
      <w:r w:rsidRPr="00121BAE">
        <w:rPr>
          <w:rFonts w:ascii="Palatino Linotype" w:hAnsi="Palatino Linotype"/>
          <w:b/>
          <w:sz w:val="24"/>
        </w:rPr>
        <w:t>Recurrente</w:t>
      </w:r>
      <w:r w:rsidRPr="00121BAE">
        <w:rPr>
          <w:rFonts w:ascii="Palatino Linotype" w:hAnsi="Palatino Linotype"/>
          <w:sz w:val="24"/>
        </w:rPr>
        <w:t xml:space="preserve">, en contra de la falta de respuesta </w:t>
      </w:r>
      <w:r w:rsidRPr="00121BAE">
        <w:rPr>
          <w:rFonts w:ascii="Palatino Linotype" w:hAnsi="Palatino Linotype"/>
          <w:sz w:val="24"/>
          <w:szCs w:val="24"/>
        </w:rPr>
        <w:t>del</w:t>
      </w:r>
      <w:r w:rsidRPr="00121BAE">
        <w:rPr>
          <w:rFonts w:ascii="Palatino Linotype" w:hAnsi="Palatino Linotype"/>
          <w:b/>
          <w:bCs/>
          <w:sz w:val="24"/>
          <w:szCs w:val="24"/>
        </w:rPr>
        <w:t xml:space="preserve"> </w:t>
      </w:r>
      <w:r w:rsidRPr="00121BAE">
        <w:rPr>
          <w:rFonts w:ascii="Palatino Linotype" w:hAnsi="Palatino Linotype"/>
          <w:b/>
          <w:bCs/>
          <w:color w:val="000000"/>
          <w:sz w:val="24"/>
          <w:szCs w:val="24"/>
        </w:rPr>
        <w:t>Ayuntamiento de Tepotzotlán</w:t>
      </w:r>
      <w:r w:rsidRPr="00121BAE">
        <w:rPr>
          <w:rFonts w:ascii="Palatino Linotype" w:hAnsi="Palatino Linotype"/>
          <w:sz w:val="24"/>
          <w:szCs w:val="24"/>
        </w:rPr>
        <w:t>,</w:t>
      </w:r>
      <w:r w:rsidRPr="00121BAE">
        <w:rPr>
          <w:rFonts w:ascii="Palatino Linotype" w:hAnsi="Palatino Linotype"/>
          <w:sz w:val="24"/>
        </w:rPr>
        <w:t xml:space="preserve"> en lo subsecuente el </w:t>
      </w:r>
      <w:r w:rsidRPr="00121BAE">
        <w:rPr>
          <w:rFonts w:ascii="Palatino Linotype" w:hAnsi="Palatino Linotype"/>
          <w:b/>
          <w:sz w:val="24"/>
        </w:rPr>
        <w:t>Sujeto Obligado</w:t>
      </w:r>
      <w:r w:rsidRPr="00121BAE">
        <w:rPr>
          <w:rFonts w:ascii="Palatino Linotype" w:hAnsi="Palatino Linotype"/>
          <w:sz w:val="24"/>
        </w:rPr>
        <w:t xml:space="preserve">, se procede a dictar la presente resolución. </w:t>
      </w:r>
    </w:p>
    <w:p w:rsidR="007B09D7" w:rsidRPr="00121BAE" w:rsidRDefault="007B09D7" w:rsidP="007B09D7">
      <w:pPr>
        <w:tabs>
          <w:tab w:val="left" w:pos="1701"/>
        </w:tabs>
        <w:spacing w:before="240" w:line="360" w:lineRule="auto"/>
        <w:jc w:val="both"/>
        <w:rPr>
          <w:rFonts w:ascii="Palatino Linotype" w:hAnsi="Palatino Linotype"/>
          <w:sz w:val="24"/>
        </w:rPr>
      </w:pPr>
    </w:p>
    <w:p w:rsidR="007B09D7" w:rsidRPr="00121BAE" w:rsidRDefault="007B09D7" w:rsidP="007B09D7">
      <w:pPr>
        <w:pStyle w:val="infoemcitas"/>
        <w:jc w:val="center"/>
        <w:rPr>
          <w:b/>
          <w:bCs/>
          <w:i w:val="0"/>
          <w:iCs/>
          <w:sz w:val="28"/>
          <w:szCs w:val="28"/>
        </w:rPr>
      </w:pPr>
      <w:r w:rsidRPr="00121BAE">
        <w:rPr>
          <w:b/>
          <w:bCs/>
          <w:i w:val="0"/>
          <w:iCs/>
          <w:sz w:val="28"/>
          <w:szCs w:val="28"/>
        </w:rPr>
        <w:t>A N T E C E D E N T E S   D E L   A S U N T O</w:t>
      </w:r>
    </w:p>
    <w:p w:rsidR="007B09D7" w:rsidRPr="00121BAE" w:rsidRDefault="007B09D7" w:rsidP="007B09D7">
      <w:pPr>
        <w:pStyle w:val="infoemcitas"/>
        <w:jc w:val="center"/>
        <w:rPr>
          <w:b/>
          <w:bCs/>
          <w:i w:val="0"/>
          <w:iCs/>
          <w:sz w:val="28"/>
          <w:szCs w:val="28"/>
        </w:rPr>
      </w:pPr>
    </w:p>
    <w:p w:rsidR="007B09D7" w:rsidRPr="00121BAE" w:rsidRDefault="007B09D7" w:rsidP="007B09D7">
      <w:pPr>
        <w:spacing w:before="240" w:after="240" w:line="360" w:lineRule="auto"/>
        <w:jc w:val="both"/>
        <w:rPr>
          <w:rFonts w:ascii="Palatino Linotype" w:hAnsi="Palatino Linotype"/>
        </w:rPr>
      </w:pPr>
      <w:r w:rsidRPr="00121BAE">
        <w:rPr>
          <w:rFonts w:ascii="Palatino Linotype" w:hAnsi="Palatino Linotype" w:cs="Arial"/>
          <w:b/>
          <w:sz w:val="28"/>
        </w:rPr>
        <w:t>PRIMERO.</w:t>
      </w:r>
      <w:r w:rsidRPr="00121BAE">
        <w:rPr>
          <w:rFonts w:ascii="Palatino Linotype" w:hAnsi="Palatino Linotype" w:cs="Arial"/>
        </w:rPr>
        <w:t xml:space="preserve"> </w:t>
      </w:r>
      <w:r w:rsidRPr="00121BAE">
        <w:rPr>
          <w:rFonts w:ascii="Palatino Linotype" w:hAnsi="Palatino Linotype"/>
          <w:b/>
          <w:sz w:val="28"/>
          <w:szCs w:val="28"/>
        </w:rPr>
        <w:t>De la Solicitud de Información.</w:t>
      </w:r>
    </w:p>
    <w:p w:rsidR="007B09D7" w:rsidRPr="00121BAE" w:rsidRDefault="007B09D7" w:rsidP="007B09D7">
      <w:pPr>
        <w:spacing w:before="240" w:line="360" w:lineRule="auto"/>
        <w:jc w:val="both"/>
        <w:rPr>
          <w:rFonts w:ascii="Palatino Linotype" w:hAnsi="Palatino Linotype" w:cs="Arial"/>
          <w:sz w:val="24"/>
        </w:rPr>
      </w:pPr>
      <w:r w:rsidRPr="00121BAE">
        <w:rPr>
          <w:rFonts w:ascii="Palatino Linotype" w:hAnsi="Palatino Linotype" w:cs="Arial"/>
          <w:sz w:val="24"/>
        </w:rPr>
        <w:t xml:space="preserve">Con fecha </w:t>
      </w:r>
      <w:r w:rsidRPr="00121BAE">
        <w:rPr>
          <w:rFonts w:ascii="Palatino Linotype" w:hAnsi="Palatino Linotype" w:cs="Arial"/>
          <w:b/>
          <w:sz w:val="24"/>
        </w:rPr>
        <w:t>trece de mayo de dos mil veintiséis</w:t>
      </w:r>
      <w:r w:rsidRPr="00121BAE">
        <w:rPr>
          <w:rFonts w:ascii="Palatino Linotype" w:hAnsi="Palatino Linotype" w:cs="Arial"/>
          <w:sz w:val="24"/>
        </w:rPr>
        <w:t xml:space="preserve">, </w:t>
      </w:r>
      <w:r w:rsidRPr="00121BAE">
        <w:rPr>
          <w:rFonts w:ascii="Palatino Linotype" w:hAnsi="Palatino Linotype"/>
          <w:sz w:val="24"/>
        </w:rPr>
        <w:t xml:space="preserve">la parte </w:t>
      </w:r>
      <w:r w:rsidRPr="00121BAE">
        <w:rPr>
          <w:rFonts w:ascii="Palatino Linotype" w:hAnsi="Palatino Linotype" w:cs="Arial"/>
          <w:b/>
          <w:sz w:val="24"/>
        </w:rPr>
        <w:t xml:space="preserve">Recurrente </w:t>
      </w:r>
      <w:r w:rsidRPr="00121BAE">
        <w:rPr>
          <w:rFonts w:ascii="Palatino Linotype" w:hAnsi="Palatino Linotype" w:cs="Arial"/>
          <w:sz w:val="24"/>
        </w:rPr>
        <w:t>presentó a través del Sistema de Acceso a la Información Mexiquense (</w:t>
      </w:r>
      <w:r w:rsidRPr="00121BAE">
        <w:rPr>
          <w:rFonts w:ascii="Palatino Linotype" w:hAnsi="Palatino Linotype" w:cs="Arial"/>
          <w:b/>
          <w:sz w:val="24"/>
        </w:rPr>
        <w:t>SAIMEX)</w:t>
      </w:r>
      <w:r w:rsidRPr="00121BAE">
        <w:rPr>
          <w:rFonts w:ascii="Palatino Linotype" w:hAnsi="Palatino Linotype" w:cs="Arial"/>
          <w:sz w:val="24"/>
        </w:rPr>
        <w:t xml:space="preserve"> ante </w:t>
      </w:r>
      <w:r w:rsidRPr="00121BAE">
        <w:rPr>
          <w:rFonts w:ascii="Palatino Linotype" w:hAnsi="Palatino Linotype" w:cs="Arial"/>
          <w:b/>
          <w:sz w:val="24"/>
        </w:rPr>
        <w:t>El Sujeto Obligado</w:t>
      </w:r>
      <w:r w:rsidRPr="00121BAE">
        <w:rPr>
          <w:rFonts w:ascii="Palatino Linotype" w:hAnsi="Palatino Linotype" w:cs="Arial"/>
          <w:sz w:val="24"/>
        </w:rPr>
        <w:t>, solicitud de acceso a la información pública, registrada bajo el número de expediente</w:t>
      </w:r>
      <w:r w:rsidRPr="00121BAE">
        <w:rPr>
          <w:rFonts w:ascii="Palatino Linotype" w:hAnsi="Palatino Linotype" w:cs="Arial"/>
          <w:b/>
          <w:sz w:val="24"/>
        </w:rPr>
        <w:t xml:space="preserve"> </w:t>
      </w:r>
      <w:r w:rsidRPr="00121BAE">
        <w:rPr>
          <w:rFonts w:ascii="Palatino Linotype" w:hAnsi="Palatino Linotype"/>
          <w:b/>
          <w:bCs/>
          <w:sz w:val="24"/>
          <w:szCs w:val="24"/>
        </w:rPr>
        <w:t> 01061/TEPOTZOT/IP/2026</w:t>
      </w:r>
      <w:r w:rsidRPr="00121BAE">
        <w:rPr>
          <w:rFonts w:ascii="Palatino Linotype" w:hAnsi="Palatino Linotype" w:cs="Arial"/>
          <w:b/>
          <w:sz w:val="24"/>
        </w:rPr>
        <w:t xml:space="preserve">, </w:t>
      </w:r>
      <w:r w:rsidRPr="00121BAE">
        <w:rPr>
          <w:rFonts w:ascii="Palatino Linotype" w:hAnsi="Palatino Linotype" w:cs="Arial"/>
          <w:sz w:val="24"/>
        </w:rPr>
        <w:t>mediante la cual solicitó información en el tenor siguiente:</w:t>
      </w:r>
    </w:p>
    <w:p w:rsidR="007B09D7" w:rsidRPr="00121BAE" w:rsidRDefault="007B09D7" w:rsidP="007B09D7">
      <w:pPr>
        <w:pStyle w:val="INFOEM"/>
        <w:rPr>
          <w:sz w:val="24"/>
          <w:szCs w:val="24"/>
          <w:lang w:val="es-ES_tradnl" w:eastAsia="es-ES"/>
        </w:rPr>
      </w:pPr>
      <w:r w:rsidRPr="00121BAE">
        <w:rPr>
          <w:sz w:val="24"/>
          <w:szCs w:val="24"/>
          <w:lang w:val="es-ES_tradnl" w:eastAsia="es-ES"/>
        </w:rPr>
        <w:t>“</w:t>
      </w:r>
      <w:r w:rsidRPr="00121BAE">
        <w:rPr>
          <w:color w:val="000000"/>
          <w:sz w:val="24"/>
          <w:szCs w:val="24"/>
        </w:rPr>
        <w:t xml:space="preserve">Respecto de la “Feria de Artesanos, productores y prestadores de servicios de Tepotzotlán” realizada los días 16 y 17 de mayo de 2026 en Plaza de la </w:t>
      </w:r>
      <w:r w:rsidRPr="00121BAE">
        <w:rPr>
          <w:color w:val="000000"/>
          <w:sz w:val="24"/>
          <w:szCs w:val="24"/>
        </w:rPr>
        <w:lastRenderedPageBreak/>
        <w:t xml:space="preserve">Cruz, solicito a la Secretaría del Ayuntamiento, Protección Civil, Seguridad Pública, Servicios Públicos, Comunicación Social, Desarrollo Económico y Tesorería Municipal del H. Ayuntamiento de Tepotzotlán lo siguiente: La entrega en formato digital y, en su caso, base de datos en Excel (o CSV) de toda la información relacionada con: La autorización y uso de Plaza de la Cruz Seguridad y logística del evento Presentaciones artísticas o entretenimiento Gasto en publicidad y difusión Limpieza, mantenimiento y posibles daños derivados del evento La información deberá contener: 1. AUTORIZACIONES Y PERMISOS Permisos o autorizaciones para uso de Plaza de la Cruz Dictámenes de Protección Civil Permisos para instalación de estructuras, sonido o energía eléctrica Permisos para comercio temporal o venta durante el evento 2. PRESENTACIONES Y ENTRETENIMIENTO Relación de artistas, grupos musicales, animadores o conductores participantes Tipo de contratación Monto pagado Proveedor o representante contratado 3. PUBLICIDAD Y DIFUSIÓN Relación de gasto ejercido en publicidad y difusión Proveedores contratados Monto pagado Tipo de servicio (redes sociales, impresión, diseño, medios, etc.) 4. SEGURIDAD Y LOGÍSTICA Número de elementos de seguridad desplegados Operativos implementados Reportes de incidentes o novedades Costos operativos estimados 5. LIMPIEZA Y POSIBLES DAÑOS Servicios de limpieza realizados antes y después del evento Reportes de daños o reparaciones en Plaza de la Cruz Costos derivados de limpieza o reparación Anexar copia íntegra de: Facturas XML y PDF Contratos Órdenes de servicio Pólizas contables Reportes operativos Dictámenes y permisos Evidencia fotográfica o </w:t>
      </w:r>
      <w:r w:rsidRPr="00121BAE">
        <w:rPr>
          <w:color w:val="000000"/>
          <w:sz w:val="24"/>
          <w:szCs w:val="24"/>
        </w:rPr>
        <w:lastRenderedPageBreak/>
        <w:t>documental (si existe) La información deberá entregarse de manera íntegra y sin omitir documentos relacionados con el evento. En caso de que la información solicitada exceda la capacidad de la plataforma SAIMEX, solicito se proporcione mediante: Ligás de descarga (Drive, OneDrive, Dropbox o servidor institucional) O cualquier otro medio electrónico que permita la entrega íntegra de la información. En caso de inexistencia total o parcial, se deberá remitir acta del Comité de Transparencia debidamente fundada y motivada, acreditando la búsqueda exhaustiva</w:t>
      </w:r>
      <w:r w:rsidRPr="00121BAE">
        <w:rPr>
          <w:sz w:val="24"/>
          <w:szCs w:val="24"/>
          <w:lang w:eastAsia="es-ES"/>
        </w:rPr>
        <w:t>.</w:t>
      </w:r>
      <w:r w:rsidRPr="00121BAE">
        <w:rPr>
          <w:sz w:val="24"/>
          <w:szCs w:val="24"/>
        </w:rPr>
        <w:t xml:space="preserve">” </w:t>
      </w:r>
      <w:r w:rsidRPr="00121BAE">
        <w:rPr>
          <w:sz w:val="24"/>
          <w:szCs w:val="24"/>
          <w:lang w:val="es-ES_tradnl" w:eastAsia="es-ES"/>
        </w:rPr>
        <w:t>(sic)</w:t>
      </w:r>
    </w:p>
    <w:p w:rsidR="007B09D7" w:rsidRPr="00121BAE" w:rsidRDefault="007B09D7" w:rsidP="007B09D7">
      <w:pPr>
        <w:spacing w:before="240" w:line="360" w:lineRule="auto"/>
        <w:jc w:val="both"/>
        <w:rPr>
          <w:rFonts w:ascii="Palatino Linotype" w:eastAsia="Times New Roman" w:hAnsi="Palatino Linotype" w:cs="Times New Roman"/>
          <w:sz w:val="24"/>
          <w:szCs w:val="24"/>
          <w:lang w:val="es-ES_tradnl" w:eastAsia="es-ES"/>
        </w:rPr>
      </w:pPr>
      <w:r w:rsidRPr="00121BAE">
        <w:rPr>
          <w:rFonts w:ascii="Palatino Linotype" w:eastAsia="Times New Roman" w:hAnsi="Palatino Linotype" w:cs="Times New Roman"/>
          <w:b/>
          <w:sz w:val="24"/>
          <w:szCs w:val="24"/>
          <w:lang w:val="es-ES_tradnl" w:eastAsia="es-ES"/>
        </w:rPr>
        <w:t>Modalidad de entrega:</w:t>
      </w:r>
      <w:r w:rsidRPr="00121BAE">
        <w:rPr>
          <w:rFonts w:ascii="Palatino Linotype" w:eastAsia="Times New Roman" w:hAnsi="Palatino Linotype" w:cs="Times New Roman"/>
          <w:sz w:val="24"/>
          <w:szCs w:val="24"/>
          <w:lang w:val="es-ES_tradnl" w:eastAsia="es-ES"/>
        </w:rPr>
        <w:t xml:space="preserve"> A través del SAIMEX.</w:t>
      </w:r>
    </w:p>
    <w:p w:rsidR="007B09D7" w:rsidRPr="00121BAE" w:rsidRDefault="007B09D7" w:rsidP="007B09D7">
      <w:pPr>
        <w:spacing w:before="240" w:line="360" w:lineRule="auto"/>
        <w:jc w:val="both"/>
        <w:rPr>
          <w:rFonts w:ascii="Palatino Linotype" w:eastAsia="Times New Roman" w:hAnsi="Palatino Linotype" w:cs="Times New Roman"/>
          <w:sz w:val="24"/>
          <w:szCs w:val="24"/>
          <w:lang w:val="es-ES_tradnl" w:eastAsia="es-ES"/>
        </w:rPr>
      </w:pPr>
    </w:p>
    <w:p w:rsidR="007B09D7" w:rsidRPr="00121BAE" w:rsidRDefault="007B09D7" w:rsidP="007B09D7">
      <w:pPr>
        <w:spacing w:line="360" w:lineRule="auto"/>
        <w:jc w:val="both"/>
        <w:rPr>
          <w:rFonts w:ascii="Palatino Linotype" w:hAnsi="Palatino Linotype" w:cs="Arial"/>
          <w:sz w:val="24"/>
        </w:rPr>
      </w:pPr>
      <w:r w:rsidRPr="00121BAE">
        <w:rPr>
          <w:rFonts w:ascii="Palatino Linotype" w:hAnsi="Palatino Linotype" w:cs="Arial"/>
          <w:b/>
          <w:sz w:val="28"/>
        </w:rPr>
        <w:t>SEGUNDO.</w:t>
      </w:r>
      <w:r w:rsidRPr="00121BAE">
        <w:rPr>
          <w:rFonts w:ascii="Palatino Linotype" w:hAnsi="Palatino Linotype" w:cs="Arial"/>
          <w:b/>
          <w:sz w:val="24"/>
          <w:szCs w:val="24"/>
        </w:rPr>
        <w:t xml:space="preserve"> </w:t>
      </w:r>
      <w:r w:rsidRPr="00121BAE">
        <w:rPr>
          <w:rFonts w:ascii="Palatino Linotype" w:hAnsi="Palatino Linotype"/>
          <w:b/>
          <w:sz w:val="28"/>
        </w:rPr>
        <w:t xml:space="preserve">De la </w:t>
      </w:r>
      <w:r w:rsidRPr="00121BAE">
        <w:rPr>
          <w:rFonts w:ascii="Palatino Linotype" w:eastAsia="Palatino Linotype" w:hAnsi="Palatino Linotype" w:cs="Palatino Linotype"/>
          <w:b/>
          <w:sz w:val="28"/>
          <w:szCs w:val="28"/>
        </w:rPr>
        <w:t>falta de respuesta del Sujeto Obligado</w:t>
      </w:r>
    </w:p>
    <w:p w:rsidR="007B09D7" w:rsidRPr="00121BAE" w:rsidRDefault="007B09D7" w:rsidP="007B09D7">
      <w:pPr>
        <w:pBdr>
          <w:top w:val="nil"/>
          <w:left w:val="nil"/>
          <w:bottom w:val="nil"/>
          <w:right w:val="nil"/>
          <w:between w:val="nil"/>
        </w:pBdr>
        <w:spacing w:line="360" w:lineRule="auto"/>
        <w:contextualSpacing/>
        <w:jc w:val="both"/>
        <w:rPr>
          <w:rFonts w:ascii="Palatino Linotype" w:eastAsia="Palatino Linotype" w:hAnsi="Palatino Linotype" w:cs="Palatino Linotype"/>
          <w:b/>
          <w:bCs/>
          <w:sz w:val="24"/>
          <w:szCs w:val="24"/>
          <w:lang w:val="es-ES"/>
        </w:rPr>
      </w:pPr>
      <w:r w:rsidRPr="00121BAE">
        <w:rPr>
          <w:rFonts w:ascii="Palatino Linotype" w:eastAsia="Palatino Linotype" w:hAnsi="Palatino Linotype" w:cs="Palatino Linotype"/>
          <w:sz w:val="24"/>
          <w:szCs w:val="24"/>
        </w:rPr>
        <w:t xml:space="preserve">En el expediente electrónico SAIMEX, se observa que el Sujeto Obligado fue omiso en dar respuesta a la solicitud de información presentada por la Recurrente. Derivado de lo anterior, se constituye la figura de la </w:t>
      </w:r>
      <w:r w:rsidRPr="00121BAE">
        <w:rPr>
          <w:rFonts w:ascii="Palatino Linotype" w:eastAsia="Palatino Linotype" w:hAnsi="Palatino Linotype" w:cs="Palatino Linotype"/>
          <w:b/>
          <w:sz w:val="24"/>
          <w:szCs w:val="24"/>
        </w:rPr>
        <w:t>Negativa Ficta</w:t>
      </w:r>
      <w:r w:rsidRPr="00121BAE">
        <w:rPr>
          <w:rFonts w:ascii="Palatino Linotype" w:eastAsia="Palatino Linotype" w:hAnsi="Palatino Linotype" w:cs="Palatino Linotype"/>
          <w:sz w:val="24"/>
          <w:szCs w:val="24"/>
        </w:rPr>
        <w:t>, cuya esencia consiste en atribuir un efecto negativo de la autoridad administrativa frente a las instancias y solicitudes que hagan los particulares.</w:t>
      </w:r>
    </w:p>
    <w:p w:rsidR="007B09D7" w:rsidRPr="00121BAE" w:rsidRDefault="007B09D7" w:rsidP="007B09D7">
      <w:pPr>
        <w:pBdr>
          <w:top w:val="nil"/>
          <w:left w:val="nil"/>
          <w:bottom w:val="nil"/>
          <w:right w:val="nil"/>
          <w:between w:val="nil"/>
        </w:pBdr>
        <w:spacing w:line="360" w:lineRule="auto"/>
        <w:contextualSpacing/>
        <w:jc w:val="both"/>
        <w:rPr>
          <w:rFonts w:ascii="Palatino Linotype" w:eastAsia="Palatino Linotype" w:hAnsi="Palatino Linotype" w:cs="Palatino Linotype"/>
          <w:b/>
          <w:bCs/>
          <w:sz w:val="24"/>
          <w:szCs w:val="24"/>
          <w:lang w:val="es-ES"/>
        </w:rPr>
      </w:pPr>
    </w:p>
    <w:p w:rsidR="007B09D7" w:rsidRPr="00121BAE" w:rsidRDefault="007B09D7" w:rsidP="007B09D7">
      <w:pPr>
        <w:spacing w:after="0" w:line="360" w:lineRule="auto"/>
        <w:jc w:val="both"/>
        <w:rPr>
          <w:rFonts w:ascii="Palatino Linotype" w:hAnsi="Palatino Linotype" w:cs="Arial"/>
          <w:b/>
          <w:sz w:val="28"/>
        </w:rPr>
      </w:pPr>
      <w:r w:rsidRPr="00121BAE">
        <w:rPr>
          <w:rFonts w:ascii="Palatino Linotype" w:hAnsi="Palatino Linotype" w:cs="Arial"/>
          <w:b/>
          <w:sz w:val="28"/>
        </w:rPr>
        <w:t xml:space="preserve">TERCERO. </w:t>
      </w:r>
      <w:r w:rsidRPr="00121BAE">
        <w:rPr>
          <w:rFonts w:ascii="Palatino Linotype" w:hAnsi="Palatino Linotype"/>
          <w:b/>
          <w:sz w:val="28"/>
        </w:rPr>
        <w:t>Del recurso de revisión.</w:t>
      </w:r>
    </w:p>
    <w:p w:rsidR="007B09D7" w:rsidRPr="00121BAE" w:rsidRDefault="007B09D7" w:rsidP="007B09D7">
      <w:pPr>
        <w:spacing w:before="240" w:line="360" w:lineRule="auto"/>
        <w:jc w:val="both"/>
        <w:rPr>
          <w:rFonts w:ascii="Palatino Linotype" w:hAnsi="Palatino Linotype" w:cs="Arial"/>
          <w:sz w:val="24"/>
          <w:szCs w:val="24"/>
        </w:rPr>
      </w:pPr>
      <w:r w:rsidRPr="00121BAE">
        <w:rPr>
          <w:rFonts w:ascii="Palatino Linotype" w:hAnsi="Palatino Linotype" w:cs="Arial"/>
          <w:sz w:val="24"/>
          <w:szCs w:val="24"/>
        </w:rPr>
        <w:t xml:space="preserve">Inconforme con la respuesta notificada por </w:t>
      </w:r>
      <w:r w:rsidRPr="00121BAE">
        <w:rPr>
          <w:rFonts w:ascii="Palatino Linotype" w:hAnsi="Palatino Linotype" w:cs="Arial"/>
          <w:b/>
          <w:sz w:val="24"/>
          <w:szCs w:val="24"/>
        </w:rPr>
        <w:t xml:space="preserve">El Sujeto Obligado, </w:t>
      </w:r>
      <w:r w:rsidRPr="00121BAE">
        <w:rPr>
          <w:rFonts w:ascii="Palatino Linotype" w:hAnsi="Palatino Linotype"/>
          <w:sz w:val="24"/>
        </w:rPr>
        <w:t xml:space="preserve">la parte </w:t>
      </w:r>
      <w:r w:rsidRPr="00121BAE">
        <w:rPr>
          <w:rFonts w:ascii="Palatino Linotype" w:hAnsi="Palatino Linotype" w:cs="Arial"/>
          <w:b/>
          <w:sz w:val="24"/>
          <w:szCs w:val="24"/>
        </w:rPr>
        <w:t xml:space="preserve">Recurrente </w:t>
      </w:r>
      <w:r w:rsidRPr="00121BAE">
        <w:rPr>
          <w:rFonts w:ascii="Palatino Linotype" w:hAnsi="Palatino Linotype" w:cs="Arial"/>
          <w:sz w:val="24"/>
          <w:szCs w:val="24"/>
        </w:rPr>
        <w:t xml:space="preserve">interpuso recurso de revisión, en fecha </w:t>
      </w:r>
      <w:r w:rsidRPr="00121BAE">
        <w:rPr>
          <w:rFonts w:ascii="Palatino Linotype" w:hAnsi="Palatino Linotype" w:cs="Arial"/>
          <w:b/>
          <w:sz w:val="24"/>
        </w:rPr>
        <w:t>ocho de junio de dos mil veintiséis</w:t>
      </w:r>
      <w:r w:rsidRPr="00121BAE">
        <w:rPr>
          <w:rFonts w:ascii="Palatino Linotype" w:hAnsi="Palatino Linotype" w:cs="Arial"/>
          <w:sz w:val="24"/>
          <w:szCs w:val="24"/>
        </w:rPr>
        <w:t xml:space="preserve">, el cual fue registrado en el sistema electrónico con el expediente número </w:t>
      </w:r>
      <w:r w:rsidRPr="00121BAE">
        <w:rPr>
          <w:rFonts w:ascii="Palatino Linotype" w:hAnsi="Palatino Linotype" w:cs="Arial"/>
          <w:b/>
          <w:sz w:val="24"/>
          <w:szCs w:val="24"/>
        </w:rPr>
        <w:t xml:space="preserve">06165/INFOEM/IP/RR/2026; </w:t>
      </w:r>
      <w:r w:rsidRPr="00121BAE">
        <w:rPr>
          <w:rFonts w:ascii="Palatino Linotype" w:hAnsi="Palatino Linotype" w:cs="Arial"/>
          <w:sz w:val="24"/>
          <w:szCs w:val="24"/>
        </w:rPr>
        <w:t>en los cuales arguye las siguientes manifestaciones:</w:t>
      </w:r>
    </w:p>
    <w:p w:rsidR="007B09D7" w:rsidRPr="00121BAE" w:rsidRDefault="007B09D7" w:rsidP="007B09D7">
      <w:pPr>
        <w:pStyle w:val="Prrafodelista"/>
        <w:numPr>
          <w:ilvl w:val="0"/>
          <w:numId w:val="1"/>
        </w:numPr>
        <w:spacing w:before="240" w:after="0" w:line="360" w:lineRule="auto"/>
        <w:ind w:left="142" w:firstLine="0"/>
        <w:contextualSpacing w:val="0"/>
        <w:jc w:val="both"/>
        <w:rPr>
          <w:rFonts w:ascii="Palatino Linotype" w:hAnsi="Palatino Linotype" w:cs="Arial"/>
          <w:b/>
          <w:i/>
        </w:rPr>
      </w:pPr>
      <w:r w:rsidRPr="00121BAE">
        <w:rPr>
          <w:rFonts w:ascii="Palatino Linotype" w:hAnsi="Palatino Linotype" w:cs="Arial"/>
          <w:b/>
          <w:i/>
        </w:rPr>
        <w:lastRenderedPageBreak/>
        <w:t>Acto impugnado</w:t>
      </w:r>
    </w:p>
    <w:p w:rsidR="007B09D7" w:rsidRPr="00121BAE" w:rsidRDefault="007B09D7" w:rsidP="00793007">
      <w:pPr>
        <w:pStyle w:val="Prrafodelista"/>
        <w:spacing w:before="240" w:after="0" w:line="360" w:lineRule="auto"/>
        <w:ind w:left="708"/>
        <w:contextualSpacing w:val="0"/>
        <w:jc w:val="both"/>
        <w:rPr>
          <w:rFonts w:ascii="Palatino Linotype" w:hAnsi="Palatino Linotype" w:cs="Arial"/>
          <w:i/>
        </w:rPr>
      </w:pPr>
      <w:r w:rsidRPr="00121BAE">
        <w:rPr>
          <w:rFonts w:ascii="Palatino Linotype" w:hAnsi="Palatino Linotype"/>
          <w:i/>
          <w:sz w:val="24"/>
          <w:szCs w:val="24"/>
        </w:rPr>
        <w:t>“</w:t>
      </w:r>
      <w:r w:rsidRPr="00121BAE">
        <w:rPr>
          <w:rFonts w:ascii="Palatino Linotype" w:hAnsi="Palatino Linotype"/>
          <w:i/>
          <w:color w:val="000000"/>
          <w:sz w:val="24"/>
          <w:szCs w:val="24"/>
        </w:rPr>
        <w:t xml:space="preserve">Respecto de la “Feria de Artesanos, productores y prestadores de servicios de Tepotzotlán” realizada los días 16 y 17 de mayo de 2026 en Plaza de la Cruz, solicito a la Secretaría del Ayuntamiento, Protección Civil, Seguridad Pública, Servicios Públicos, Comunicación Social, Desarrollo Económico y Tesorería Municipal del H. Ayuntamiento de Tepotzotlán lo siguiente: La entrega en formato digital y, en su caso, base de datos en Excel (o CSV) de toda la información relacionada con: La autorización y uso de Plaza de la Cruz Seguridad y logística del evento Presentaciones artísticas o entretenimiento Gasto en publicidad y difusión Limpieza, mantenimiento y posibles daños derivados del evento La información deberá contener: 1. AUTORIZACIONES Y PERMISOS Permisos o autorizaciones para uso de Plaza de la Cruz Dictámenes de Protección Civil Permisos para instalación de estructuras, sonido o energía eléctrica Permisos para comercio temporal o venta durante el evento 2. PRESENTACIONES Y ENTRETENIMIENTO Relación de artistas, grupos musicales, animadores o conductores participantes Tipo de contratación Monto pagado Proveedor o representante contratado 3. PUBLICIDAD Y DIFUSIÓN Relación de gasto ejercido en publicidad y difusión Proveedores contratados Monto pagado Tipo de servicio (redes sociales, impresión, diseño, medios, etc.) 4. SEGURIDAD Y LOGÍSTICA Número de elementos de seguridad desplegados Operativos implementados Reportes de incidentes o novedades Costos operativos estimados 5. LIMPIEZA Y POSIBLES DAÑOS Servicios de limpieza realizados antes y después del evento Reportes de daños o reparaciones en Plaza de la Cruz Costos derivados de limpieza o reparación Anexar copia íntegra de: Facturas XML y PDF Contratos Órdenes de servicio Pólizas contables Reportes operativos Dictámenes y permisos Evidencia fotográfica o documental (si </w:t>
      </w:r>
      <w:r w:rsidRPr="00121BAE">
        <w:rPr>
          <w:rFonts w:ascii="Palatino Linotype" w:hAnsi="Palatino Linotype"/>
          <w:i/>
          <w:color w:val="000000"/>
          <w:sz w:val="24"/>
          <w:szCs w:val="24"/>
        </w:rPr>
        <w:lastRenderedPageBreak/>
        <w:t>existe) La información deberá entregarse de manera íntegra y sin omitir documentos relacionados con el evento. En caso de que la información solicitada exceda la capacidad de la plataforma SAIMEX, solicito se proporcione mediante: Ligás de descarga (Drive, OneDrive, Dropbox o servidor institucional) O cualquier otro medio electrónico que permita la entrega íntegra de la información. En caso de inexistencia total o parcial, se deberá remitir acta del Comité de Transparencia debidamente fundada y motivada, acreditando la búsqueda exhaustiva</w:t>
      </w:r>
      <w:r w:rsidRPr="00121BAE">
        <w:rPr>
          <w:rFonts w:ascii="Palatino Linotype" w:hAnsi="Palatino Linotype"/>
          <w:i/>
          <w:sz w:val="24"/>
          <w:szCs w:val="24"/>
        </w:rPr>
        <w:t>.</w:t>
      </w:r>
      <w:r w:rsidRPr="00121BAE">
        <w:rPr>
          <w:rFonts w:ascii="Palatino Linotype" w:hAnsi="Palatino Linotype" w:cs="Arial"/>
          <w:i/>
          <w:sz w:val="24"/>
          <w:szCs w:val="24"/>
        </w:rPr>
        <w:t>”</w:t>
      </w:r>
      <w:r w:rsidRPr="00121BAE">
        <w:rPr>
          <w:rFonts w:ascii="Palatino Linotype" w:hAnsi="Palatino Linotype" w:cs="Arial"/>
          <w:i/>
        </w:rPr>
        <w:t xml:space="preserve"> (sic)</w:t>
      </w:r>
    </w:p>
    <w:p w:rsidR="007B09D7" w:rsidRPr="00121BAE" w:rsidRDefault="007B09D7" w:rsidP="007B09D7">
      <w:pPr>
        <w:pStyle w:val="Prrafodelista"/>
        <w:numPr>
          <w:ilvl w:val="0"/>
          <w:numId w:val="1"/>
        </w:numPr>
        <w:spacing w:before="240" w:after="0" w:line="360" w:lineRule="auto"/>
        <w:ind w:left="142" w:firstLine="0"/>
        <w:contextualSpacing w:val="0"/>
        <w:jc w:val="both"/>
        <w:rPr>
          <w:rFonts w:ascii="Palatino Linotype" w:hAnsi="Palatino Linotype" w:cs="Arial"/>
          <w:b/>
          <w:i/>
        </w:rPr>
      </w:pPr>
      <w:r w:rsidRPr="00121BAE">
        <w:rPr>
          <w:rFonts w:ascii="Palatino Linotype" w:hAnsi="Palatino Linotype" w:cs="Arial"/>
          <w:b/>
          <w:i/>
        </w:rPr>
        <w:t>y Razones o motivos de inconformidad</w:t>
      </w:r>
    </w:p>
    <w:p w:rsidR="007B09D7" w:rsidRPr="00121BAE" w:rsidRDefault="007B09D7" w:rsidP="00793007">
      <w:pPr>
        <w:pStyle w:val="Prrafodelista"/>
        <w:spacing w:before="240" w:line="360" w:lineRule="auto"/>
        <w:jc w:val="both"/>
        <w:rPr>
          <w:rFonts w:ascii="Palatino Linotype" w:hAnsi="Palatino Linotype" w:cs="Arial"/>
          <w:i/>
          <w:sz w:val="24"/>
          <w:szCs w:val="24"/>
        </w:rPr>
      </w:pPr>
      <w:r w:rsidRPr="00121BAE">
        <w:rPr>
          <w:rFonts w:ascii="Palatino Linotype" w:hAnsi="Palatino Linotype"/>
          <w:i/>
          <w:sz w:val="24"/>
          <w:szCs w:val="24"/>
        </w:rPr>
        <w:t>“</w:t>
      </w:r>
      <w:r w:rsidRPr="00121BAE">
        <w:rPr>
          <w:rFonts w:ascii="Palatino Linotype" w:hAnsi="Palatino Linotype"/>
          <w:i/>
          <w:color w:val="000000"/>
          <w:sz w:val="24"/>
          <w:szCs w:val="24"/>
        </w:rPr>
        <w:t>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w:t>
      </w:r>
      <w:r w:rsidRPr="00121BAE">
        <w:rPr>
          <w:rFonts w:ascii="Palatino Linotype" w:hAnsi="Palatino Linotype" w:cs="Arial"/>
          <w:i/>
          <w:sz w:val="24"/>
          <w:szCs w:val="24"/>
        </w:rPr>
        <w:t>” (sic)</w:t>
      </w:r>
    </w:p>
    <w:p w:rsidR="007B09D7" w:rsidRPr="00121BAE" w:rsidRDefault="007B09D7" w:rsidP="007B09D7">
      <w:pPr>
        <w:spacing w:before="240" w:line="360" w:lineRule="auto"/>
        <w:jc w:val="both"/>
        <w:rPr>
          <w:rFonts w:ascii="Palatino Linotype" w:hAnsi="Palatino Linotype" w:cs="Arial"/>
          <w:b/>
          <w:sz w:val="24"/>
          <w:szCs w:val="24"/>
        </w:rPr>
      </w:pPr>
      <w:r w:rsidRPr="00121BAE">
        <w:rPr>
          <w:rFonts w:ascii="Palatino Linotype" w:hAnsi="Palatino Linotype" w:cs="Arial"/>
          <w:b/>
          <w:sz w:val="28"/>
        </w:rPr>
        <w:lastRenderedPageBreak/>
        <w:t>CUARTO</w:t>
      </w:r>
      <w:r w:rsidRPr="00121BAE">
        <w:rPr>
          <w:rFonts w:ascii="Palatino Linotype" w:hAnsi="Palatino Linotype" w:cs="Arial"/>
          <w:b/>
          <w:sz w:val="24"/>
          <w:szCs w:val="24"/>
        </w:rPr>
        <w:t xml:space="preserve">. </w:t>
      </w:r>
      <w:r w:rsidRPr="00121BAE">
        <w:rPr>
          <w:rFonts w:ascii="Palatino Linotype" w:hAnsi="Palatino Linotype" w:cs="Arial"/>
          <w:b/>
          <w:sz w:val="28"/>
          <w:szCs w:val="28"/>
        </w:rPr>
        <w:t>Del turno y admisión del recurso de revisión.</w:t>
      </w:r>
    </w:p>
    <w:p w:rsidR="007B09D7" w:rsidRPr="00121BAE" w:rsidRDefault="007B09D7" w:rsidP="007B09D7">
      <w:pPr>
        <w:spacing w:before="240" w:line="360" w:lineRule="auto"/>
        <w:jc w:val="both"/>
        <w:rPr>
          <w:rFonts w:ascii="Palatino Linotype" w:hAnsi="Palatino Linotype"/>
          <w:sz w:val="24"/>
        </w:rPr>
      </w:pPr>
      <w:r w:rsidRPr="00121BAE">
        <w:rPr>
          <w:rFonts w:ascii="Palatino Linotype" w:hAnsi="Palatino Linotype"/>
          <w:sz w:val="24"/>
        </w:rPr>
        <w:t xml:space="preserve">El medio de impugnación fue turnado al Comisionado Presidente </w:t>
      </w:r>
      <w:r w:rsidRPr="00121BAE">
        <w:rPr>
          <w:rFonts w:ascii="Palatino Linotype" w:hAnsi="Palatino Linotype"/>
          <w:b/>
          <w:sz w:val="24"/>
        </w:rPr>
        <w:t>José Martínez Vilchis,</w:t>
      </w:r>
      <w:r w:rsidRPr="00121BAE">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121BAE">
        <w:rPr>
          <w:rFonts w:ascii="Palatino Linotype" w:hAnsi="Palatino Linotype"/>
          <w:b/>
          <w:sz w:val="24"/>
        </w:rPr>
        <w:t>admisión</w:t>
      </w:r>
      <w:r w:rsidRPr="00121BAE">
        <w:rPr>
          <w:rFonts w:ascii="Palatino Linotype" w:hAnsi="Palatino Linotype"/>
          <w:sz w:val="24"/>
        </w:rPr>
        <w:t xml:space="preserve"> en fecha </w:t>
      </w:r>
      <w:r w:rsidRPr="00121BAE">
        <w:rPr>
          <w:rFonts w:ascii="Palatino Linotype" w:hAnsi="Palatino Linotype"/>
          <w:b/>
          <w:sz w:val="24"/>
        </w:rPr>
        <w:t>doce de junio de dos mil veintiséis</w:t>
      </w:r>
      <w:r w:rsidRPr="00121BAE">
        <w:rPr>
          <w:rFonts w:ascii="Palatino Linotype" w:hAnsi="Palatino Linotype"/>
          <w:sz w:val="24"/>
        </w:rPr>
        <w:t>, determinándose en ellos, un plazo de siete días para que las partes manifestaran lo que a su derecho corresponda en términos del numeral ya citado.</w:t>
      </w:r>
    </w:p>
    <w:p w:rsidR="007B09D7" w:rsidRPr="00121BAE" w:rsidRDefault="007B09D7" w:rsidP="007B09D7">
      <w:pPr>
        <w:spacing w:before="240" w:line="360" w:lineRule="auto"/>
        <w:jc w:val="both"/>
        <w:rPr>
          <w:rFonts w:ascii="Palatino Linotype" w:hAnsi="Palatino Linotype"/>
          <w:sz w:val="24"/>
        </w:rPr>
      </w:pPr>
    </w:p>
    <w:p w:rsidR="007B09D7" w:rsidRPr="00121BAE" w:rsidRDefault="007B09D7" w:rsidP="007B09D7">
      <w:pPr>
        <w:pStyle w:val="Prrafodelista"/>
        <w:spacing w:line="360" w:lineRule="auto"/>
        <w:ind w:left="0"/>
        <w:jc w:val="both"/>
        <w:rPr>
          <w:rFonts w:ascii="Palatino Linotype" w:hAnsi="Palatino Linotype" w:cs="Arial"/>
          <w:b/>
          <w:sz w:val="28"/>
          <w:szCs w:val="28"/>
        </w:rPr>
      </w:pPr>
      <w:r w:rsidRPr="00121BAE">
        <w:rPr>
          <w:rFonts w:ascii="Palatino Linotype" w:hAnsi="Palatino Linotype" w:cs="Arial"/>
          <w:b/>
          <w:sz w:val="28"/>
        </w:rPr>
        <w:t>QUINTO</w:t>
      </w:r>
      <w:r w:rsidRPr="00121BAE">
        <w:rPr>
          <w:rFonts w:ascii="Palatino Linotype" w:hAnsi="Palatino Linotype" w:cs="Arial"/>
          <w:b/>
          <w:sz w:val="28"/>
          <w:szCs w:val="28"/>
        </w:rPr>
        <w:t>. De la etapa de instrucción.</w:t>
      </w:r>
    </w:p>
    <w:p w:rsidR="007B09D7" w:rsidRPr="00121BAE" w:rsidRDefault="007B09D7" w:rsidP="007B09D7">
      <w:pPr>
        <w:spacing w:after="0" w:line="360" w:lineRule="auto"/>
        <w:jc w:val="both"/>
        <w:rPr>
          <w:rFonts w:ascii="Palatino Linotype" w:hAnsi="Palatino Linotype" w:cs="Arial"/>
          <w:sz w:val="24"/>
          <w:szCs w:val="24"/>
        </w:rPr>
      </w:pPr>
      <w:r w:rsidRPr="00121BAE">
        <w:rPr>
          <w:rFonts w:ascii="Palatino Linotype" w:hAnsi="Palatino Linotype" w:cs="Arial"/>
          <w:sz w:val="24"/>
          <w:szCs w:val="24"/>
        </w:rPr>
        <w:t xml:space="preserve">De las constancias que obran en el expediente electrónico del SAIMEX, se advierte que el Sujeto Obligado </w:t>
      </w:r>
      <w:r w:rsidRPr="00121BAE">
        <w:rPr>
          <w:rFonts w:ascii="Palatino Linotype" w:hAnsi="Palatino Linotype" w:cs="Arial"/>
          <w:b/>
          <w:sz w:val="24"/>
          <w:szCs w:val="24"/>
        </w:rPr>
        <w:t>rindió su informe justificado</w:t>
      </w:r>
      <w:r w:rsidRPr="00121BAE">
        <w:rPr>
          <w:rFonts w:ascii="Palatino Linotype" w:hAnsi="Palatino Linotype" w:cs="Arial"/>
          <w:sz w:val="24"/>
          <w:szCs w:val="24"/>
        </w:rPr>
        <w:t>,</w:t>
      </w:r>
      <w:r w:rsidR="00136464" w:rsidRPr="00121BAE">
        <w:rPr>
          <w:rFonts w:ascii="Palatino Linotype" w:hAnsi="Palatino Linotype" w:cs="Arial"/>
          <w:b/>
          <w:sz w:val="24"/>
          <w:szCs w:val="24"/>
        </w:rPr>
        <w:t xml:space="preserve"> por lo que</w:t>
      </w:r>
      <w:r w:rsidRPr="00121BAE">
        <w:rPr>
          <w:rFonts w:ascii="Palatino Linotype" w:hAnsi="Palatino Linotype" w:cs="Arial"/>
          <w:b/>
          <w:sz w:val="24"/>
          <w:szCs w:val="24"/>
        </w:rPr>
        <w:t xml:space="preserve"> en fecha </w:t>
      </w:r>
      <w:r w:rsidR="00136464" w:rsidRPr="00121BAE">
        <w:rPr>
          <w:rFonts w:ascii="Palatino Linotype" w:hAnsi="Palatino Linotype" w:cs="Arial"/>
          <w:b/>
          <w:sz w:val="24"/>
          <w:szCs w:val="24"/>
        </w:rPr>
        <w:t>quince de junio</w:t>
      </w:r>
      <w:r w:rsidRPr="00121BAE">
        <w:rPr>
          <w:rFonts w:ascii="Palatino Linotype" w:hAnsi="Palatino Linotype" w:cs="Arial"/>
          <w:b/>
          <w:sz w:val="24"/>
          <w:szCs w:val="24"/>
        </w:rPr>
        <w:t xml:space="preserve"> de dos mil veintiséis el cual fue puesto a la vista del Recurrente</w:t>
      </w:r>
      <w:r w:rsidRPr="00121BAE">
        <w:rPr>
          <w:rFonts w:ascii="Palatino Linotype" w:hAnsi="Palatino Linotype" w:cs="Arial"/>
          <w:sz w:val="24"/>
          <w:szCs w:val="24"/>
        </w:rPr>
        <w:t xml:space="preserve"> en fecha </w:t>
      </w:r>
      <w:r w:rsidR="00136464" w:rsidRPr="00121BAE">
        <w:rPr>
          <w:rFonts w:ascii="Palatino Linotype" w:hAnsi="Palatino Linotype" w:cs="Arial"/>
          <w:sz w:val="24"/>
          <w:szCs w:val="24"/>
        </w:rPr>
        <w:t>seis de agosto</w:t>
      </w:r>
      <w:r w:rsidRPr="00121BAE">
        <w:rPr>
          <w:rFonts w:ascii="Palatino Linotype" w:hAnsi="Palatino Linotype" w:cs="Arial"/>
          <w:sz w:val="24"/>
          <w:szCs w:val="24"/>
        </w:rPr>
        <w:t xml:space="preserve"> de dos mil veintiséis, sin que se advierta que </w:t>
      </w:r>
      <w:r w:rsidR="00136464" w:rsidRPr="00121BAE">
        <w:rPr>
          <w:rFonts w:ascii="Palatino Linotype" w:hAnsi="Palatino Linotype" w:cs="Arial"/>
          <w:sz w:val="24"/>
          <w:szCs w:val="24"/>
        </w:rPr>
        <w:t xml:space="preserve"> </w:t>
      </w:r>
      <w:r w:rsidRPr="00121BAE">
        <w:rPr>
          <w:rFonts w:ascii="Palatino Linotype" w:hAnsi="Palatino Linotype" w:cs="Arial"/>
          <w:sz w:val="24"/>
          <w:szCs w:val="24"/>
        </w:rPr>
        <w:t>el Recurrente rindiera sus manifestaciones dentro del término de Ley.</w:t>
      </w:r>
    </w:p>
    <w:p w:rsidR="007B09D7" w:rsidRPr="00121BAE" w:rsidRDefault="007B09D7" w:rsidP="007B09D7">
      <w:pPr>
        <w:spacing w:line="360" w:lineRule="auto"/>
        <w:jc w:val="both"/>
        <w:rPr>
          <w:rFonts w:ascii="Palatino Linotype" w:hAnsi="Palatino Linotype"/>
          <w:sz w:val="24"/>
        </w:rPr>
      </w:pPr>
    </w:p>
    <w:p w:rsidR="007B09D7" w:rsidRPr="00121BAE" w:rsidRDefault="007B09D7" w:rsidP="007B09D7">
      <w:pPr>
        <w:spacing w:line="360" w:lineRule="auto"/>
        <w:jc w:val="both"/>
        <w:rPr>
          <w:rFonts w:ascii="Palatino Linotype" w:hAnsi="Palatino Linotype" w:cs="Arial"/>
          <w:b/>
          <w:sz w:val="28"/>
          <w:szCs w:val="28"/>
        </w:rPr>
      </w:pPr>
      <w:r w:rsidRPr="00121BAE">
        <w:rPr>
          <w:rFonts w:ascii="Palatino Linotype" w:hAnsi="Palatino Linotype" w:cs="Arial"/>
          <w:sz w:val="24"/>
        </w:rPr>
        <w:t xml:space="preserve"> </w:t>
      </w:r>
      <w:r w:rsidRPr="00121BAE">
        <w:rPr>
          <w:rFonts w:ascii="Palatino Linotype" w:hAnsi="Palatino Linotype" w:cs="Arial"/>
          <w:b/>
          <w:sz w:val="28"/>
          <w:szCs w:val="28"/>
        </w:rPr>
        <w:t>SEXTO. Del Cierre de Instrucción.</w:t>
      </w:r>
    </w:p>
    <w:p w:rsidR="007B09D7" w:rsidRPr="00121BAE" w:rsidRDefault="007B09D7" w:rsidP="007B09D7">
      <w:pPr>
        <w:spacing w:after="0" w:line="360" w:lineRule="auto"/>
        <w:jc w:val="both"/>
        <w:rPr>
          <w:rFonts w:ascii="Palatino Linotype" w:hAnsi="Palatino Linotype" w:cs="Arial"/>
          <w:sz w:val="24"/>
          <w:szCs w:val="24"/>
        </w:rPr>
      </w:pPr>
      <w:r w:rsidRPr="00121BAE">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491423" w:rsidRPr="00121BAE">
        <w:rPr>
          <w:rFonts w:ascii="Palatino Linotype" w:hAnsi="Palatino Linotype" w:cs="Arial"/>
          <w:b/>
          <w:sz w:val="24"/>
          <w:szCs w:val="24"/>
        </w:rPr>
        <w:t>dieciocho de agosto</w:t>
      </w:r>
      <w:r w:rsidRPr="00121BAE">
        <w:rPr>
          <w:rFonts w:ascii="Palatino Linotype" w:hAnsi="Palatino Linotype" w:cs="Arial"/>
          <w:b/>
          <w:sz w:val="24"/>
          <w:szCs w:val="24"/>
        </w:rPr>
        <w:t xml:space="preserve"> de dos mil veintiséis </w:t>
      </w:r>
      <w:r w:rsidRPr="00121BAE">
        <w:rPr>
          <w:rFonts w:ascii="Palatino Linotype" w:hAnsi="Palatino Linotype" w:cs="Arial"/>
          <w:sz w:val="24"/>
          <w:szCs w:val="24"/>
        </w:rPr>
        <w:t xml:space="preserve">en términos del artículo 185 fracción VI de la Ley de Transparencia y Acceso a la </w:t>
      </w:r>
      <w:r w:rsidRPr="00121BAE">
        <w:rPr>
          <w:rFonts w:ascii="Palatino Linotype" w:hAnsi="Palatino Linotype" w:cs="Arial"/>
          <w:sz w:val="24"/>
          <w:szCs w:val="24"/>
        </w:rPr>
        <w:lastRenderedPageBreak/>
        <w:t>Información Pública del Estado de México y Municipios, ordenándose turnar el expediente a la resolución que en derecho proceda.</w:t>
      </w:r>
    </w:p>
    <w:p w:rsidR="007B09D7" w:rsidRPr="00121BAE" w:rsidRDefault="007B09D7" w:rsidP="007B09D7">
      <w:pPr>
        <w:spacing w:after="0" w:line="360" w:lineRule="auto"/>
        <w:jc w:val="both"/>
        <w:rPr>
          <w:rFonts w:ascii="Palatino Linotype" w:hAnsi="Palatino Linotype" w:cs="Arial"/>
          <w:sz w:val="24"/>
          <w:szCs w:val="24"/>
        </w:rPr>
      </w:pPr>
    </w:p>
    <w:p w:rsidR="007B09D7" w:rsidRPr="00121BAE" w:rsidRDefault="007B09D7" w:rsidP="007B09D7">
      <w:pPr>
        <w:keepNext/>
        <w:keepLines/>
        <w:spacing w:line="360" w:lineRule="auto"/>
        <w:jc w:val="both"/>
        <w:outlineLvl w:val="1"/>
        <w:rPr>
          <w:rFonts w:ascii="Palatino Linotype" w:hAnsi="Palatino Linotype" w:cs="Palatino Linotype"/>
          <w:color w:val="000000"/>
          <w:lang w:val="es-ES_tradnl"/>
        </w:rPr>
      </w:pPr>
      <w:r w:rsidRPr="00121BAE">
        <w:rPr>
          <w:rFonts w:ascii="Palatino Linotype" w:hAnsi="Palatino Linotype"/>
          <w:b/>
          <w:color w:val="000000" w:themeColor="text1"/>
          <w:sz w:val="28"/>
          <w:szCs w:val="28"/>
          <w:lang w:val="es-ES_tradnl"/>
        </w:rPr>
        <w:t xml:space="preserve">SÉPTIMO. </w:t>
      </w:r>
      <w:r w:rsidRPr="00121BAE">
        <w:rPr>
          <w:rFonts w:ascii="Palatino Linotype" w:eastAsia="Calibri" w:hAnsi="Palatino Linotype" w:cs="Arial"/>
          <w:b/>
          <w:sz w:val="28"/>
          <w:lang w:val="es-ES_tradnl"/>
        </w:rPr>
        <w:t>De la ampliación del término para resolver.</w:t>
      </w:r>
    </w:p>
    <w:p w:rsidR="007B09D7" w:rsidRPr="00121BAE" w:rsidRDefault="007B09D7" w:rsidP="007B09D7">
      <w:pPr>
        <w:spacing w:line="360" w:lineRule="auto"/>
        <w:contextualSpacing/>
        <w:jc w:val="both"/>
        <w:rPr>
          <w:rFonts w:ascii="Palatino Linotype" w:hAnsi="Palatino Linotype"/>
        </w:rPr>
      </w:pPr>
      <w:r w:rsidRPr="00121BAE">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121BAE">
        <w:rPr>
          <w:rFonts w:ascii="Palatino Linotype" w:hAnsi="Palatino Linotype"/>
          <w:b/>
        </w:rPr>
        <w:t xml:space="preserve"> </w:t>
      </w:r>
      <w:r w:rsidR="00491423" w:rsidRPr="00121BAE">
        <w:rPr>
          <w:rFonts w:ascii="Palatino Linotype" w:hAnsi="Palatino Linotype" w:cs="Arial"/>
          <w:b/>
          <w:sz w:val="24"/>
          <w:szCs w:val="24"/>
        </w:rPr>
        <w:t xml:space="preserve">dieciocho de agosto </w:t>
      </w:r>
      <w:r w:rsidRPr="00121BAE">
        <w:rPr>
          <w:rFonts w:ascii="Palatino Linotype" w:hAnsi="Palatino Linotype" w:cs="Arial"/>
          <w:b/>
        </w:rPr>
        <w:t>de dos mil veintiséis</w:t>
      </w:r>
      <w:r w:rsidRPr="00121BAE">
        <w:rPr>
          <w:rFonts w:ascii="Palatino Linotype" w:hAnsi="Palatino Linotype" w:cs="Arial"/>
        </w:rPr>
        <w:t xml:space="preserve">, </w:t>
      </w:r>
      <w:r w:rsidRPr="00121BAE">
        <w:rPr>
          <w:rFonts w:ascii="Palatino Linotype" w:hAnsi="Palatino Linotype"/>
        </w:rPr>
        <w:t>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7B09D7" w:rsidRPr="00121BAE" w:rsidRDefault="007B09D7" w:rsidP="007B09D7">
      <w:pPr>
        <w:spacing w:after="0" w:line="360" w:lineRule="auto"/>
        <w:jc w:val="both"/>
        <w:rPr>
          <w:rFonts w:ascii="Palatino Linotype" w:hAnsi="Palatino Linotype" w:cs="Arial"/>
          <w:sz w:val="24"/>
          <w:szCs w:val="24"/>
        </w:rPr>
      </w:pPr>
    </w:p>
    <w:p w:rsidR="007B09D7" w:rsidRPr="00121BAE" w:rsidRDefault="007B09D7" w:rsidP="007B09D7">
      <w:pPr>
        <w:spacing w:after="0" w:line="360" w:lineRule="auto"/>
        <w:jc w:val="both"/>
        <w:rPr>
          <w:rFonts w:ascii="Palatino Linotype" w:hAnsi="Palatino Linotype" w:cs="Arial"/>
          <w:sz w:val="24"/>
          <w:szCs w:val="24"/>
        </w:rPr>
      </w:pPr>
    </w:p>
    <w:p w:rsidR="007B09D7" w:rsidRPr="00121BAE" w:rsidRDefault="007B09D7" w:rsidP="007B09D7">
      <w:pPr>
        <w:spacing w:before="240" w:line="360" w:lineRule="auto"/>
        <w:jc w:val="center"/>
        <w:rPr>
          <w:rFonts w:ascii="Palatino Linotype" w:hAnsi="Palatino Linotype" w:cs="Arial"/>
          <w:b/>
          <w:sz w:val="28"/>
        </w:rPr>
      </w:pPr>
      <w:r w:rsidRPr="00121BAE">
        <w:rPr>
          <w:rFonts w:ascii="Palatino Linotype" w:hAnsi="Palatino Linotype" w:cs="Arial"/>
          <w:b/>
          <w:sz w:val="28"/>
        </w:rPr>
        <w:t xml:space="preserve">C O N S I D E R A N D O </w:t>
      </w:r>
    </w:p>
    <w:p w:rsidR="007B09D7" w:rsidRPr="00121BAE" w:rsidRDefault="007B09D7" w:rsidP="007B09D7">
      <w:pPr>
        <w:pBdr>
          <w:top w:val="nil"/>
          <w:left w:val="nil"/>
          <w:bottom w:val="nil"/>
          <w:right w:val="nil"/>
          <w:between w:val="nil"/>
        </w:pBdr>
        <w:contextualSpacing/>
        <w:rPr>
          <w:rFonts w:ascii="Palatino Linotype" w:eastAsia="Palatino Linotype" w:hAnsi="Palatino Linotype" w:cs="Palatino Linotype"/>
          <w:szCs w:val="24"/>
        </w:rPr>
      </w:pPr>
    </w:p>
    <w:p w:rsidR="007B09D7" w:rsidRPr="00121BAE" w:rsidRDefault="007B09D7" w:rsidP="007B09D7">
      <w:pPr>
        <w:pStyle w:val="Ttulo2"/>
        <w:rPr>
          <w:rFonts w:ascii="Palatino Linotype" w:eastAsia="Palatino Linotype" w:hAnsi="Palatino Linotype"/>
          <w:b/>
          <w:bCs/>
          <w:color w:val="auto"/>
          <w:sz w:val="28"/>
          <w:szCs w:val="28"/>
        </w:rPr>
      </w:pPr>
      <w:r w:rsidRPr="00121BAE">
        <w:rPr>
          <w:rFonts w:ascii="Palatino Linotype" w:eastAsia="Palatino Linotype" w:hAnsi="Palatino Linotype"/>
          <w:b/>
          <w:bCs/>
          <w:color w:val="auto"/>
          <w:sz w:val="28"/>
          <w:szCs w:val="28"/>
        </w:rPr>
        <w:t>PRIMERO. De la competencia.</w:t>
      </w:r>
    </w:p>
    <w:p w:rsidR="007B09D7" w:rsidRPr="00121BAE" w:rsidRDefault="007B09D7" w:rsidP="007B09D7">
      <w:pPr>
        <w:spacing w:line="360" w:lineRule="auto"/>
        <w:jc w:val="both"/>
        <w:rPr>
          <w:rFonts w:ascii="Palatino Linotype" w:hAnsi="Palatino Linotype"/>
          <w:sz w:val="24"/>
          <w:szCs w:val="24"/>
        </w:rPr>
      </w:pPr>
      <w:r w:rsidRPr="00121BAE">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w:t>
      </w:r>
      <w:r w:rsidRPr="00121BAE">
        <w:rPr>
          <w:rFonts w:ascii="Palatino Linotype" w:hAnsi="Palatino Linotype"/>
          <w:sz w:val="24"/>
          <w:szCs w:val="24"/>
        </w:rPr>
        <w:lastRenderedPageBreak/>
        <w:t>y 9, fracciones I y XXIII y 11 del Reglamento Interior del Instituto de Transparencia, Acceso a la Información Pública y Protección de Datos Personales del Estado de México y Municipios.</w:t>
      </w:r>
    </w:p>
    <w:p w:rsidR="007B09D7" w:rsidRPr="00121BAE" w:rsidRDefault="007B09D7" w:rsidP="007B09D7">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p>
    <w:p w:rsidR="007B09D7" w:rsidRPr="00121BAE" w:rsidRDefault="007B09D7" w:rsidP="007B09D7">
      <w:pPr>
        <w:pStyle w:val="Ttulo2"/>
        <w:rPr>
          <w:rFonts w:ascii="Palatino Linotype" w:eastAsia="Palatino Linotype" w:hAnsi="Palatino Linotype"/>
          <w:b/>
          <w:bCs/>
          <w:color w:val="auto"/>
          <w:sz w:val="28"/>
          <w:szCs w:val="28"/>
        </w:rPr>
      </w:pPr>
      <w:r w:rsidRPr="00121BAE">
        <w:rPr>
          <w:rFonts w:ascii="Palatino Linotype" w:eastAsia="Palatino Linotype" w:hAnsi="Palatino Linotype"/>
          <w:b/>
          <w:bCs/>
          <w:color w:val="auto"/>
          <w:sz w:val="28"/>
          <w:szCs w:val="28"/>
        </w:rPr>
        <w:t xml:space="preserve">SEGUNDO. De la oportunidad y procedencia del recurso de revisión. </w:t>
      </w:r>
    </w:p>
    <w:p w:rsidR="007B09D7" w:rsidRPr="00121BAE" w:rsidRDefault="007B09D7" w:rsidP="007B09D7">
      <w:pPr>
        <w:spacing w:line="360" w:lineRule="auto"/>
        <w:jc w:val="both"/>
        <w:rPr>
          <w:rFonts w:ascii="Palatino Linotype" w:hAnsi="Palatino Linotype"/>
          <w:sz w:val="24"/>
          <w:szCs w:val="24"/>
        </w:rPr>
      </w:pPr>
      <w:r w:rsidRPr="00121BAE">
        <w:rPr>
          <w:rFonts w:ascii="Palatino Linotype" w:hAnsi="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7B09D7" w:rsidRPr="00121BAE" w:rsidRDefault="007B09D7" w:rsidP="007B09D7">
      <w:pPr>
        <w:spacing w:line="360" w:lineRule="auto"/>
        <w:jc w:val="both"/>
        <w:rPr>
          <w:rFonts w:ascii="Palatino Linotype" w:hAnsi="Palatino Linotype"/>
          <w:sz w:val="24"/>
          <w:szCs w:val="24"/>
        </w:rPr>
      </w:pPr>
    </w:p>
    <w:p w:rsidR="007B09D7" w:rsidRPr="00121BAE" w:rsidRDefault="007B09D7" w:rsidP="007B09D7">
      <w:pPr>
        <w:spacing w:line="360" w:lineRule="auto"/>
        <w:jc w:val="both"/>
        <w:rPr>
          <w:rFonts w:ascii="Palatino Linotype" w:hAnsi="Palatino Linotype"/>
          <w:sz w:val="24"/>
          <w:szCs w:val="24"/>
        </w:rPr>
      </w:pPr>
      <w:r w:rsidRPr="00121BAE">
        <w:rPr>
          <w:rFonts w:ascii="Palatino Linotype" w:hAnsi="Palatino Linotype"/>
          <w:sz w:val="24"/>
          <w:szCs w:val="24"/>
        </w:rPr>
        <w:t>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Recurrente, por lo que, en el presente caso, al haber sido presentado el recurso de revisión vía SAIMEX, dicho requisito resulta innecesario.</w:t>
      </w:r>
    </w:p>
    <w:p w:rsidR="007B09D7" w:rsidRPr="00121BAE" w:rsidRDefault="007B09D7" w:rsidP="007B09D7">
      <w:pPr>
        <w:spacing w:line="360" w:lineRule="auto"/>
        <w:jc w:val="both"/>
        <w:rPr>
          <w:rFonts w:ascii="Palatino Linotype" w:hAnsi="Palatino Linotype"/>
          <w:sz w:val="24"/>
          <w:szCs w:val="24"/>
        </w:rPr>
      </w:pPr>
      <w:r w:rsidRPr="00121BAE">
        <w:rPr>
          <w:rFonts w:ascii="Palatino Linotype" w:hAnsi="Palatino Linotype"/>
          <w:sz w:val="24"/>
          <w:szCs w:val="24"/>
        </w:rPr>
        <w:lastRenderedPageBreak/>
        <w:t>El artículo 179 fracción VII de la Ley de Transparencia y Acceso a la Información Pública del Estado de México y Municipios establece como supuesto de procedencia del recurso de revisión, la falta de respuesta a una solicitud de información por el Sujeto Obligado, hipótesis jurídica que se actualiza en este caso, aunado a que la parte Recurrente combate falta de trámite por el Sujeto Obligado y expresa motivos de inconformidad en contra de dicha circunstancia.</w:t>
      </w:r>
    </w:p>
    <w:p w:rsidR="007B09D7" w:rsidRPr="00121BAE" w:rsidRDefault="007B09D7" w:rsidP="007B09D7">
      <w:pPr>
        <w:spacing w:line="360" w:lineRule="auto"/>
        <w:jc w:val="both"/>
        <w:rPr>
          <w:rFonts w:ascii="Palatino Linotype" w:hAnsi="Palatino Linotype"/>
          <w:sz w:val="24"/>
          <w:szCs w:val="24"/>
        </w:rPr>
      </w:pPr>
    </w:p>
    <w:p w:rsidR="007B09D7" w:rsidRPr="00121BAE" w:rsidRDefault="007B09D7" w:rsidP="007B09D7">
      <w:pPr>
        <w:spacing w:line="360" w:lineRule="auto"/>
        <w:jc w:val="both"/>
        <w:rPr>
          <w:rFonts w:ascii="Palatino Linotype" w:hAnsi="Palatino Linotype"/>
          <w:sz w:val="24"/>
          <w:szCs w:val="24"/>
        </w:rPr>
      </w:pPr>
      <w:r w:rsidRPr="00121BAE">
        <w:rPr>
          <w:rFonts w:ascii="Palatino Linotype" w:hAnsi="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B09D7" w:rsidRPr="00121BAE" w:rsidRDefault="007B09D7" w:rsidP="007B09D7">
      <w:pPr>
        <w:spacing w:line="360" w:lineRule="auto"/>
        <w:jc w:val="both"/>
        <w:rPr>
          <w:rFonts w:ascii="Palatino Linotype" w:eastAsia="Palatino Linotype" w:hAnsi="Palatino Linotype" w:cstheme="majorBidi"/>
          <w:b/>
          <w:sz w:val="24"/>
          <w:szCs w:val="24"/>
        </w:rPr>
      </w:pPr>
    </w:p>
    <w:p w:rsidR="007B09D7" w:rsidRPr="00121BAE" w:rsidRDefault="007B09D7" w:rsidP="007B09D7">
      <w:pPr>
        <w:widowControl w:val="0"/>
        <w:autoSpaceDE w:val="0"/>
        <w:autoSpaceDN w:val="0"/>
        <w:adjustRightInd w:val="0"/>
        <w:spacing w:line="360" w:lineRule="auto"/>
        <w:jc w:val="both"/>
        <w:rPr>
          <w:rFonts w:ascii="Palatino Linotype" w:hAnsi="Palatino Linotype" w:cs="Arial"/>
          <w:b/>
          <w:sz w:val="28"/>
          <w:szCs w:val="28"/>
          <w:lang w:val="es-ES" w:eastAsia="es-ES"/>
        </w:rPr>
      </w:pPr>
      <w:r w:rsidRPr="00121BAE">
        <w:rPr>
          <w:rFonts w:ascii="Palatino Linotype" w:hAnsi="Palatino Linotype" w:cs="Arial"/>
          <w:b/>
          <w:sz w:val="28"/>
          <w:szCs w:val="28"/>
          <w:lang w:val="es-ES" w:eastAsia="es-ES"/>
        </w:rPr>
        <w:t>TERCERO. Estudio y resolución del asunto</w:t>
      </w:r>
      <w:r w:rsidRPr="00121BAE">
        <w:rPr>
          <w:rFonts w:ascii="Palatino Linotype" w:hAnsi="Palatino Linotype"/>
          <w:b/>
          <w:sz w:val="28"/>
          <w:szCs w:val="28"/>
          <w:lang w:val="es-ES" w:eastAsia="es-ES"/>
        </w:rPr>
        <w:t xml:space="preserve">. </w:t>
      </w:r>
    </w:p>
    <w:p w:rsidR="007B09D7" w:rsidRPr="00121BAE" w:rsidRDefault="007B09D7" w:rsidP="007B09D7">
      <w:pPr>
        <w:spacing w:line="360" w:lineRule="auto"/>
        <w:contextualSpacing/>
        <w:jc w:val="both"/>
        <w:rPr>
          <w:rFonts w:ascii="Palatino Linotype" w:hAnsi="Palatino Linotype" w:cs="Arial"/>
          <w:sz w:val="24"/>
          <w:szCs w:val="24"/>
          <w:lang w:eastAsia="es-ES"/>
        </w:rPr>
      </w:pPr>
      <w:r w:rsidRPr="00121BAE">
        <w:rPr>
          <w:rFonts w:ascii="Palatino Linotype" w:eastAsia="MS Mincho" w:hAnsi="Palatino Linotype"/>
          <w:sz w:val="24"/>
          <w:szCs w:val="24"/>
          <w:lang w:val="es-ES" w:eastAsia="es-ES"/>
        </w:rPr>
        <w:t>E</w:t>
      </w:r>
      <w:r w:rsidRPr="00121BAE">
        <w:rPr>
          <w:rFonts w:ascii="Palatino Linotype" w:eastAsia="MS Mincho" w:hAnsi="Palatino Linotype"/>
          <w:sz w:val="24"/>
          <w:szCs w:val="24"/>
          <w:lang w:eastAsia="es-ES"/>
        </w:rPr>
        <w:t xml:space="preserve">l derecho de acceso a la información pública es un </w:t>
      </w:r>
      <w:r w:rsidRPr="00121BAE">
        <w:rPr>
          <w:rFonts w:ascii="Palatino Linotype" w:hAnsi="Palatino Linotype" w:cs="Arial"/>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121BAE">
        <w:rPr>
          <w:rFonts w:ascii="Palatino Linotype" w:hAnsi="Palatino Linotype" w:cs="Arial"/>
          <w:sz w:val="24"/>
          <w:szCs w:val="24"/>
          <w:lang w:eastAsia="es-ES"/>
        </w:rPr>
        <w:t xml:space="preserve">a través del cual se puede solicitar aquellos documentos que generen, administren o posean las autoridades en ejercicio de sus respectivas atribuciones y competencias. </w:t>
      </w:r>
    </w:p>
    <w:p w:rsidR="007B09D7" w:rsidRPr="00121BAE" w:rsidRDefault="007B09D7" w:rsidP="007B09D7">
      <w:pPr>
        <w:autoSpaceDE w:val="0"/>
        <w:autoSpaceDN w:val="0"/>
        <w:adjustRightInd w:val="0"/>
        <w:spacing w:line="360" w:lineRule="auto"/>
        <w:jc w:val="both"/>
        <w:rPr>
          <w:rFonts w:ascii="Palatino Linotype" w:hAnsi="Palatino Linotype" w:cs="Arial"/>
          <w:sz w:val="24"/>
          <w:szCs w:val="24"/>
          <w:lang w:val="es-ES" w:eastAsia="es-ES"/>
        </w:rPr>
      </w:pPr>
      <w:r w:rsidRPr="00121BAE">
        <w:rPr>
          <w:rFonts w:ascii="Palatino Linotype" w:hAnsi="Palatino Linotype" w:cs="Arial"/>
          <w:sz w:val="24"/>
          <w:szCs w:val="24"/>
          <w:lang w:val="es-ES" w:eastAsia="es-ES"/>
        </w:rPr>
        <w:lastRenderedPageBreak/>
        <w:t xml:space="preserve">Por lo que en cumplimiento a las obligaciones que establece nuestra Carta Magna, la Constitución Estatal y la Ley de la materia le imponen, el </w:t>
      </w:r>
      <w:r w:rsidRPr="00121BAE">
        <w:rPr>
          <w:rFonts w:ascii="Palatino Linotype" w:hAnsi="Palatino Linotype" w:cs="Arial"/>
          <w:b/>
          <w:sz w:val="24"/>
          <w:szCs w:val="24"/>
          <w:lang w:val="es-ES" w:eastAsia="es-ES"/>
        </w:rPr>
        <w:t>Sujeto Obligado</w:t>
      </w:r>
      <w:r w:rsidRPr="00121BAE">
        <w:rPr>
          <w:rFonts w:ascii="Palatino Linotype"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121BAE">
        <w:rPr>
          <w:rFonts w:ascii="Palatino Linotype" w:hAnsi="Palatino Linotype" w:cs="Arial"/>
          <w:b/>
          <w:sz w:val="24"/>
          <w:szCs w:val="24"/>
          <w:lang w:val="es-ES" w:eastAsia="es-ES"/>
        </w:rPr>
        <w:t>Sujeto Obligado</w:t>
      </w:r>
      <w:r w:rsidRPr="00121BAE">
        <w:rPr>
          <w:rFonts w:ascii="Palatino Linotype" w:hAnsi="Palatino Linotype" w:cs="Arial"/>
          <w:sz w:val="24"/>
          <w:szCs w:val="24"/>
          <w:lang w:val="es-ES" w:eastAsia="es-ES"/>
        </w:rPr>
        <w:t xml:space="preserve"> fue omiso en dar respuesta a la solicitud de información dentro de los plazos establecidos en la Ley de Transparencia Local.</w:t>
      </w:r>
    </w:p>
    <w:p w:rsidR="007B09D7" w:rsidRPr="00121BAE" w:rsidRDefault="007B09D7" w:rsidP="007B09D7">
      <w:pPr>
        <w:autoSpaceDE w:val="0"/>
        <w:autoSpaceDN w:val="0"/>
        <w:adjustRightInd w:val="0"/>
        <w:spacing w:line="360" w:lineRule="auto"/>
        <w:jc w:val="both"/>
        <w:rPr>
          <w:rFonts w:ascii="Palatino Linotype" w:hAnsi="Palatino Linotype" w:cs="Arial"/>
          <w:sz w:val="24"/>
          <w:szCs w:val="24"/>
          <w:lang w:val="es-ES" w:eastAsia="es-ES"/>
        </w:rPr>
      </w:pPr>
    </w:p>
    <w:p w:rsidR="007B09D7" w:rsidRPr="00121BAE" w:rsidRDefault="007B09D7" w:rsidP="007B09D7">
      <w:pPr>
        <w:autoSpaceDE w:val="0"/>
        <w:autoSpaceDN w:val="0"/>
        <w:adjustRightInd w:val="0"/>
        <w:spacing w:line="360" w:lineRule="auto"/>
        <w:jc w:val="both"/>
        <w:rPr>
          <w:rFonts w:ascii="Palatino Linotype" w:hAnsi="Palatino Linotype" w:cs="Arial"/>
          <w:sz w:val="24"/>
          <w:szCs w:val="24"/>
          <w:lang w:val="es-ES" w:eastAsia="es-ES"/>
        </w:rPr>
      </w:pPr>
      <w:r w:rsidRPr="00121BAE">
        <w:rPr>
          <w:rFonts w:ascii="Palatino Linotype"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en la fracción VII del artículo 179 de la </w:t>
      </w:r>
      <w:r w:rsidRPr="00121BAE">
        <w:rPr>
          <w:rFonts w:ascii="Palatino Linotype" w:hAnsi="Palatino Linotype" w:cs="Arial"/>
          <w:bCs/>
          <w:sz w:val="24"/>
          <w:szCs w:val="24"/>
          <w:lang w:val="es-ES" w:eastAsia="es-ES"/>
        </w:rPr>
        <w:t>Ley de Transparencia y Acceso a la Información Pública del Estado de México y Municipios</w:t>
      </w:r>
      <w:r w:rsidRPr="00121BAE">
        <w:rPr>
          <w:rFonts w:ascii="Palatino Linotype" w:hAnsi="Palatino Linotype" w:cs="Arial"/>
          <w:sz w:val="24"/>
          <w:szCs w:val="24"/>
          <w:lang w:val="es-ES" w:eastAsia="es-ES"/>
        </w:rPr>
        <w:t>,</w:t>
      </w:r>
      <w:r w:rsidRPr="00121BAE">
        <w:rPr>
          <w:rFonts w:ascii="Palatino Linotype" w:hAnsi="Palatino Linotype" w:cs="Arial"/>
          <w:b/>
          <w:sz w:val="24"/>
          <w:szCs w:val="24"/>
          <w:lang w:val="es-ES" w:eastAsia="es-ES"/>
        </w:rPr>
        <w:t xml:space="preserve"> </w:t>
      </w:r>
      <w:r w:rsidRPr="00121BAE">
        <w:rPr>
          <w:rFonts w:ascii="Palatino Linotype" w:hAnsi="Palatino Linotype" w:cs="Arial"/>
          <w:bCs/>
          <w:sz w:val="24"/>
          <w:szCs w:val="24"/>
          <w:lang w:val="es-ES" w:eastAsia="es-ES"/>
        </w:rPr>
        <w:t>y</w:t>
      </w:r>
      <w:r w:rsidRPr="00121BAE">
        <w:rPr>
          <w:rFonts w:ascii="Palatino Linotype" w:hAnsi="Palatino Linotype" w:cs="Arial"/>
          <w:b/>
          <w:sz w:val="24"/>
          <w:szCs w:val="24"/>
          <w:lang w:val="es-ES" w:eastAsia="es-ES"/>
        </w:rPr>
        <w:t xml:space="preserve"> </w:t>
      </w:r>
      <w:r w:rsidRPr="00121BAE">
        <w:rPr>
          <w:rFonts w:ascii="Palatino Linotype" w:hAnsi="Palatino Linotype" w:cs="Arial"/>
          <w:sz w:val="24"/>
          <w:szCs w:val="24"/>
          <w:lang w:val="es-ES" w:eastAsia="es-ES"/>
        </w:rPr>
        <w:t>por tanto, procedente la interposición del recurso de revisión.</w:t>
      </w:r>
    </w:p>
    <w:p w:rsidR="007B09D7" w:rsidRPr="00121BAE" w:rsidRDefault="007B09D7" w:rsidP="007B09D7">
      <w:pPr>
        <w:autoSpaceDE w:val="0"/>
        <w:autoSpaceDN w:val="0"/>
        <w:adjustRightInd w:val="0"/>
        <w:spacing w:line="360" w:lineRule="auto"/>
        <w:jc w:val="both"/>
        <w:rPr>
          <w:rFonts w:ascii="Palatino Linotype" w:hAnsi="Palatino Linotype" w:cs="Arial"/>
          <w:sz w:val="24"/>
          <w:szCs w:val="24"/>
          <w:lang w:val="es-ES" w:eastAsia="es-ES"/>
        </w:rPr>
      </w:pPr>
    </w:p>
    <w:p w:rsidR="007B09D7" w:rsidRPr="00121BAE" w:rsidRDefault="007B09D7" w:rsidP="007B09D7">
      <w:pPr>
        <w:autoSpaceDE w:val="0"/>
        <w:autoSpaceDN w:val="0"/>
        <w:adjustRightInd w:val="0"/>
        <w:spacing w:line="360" w:lineRule="auto"/>
        <w:jc w:val="both"/>
        <w:rPr>
          <w:rFonts w:ascii="Palatino Linotype" w:hAnsi="Palatino Linotype"/>
          <w:sz w:val="24"/>
          <w:szCs w:val="24"/>
          <w:lang w:val="es-ES"/>
        </w:rPr>
      </w:pPr>
      <w:r w:rsidRPr="00121BAE">
        <w:rPr>
          <w:rFonts w:ascii="Palatino Linotype" w:hAnsi="Palatino Linotype" w:cs="Arial"/>
          <w:sz w:val="24"/>
          <w:szCs w:val="24"/>
          <w:lang w:val="es-ES" w:eastAsia="es-ES"/>
        </w:rPr>
        <w:t xml:space="preserve">En consecuencia, las razones o motivos de </w:t>
      </w:r>
      <w:r w:rsidRPr="00121BAE">
        <w:rPr>
          <w:rFonts w:ascii="Palatino Linotype" w:hAnsi="Palatino Linotype"/>
          <w:sz w:val="24"/>
          <w:szCs w:val="24"/>
          <w:lang w:val="es-ES" w:eastAsia="es-ES"/>
        </w:rPr>
        <w:t xml:space="preserve">inconformidad hechos valer, resultan </w:t>
      </w:r>
      <w:r w:rsidRPr="00121BAE">
        <w:rPr>
          <w:rFonts w:ascii="Palatino Linotype" w:hAnsi="Palatino Linotype"/>
          <w:b/>
          <w:sz w:val="24"/>
          <w:szCs w:val="24"/>
          <w:lang w:val="es-ES" w:eastAsia="es-ES"/>
        </w:rPr>
        <w:t>fundadas y procedentes</w:t>
      </w:r>
      <w:r w:rsidRPr="00121BAE">
        <w:rPr>
          <w:rFonts w:ascii="Palatino Linotype" w:hAnsi="Palatino Linotype"/>
          <w:sz w:val="24"/>
          <w:szCs w:val="24"/>
          <w:lang w:val="es-ES" w:eastAsia="es-ES"/>
        </w:rPr>
        <w:t xml:space="preserve">, en virtud de las constancias que obran en el expediente electrónico SAIMEX, se acredita que el </w:t>
      </w:r>
      <w:r w:rsidRPr="00121BAE">
        <w:rPr>
          <w:rFonts w:ascii="Palatino Linotype" w:hAnsi="Palatino Linotype" w:cs="Arial"/>
          <w:b/>
          <w:sz w:val="24"/>
          <w:szCs w:val="24"/>
          <w:lang w:val="es-ES"/>
        </w:rPr>
        <w:t>Sujeto Obligado</w:t>
      </w:r>
      <w:r w:rsidRPr="00121BAE">
        <w:rPr>
          <w:rFonts w:ascii="Palatino Linotype" w:hAnsi="Palatino Linotype" w:cs="Arial"/>
          <w:sz w:val="24"/>
          <w:szCs w:val="24"/>
          <w:lang w:val="es-ES"/>
        </w:rPr>
        <w:t xml:space="preserve"> fue omiso en responder la solicitud de información hechas por la parte </w:t>
      </w:r>
      <w:r w:rsidRPr="00121BAE">
        <w:rPr>
          <w:rFonts w:ascii="Palatino Linotype" w:hAnsi="Palatino Linotype" w:cs="Arial"/>
          <w:b/>
          <w:sz w:val="24"/>
          <w:szCs w:val="24"/>
          <w:lang w:val="es-ES"/>
        </w:rPr>
        <w:t>Recurrente</w:t>
      </w:r>
      <w:r w:rsidRPr="00121BAE">
        <w:rPr>
          <w:rFonts w:ascii="Palatino Linotype" w:hAnsi="Palatino Linotype" w:cs="Arial"/>
          <w:sz w:val="24"/>
          <w:szCs w:val="24"/>
          <w:lang w:val="es-ES"/>
        </w:rPr>
        <w:t xml:space="preserve">, es decir, </w:t>
      </w:r>
      <w:r w:rsidRPr="00121BAE">
        <w:rPr>
          <w:rFonts w:ascii="Palatino Linotype" w:hAnsi="Palatino Linotype"/>
          <w:sz w:val="24"/>
          <w:szCs w:val="24"/>
          <w:lang w:val="es-ES"/>
        </w:rPr>
        <w:t xml:space="preserve">incumplió las obligaciones que se le imponen como </w:t>
      </w:r>
      <w:r w:rsidRPr="00121BAE">
        <w:rPr>
          <w:rFonts w:ascii="Palatino Linotype" w:hAnsi="Palatino Linotype"/>
          <w:b/>
          <w:sz w:val="24"/>
          <w:szCs w:val="24"/>
          <w:lang w:val="es-ES"/>
        </w:rPr>
        <w:t>Sujeto Obligado</w:t>
      </w:r>
      <w:r w:rsidRPr="00121BAE">
        <w:rPr>
          <w:rFonts w:ascii="Palatino Linotype" w:hAnsi="Palatino Linotype"/>
          <w:sz w:val="24"/>
          <w:szCs w:val="24"/>
          <w:lang w:val="es-ES"/>
        </w:rPr>
        <w:t>, de conformidad con lo establecido en los artículos 4, 12, 23 fracción IV, 24 último párrafo y 160 de la Ley de Transparencia y Acceso a la Información Pública del Estado de México y Municipios.</w:t>
      </w:r>
    </w:p>
    <w:p w:rsidR="007B09D7" w:rsidRPr="00121BAE" w:rsidRDefault="007B09D7" w:rsidP="007B09D7">
      <w:pPr>
        <w:widowControl w:val="0"/>
        <w:tabs>
          <w:tab w:val="left" w:pos="1276"/>
        </w:tabs>
        <w:spacing w:line="360" w:lineRule="auto"/>
        <w:jc w:val="both"/>
        <w:rPr>
          <w:rFonts w:ascii="Palatino Linotype" w:eastAsia="Palatino Linotype" w:hAnsi="Palatino Linotype" w:cs="Palatino Linotype"/>
          <w:sz w:val="24"/>
          <w:szCs w:val="24"/>
        </w:rPr>
      </w:pPr>
      <w:r w:rsidRPr="00121BAE">
        <w:rPr>
          <w:rFonts w:ascii="Palatino Linotype" w:hAnsi="Palatino Linotype" w:cs="Arial"/>
          <w:sz w:val="24"/>
          <w:szCs w:val="24"/>
          <w:lang w:val="es-ES"/>
        </w:rPr>
        <w:lastRenderedPageBreak/>
        <w:t xml:space="preserve">De conformidad con lo establecido en los artículos 50 y 51 de la Ley de Transparencia y Acceso a la Información Pública del Estado de México y Municipios, los </w:t>
      </w:r>
      <w:r w:rsidRPr="00121BAE">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B09D7" w:rsidRPr="00121BAE" w:rsidRDefault="007B09D7" w:rsidP="007B09D7">
      <w:pPr>
        <w:widowControl w:val="0"/>
        <w:tabs>
          <w:tab w:val="left" w:pos="1276"/>
        </w:tabs>
        <w:spacing w:line="360" w:lineRule="auto"/>
        <w:jc w:val="both"/>
        <w:rPr>
          <w:rFonts w:ascii="Palatino Linotype" w:eastAsia="Palatino Linotype" w:hAnsi="Palatino Linotype" w:cs="Palatino Linotype"/>
          <w:sz w:val="24"/>
          <w:szCs w:val="24"/>
        </w:rPr>
      </w:pPr>
    </w:p>
    <w:p w:rsidR="007B09D7" w:rsidRPr="00121BAE" w:rsidRDefault="007B09D7" w:rsidP="007B09D7">
      <w:pPr>
        <w:widowControl w:val="0"/>
        <w:tabs>
          <w:tab w:val="left" w:pos="1276"/>
        </w:tabs>
        <w:spacing w:line="360" w:lineRule="auto"/>
        <w:jc w:val="both"/>
        <w:rPr>
          <w:rFonts w:ascii="Palatino Linotype" w:eastAsia="Palatino Linotype" w:hAnsi="Palatino Linotype" w:cs="Palatino Linotype"/>
          <w:sz w:val="24"/>
          <w:szCs w:val="24"/>
        </w:rPr>
      </w:pPr>
      <w:r w:rsidRPr="00121BAE">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B09D7" w:rsidRPr="00121BAE" w:rsidRDefault="007B09D7" w:rsidP="007B09D7">
      <w:pPr>
        <w:widowControl w:val="0"/>
        <w:tabs>
          <w:tab w:val="left" w:pos="1276"/>
        </w:tabs>
        <w:spacing w:line="360" w:lineRule="auto"/>
        <w:jc w:val="both"/>
        <w:rPr>
          <w:rFonts w:ascii="Palatino Linotype" w:eastAsia="Palatino Linotype" w:hAnsi="Palatino Linotype" w:cs="Palatino Linotype"/>
          <w:sz w:val="24"/>
          <w:szCs w:val="24"/>
        </w:rPr>
      </w:pPr>
    </w:p>
    <w:p w:rsidR="007B09D7" w:rsidRPr="00121BAE" w:rsidRDefault="007B09D7" w:rsidP="007B09D7">
      <w:pPr>
        <w:spacing w:line="360" w:lineRule="auto"/>
        <w:jc w:val="both"/>
        <w:rPr>
          <w:rFonts w:ascii="Palatino Linotype" w:hAnsi="Palatino Linotype"/>
          <w:sz w:val="24"/>
          <w:szCs w:val="24"/>
          <w:lang w:val="es-ES" w:eastAsia="es-ES"/>
        </w:rPr>
      </w:pPr>
      <w:r w:rsidRPr="00121BAE">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121BAE">
        <w:rPr>
          <w:rFonts w:ascii="Palatino Linotype" w:hAnsi="Palatino Linotype"/>
          <w:sz w:val="24"/>
          <w:szCs w:val="24"/>
          <w:lang w:val="es-ES" w:eastAsia="es-ES"/>
        </w:rPr>
        <w:t xml:space="preserve">De tal manera que la omisión del Titular de la Unidad de Transparencia, como primer responsable de </w:t>
      </w:r>
      <w:r w:rsidRPr="00121BAE">
        <w:rPr>
          <w:rFonts w:ascii="Palatino Linotype" w:hAnsi="Palatino Linotype"/>
          <w:sz w:val="24"/>
          <w:szCs w:val="24"/>
          <w:lang w:val="es-ES" w:eastAsia="es-ES"/>
        </w:rPr>
        <w:lastRenderedPageBreak/>
        <w:t>atender la solicitud de información, se traduce en una conducta que ha vulnerado el derecho de acceso a la información consignado a favor del particular.</w:t>
      </w:r>
    </w:p>
    <w:p w:rsidR="007B09D7" w:rsidRPr="00121BAE" w:rsidRDefault="007B09D7" w:rsidP="007B09D7">
      <w:pPr>
        <w:spacing w:line="360" w:lineRule="auto"/>
        <w:jc w:val="both"/>
        <w:rPr>
          <w:rFonts w:ascii="Palatino Linotype" w:hAnsi="Palatino Linotype" w:cs="Segoe UI"/>
        </w:rPr>
      </w:pPr>
    </w:p>
    <w:p w:rsidR="007B09D7" w:rsidRPr="00121BAE" w:rsidRDefault="007B09D7" w:rsidP="007B09D7">
      <w:pPr>
        <w:spacing w:line="360" w:lineRule="auto"/>
        <w:jc w:val="both"/>
        <w:rPr>
          <w:rFonts w:ascii="Palatino Linotype" w:hAnsi="Palatino Linotype" w:cs="Arial"/>
          <w:sz w:val="24"/>
          <w:szCs w:val="24"/>
        </w:rPr>
      </w:pPr>
      <w:r w:rsidRPr="00121BAE">
        <w:rPr>
          <w:rFonts w:ascii="Palatino Linotype" w:hAnsi="Palatino Linotype" w:cs="Segoe UI"/>
          <w:sz w:val="24"/>
          <w:szCs w:val="24"/>
        </w:rPr>
        <w:t xml:space="preserve">Cabe señalar que </w:t>
      </w:r>
      <w:r w:rsidRPr="00121BAE">
        <w:rPr>
          <w:rFonts w:ascii="Palatino Linotype" w:hAnsi="Palatino Linotype" w:cs="Segoe UI"/>
          <w:b/>
          <w:sz w:val="24"/>
          <w:szCs w:val="24"/>
        </w:rPr>
        <w:t>la Recurrente</w:t>
      </w:r>
      <w:r w:rsidRPr="00121BAE">
        <w:rPr>
          <w:rFonts w:ascii="Palatino Linotype" w:hAnsi="Palatino Linotype" w:cs="Segoe UI"/>
          <w:sz w:val="24"/>
          <w:szCs w:val="24"/>
        </w:rPr>
        <w:t xml:space="preserve"> </w:t>
      </w:r>
      <w:r w:rsidRPr="00121BAE">
        <w:rPr>
          <w:rFonts w:ascii="Palatino Linotype" w:hAnsi="Palatino Linotype" w:cs="Segoe UI"/>
          <w:sz w:val="24"/>
          <w:szCs w:val="24"/>
          <w:u w:val="single"/>
        </w:rPr>
        <w:t>ejerció su derecho mediante su nombre sin embargo de haberlo ejercido de manera anónima</w:t>
      </w:r>
      <w:r w:rsidRPr="00121BAE">
        <w:rPr>
          <w:rFonts w:ascii="Palatino Linotype" w:hAnsi="Palatino Linotype"/>
          <w:sz w:val="24"/>
          <w:szCs w:val="24"/>
        </w:rPr>
        <w:t xml:space="preserve">, no sería motivo para desechar las </w:t>
      </w:r>
      <w:r w:rsidRPr="00121BAE">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rsidR="007B09D7" w:rsidRPr="00121BAE" w:rsidRDefault="007B09D7" w:rsidP="007B09D7">
      <w:pPr>
        <w:spacing w:before="240" w:line="360" w:lineRule="auto"/>
        <w:ind w:left="851" w:right="851"/>
        <w:jc w:val="both"/>
        <w:rPr>
          <w:rFonts w:ascii="Palatino Linotype" w:hAnsi="Palatino Linotype" w:cs="Arial"/>
          <w:b/>
          <w:i/>
        </w:rPr>
      </w:pPr>
      <w:r w:rsidRPr="00121BAE">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21BAE">
        <w:rPr>
          <w:rFonts w:ascii="Palatino Linotype" w:hAnsi="Palatino Linotype" w:cs="Arial"/>
          <w:b/>
          <w:i/>
        </w:rPr>
        <w:t>[Sic]</w:t>
      </w:r>
    </w:p>
    <w:p w:rsidR="00A40352" w:rsidRPr="00121BAE" w:rsidRDefault="00A40352" w:rsidP="007B09D7">
      <w:pPr>
        <w:autoSpaceDE w:val="0"/>
        <w:autoSpaceDN w:val="0"/>
        <w:adjustRightInd w:val="0"/>
        <w:spacing w:line="360" w:lineRule="auto"/>
        <w:jc w:val="both"/>
        <w:rPr>
          <w:rFonts w:ascii="Palatino Linotype" w:hAnsi="Palatino Linotype" w:cs="Arial"/>
          <w:sz w:val="24"/>
          <w:szCs w:val="24"/>
          <w:lang w:eastAsia="es-ES"/>
        </w:rPr>
      </w:pPr>
    </w:p>
    <w:p w:rsidR="007B09D7" w:rsidRPr="00121BAE" w:rsidRDefault="007B09D7" w:rsidP="007B09D7">
      <w:pPr>
        <w:autoSpaceDE w:val="0"/>
        <w:autoSpaceDN w:val="0"/>
        <w:adjustRightInd w:val="0"/>
        <w:spacing w:line="360" w:lineRule="auto"/>
        <w:jc w:val="both"/>
        <w:rPr>
          <w:rFonts w:ascii="Palatino Linotype" w:hAnsi="Palatino Linotype"/>
          <w:sz w:val="24"/>
          <w:szCs w:val="24"/>
          <w:lang w:val="es-ES" w:eastAsia="es-ES"/>
        </w:rPr>
      </w:pPr>
      <w:r w:rsidRPr="00121BAE">
        <w:rPr>
          <w:rFonts w:ascii="Palatino Linotype" w:hAnsi="Palatino Linotype" w:cs="Arial"/>
          <w:sz w:val="24"/>
          <w:szCs w:val="24"/>
          <w:lang w:eastAsia="es-ES"/>
        </w:rPr>
        <w:t xml:space="preserve">En consecuencia, </w:t>
      </w:r>
      <w:r w:rsidRPr="00121BAE">
        <w:rPr>
          <w:rFonts w:ascii="Palatino Linotype" w:hAnsi="Palatino Linotype"/>
          <w:sz w:val="24"/>
          <w:szCs w:val="24"/>
          <w:lang w:val="es-ES" w:eastAsia="es-ES"/>
        </w:rPr>
        <w:t xml:space="preserve">según lo dispuesto por el artículo 150 de la Ley de Transparencia y Acceso a la Información Pública del Estado de México y Municipios, el </w:t>
      </w:r>
      <w:r w:rsidRPr="00121BAE">
        <w:rPr>
          <w:rFonts w:ascii="Palatino Linotype" w:hAnsi="Palatino Linotype"/>
          <w:i/>
          <w:sz w:val="24"/>
          <w:szCs w:val="24"/>
          <w:lang w:val="es-ES" w:eastAsia="es-ES"/>
        </w:rPr>
        <w:t xml:space="preserve">procedimiento de acceso a la información es la garantía primaria del derecho en cuestión, </w:t>
      </w:r>
      <w:r w:rsidRPr="00121BAE">
        <w:rPr>
          <w:rFonts w:ascii="Palatino Linotype" w:hAnsi="Palatino Linotype"/>
          <w:sz w:val="24"/>
          <w:szCs w:val="24"/>
          <w:lang w:val="es-ES" w:eastAsia="es-ES"/>
        </w:rPr>
        <w:t xml:space="preserve">por lo tanto, la falta de respuesta a una solicitud de acceso a la información constituye un incumplimiento del </w:t>
      </w:r>
      <w:r w:rsidRPr="00121BAE">
        <w:rPr>
          <w:rFonts w:ascii="Palatino Linotype" w:hAnsi="Palatino Linotype"/>
          <w:b/>
          <w:sz w:val="24"/>
          <w:szCs w:val="24"/>
          <w:lang w:val="es-ES" w:eastAsia="es-ES"/>
        </w:rPr>
        <w:t>Sujeto Obligado</w:t>
      </w:r>
      <w:r w:rsidRPr="00121BAE">
        <w:rPr>
          <w:rFonts w:ascii="Palatino Linotype" w:hAnsi="Palatino Linotype"/>
          <w:sz w:val="24"/>
          <w:szCs w:val="24"/>
          <w:lang w:val="es-ES" w:eastAsia="es-ES"/>
        </w:rPr>
        <w:t xml:space="preserve"> a su deber de garantizar el derecho, lo que constituye una vulneración al mismo.</w:t>
      </w:r>
    </w:p>
    <w:p w:rsidR="00A40352" w:rsidRPr="00121BAE" w:rsidRDefault="00A40352" w:rsidP="007B09D7">
      <w:pPr>
        <w:autoSpaceDE w:val="0"/>
        <w:autoSpaceDN w:val="0"/>
        <w:adjustRightInd w:val="0"/>
        <w:spacing w:line="360" w:lineRule="auto"/>
        <w:jc w:val="both"/>
        <w:rPr>
          <w:rFonts w:ascii="Palatino Linotype" w:hAnsi="Palatino Linotype"/>
          <w:sz w:val="24"/>
          <w:szCs w:val="24"/>
          <w:lang w:val="es-ES" w:eastAsia="es-ES"/>
        </w:rPr>
      </w:pPr>
    </w:p>
    <w:p w:rsidR="007B09D7" w:rsidRPr="00121BAE" w:rsidRDefault="007B09D7" w:rsidP="007B09D7">
      <w:pPr>
        <w:autoSpaceDE w:val="0"/>
        <w:autoSpaceDN w:val="0"/>
        <w:adjustRightInd w:val="0"/>
        <w:spacing w:line="360" w:lineRule="auto"/>
        <w:jc w:val="both"/>
        <w:rPr>
          <w:rFonts w:ascii="Palatino Linotype" w:hAnsi="Palatino Linotype"/>
          <w:sz w:val="24"/>
          <w:szCs w:val="24"/>
          <w:lang w:val="es-ES" w:eastAsia="es-ES"/>
        </w:rPr>
      </w:pPr>
      <w:r w:rsidRPr="00121BAE">
        <w:rPr>
          <w:rFonts w:ascii="Palatino Linotype" w:hAnsi="Palatino Linotype"/>
          <w:sz w:val="24"/>
          <w:szCs w:val="24"/>
          <w:lang w:val="es-ES" w:eastAsia="es-ES"/>
        </w:rPr>
        <w:t xml:space="preserve">Por lo anterior es de establecerse que el Recurrente solicito lo siguiente; </w:t>
      </w:r>
    </w:p>
    <w:p w:rsidR="00793007" w:rsidRPr="00121BAE" w:rsidRDefault="00793007" w:rsidP="00793007">
      <w:pPr>
        <w:pStyle w:val="Prrafodelista"/>
        <w:numPr>
          <w:ilvl w:val="0"/>
          <w:numId w:val="13"/>
        </w:numPr>
        <w:autoSpaceDE w:val="0"/>
        <w:autoSpaceDN w:val="0"/>
        <w:adjustRightInd w:val="0"/>
        <w:spacing w:after="0" w:line="360" w:lineRule="auto"/>
        <w:ind w:left="142"/>
        <w:jc w:val="both"/>
        <w:rPr>
          <w:rFonts w:ascii="Palatino Linotype" w:hAnsi="Palatino Linotype" w:cs="Arial"/>
        </w:rPr>
      </w:pPr>
      <w:r w:rsidRPr="00121BAE">
        <w:rPr>
          <w:rFonts w:ascii="Palatino Linotype" w:hAnsi="Palatino Linotype"/>
          <w:color w:val="000000"/>
          <w:sz w:val="24"/>
          <w:szCs w:val="24"/>
        </w:rPr>
        <w:lastRenderedPageBreak/>
        <w:t xml:space="preserve"> De la “Feria de Artesanos, productores y prestadores de servicios de Tepotzotlán” realizada en Plaza de la Cruz, respecto las unidades administrativas de la Secretaría del Ayuntamiento, Protección Civil, Seguridad Pública, Servicios Públicos, Comunicación Social, Desarrollo Económico y Tesorería Municipal lo siguiente: </w:t>
      </w:r>
    </w:p>
    <w:p w:rsidR="00BD23B1" w:rsidRPr="00121BAE" w:rsidRDefault="00793007" w:rsidP="00793007">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Autorización y uso de Pla</w:t>
      </w:r>
      <w:r w:rsidR="00BD23B1" w:rsidRPr="00121BAE">
        <w:rPr>
          <w:rFonts w:ascii="Palatino Linotype" w:hAnsi="Palatino Linotype"/>
          <w:color w:val="000000"/>
          <w:sz w:val="24"/>
          <w:szCs w:val="24"/>
        </w:rPr>
        <w:t>za de la Cruz</w:t>
      </w:r>
    </w:p>
    <w:p w:rsidR="00BD23B1" w:rsidRPr="00121BAE" w:rsidRDefault="00BD23B1" w:rsidP="00793007">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S</w:t>
      </w:r>
      <w:r w:rsidR="00793007" w:rsidRPr="00121BAE">
        <w:rPr>
          <w:rFonts w:ascii="Palatino Linotype" w:hAnsi="Palatino Linotype"/>
          <w:color w:val="000000"/>
          <w:sz w:val="24"/>
          <w:szCs w:val="24"/>
        </w:rPr>
        <w:t>eguridad y logística del evento</w:t>
      </w:r>
    </w:p>
    <w:p w:rsidR="00793007" w:rsidRPr="00121BAE" w:rsidRDefault="00793007" w:rsidP="00793007">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 xml:space="preserve"> Presentaciones artísticas o entretenimiento </w:t>
      </w:r>
    </w:p>
    <w:p w:rsidR="00793007" w:rsidRPr="00121BAE" w:rsidRDefault="00793007" w:rsidP="00793007">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 xml:space="preserve">Gasto en publicidad y difusión, limpieza, mantenimiento y posibles daños derivados del evento </w:t>
      </w:r>
    </w:p>
    <w:p w:rsidR="00793007" w:rsidRPr="00121BAE" w:rsidRDefault="00793007" w:rsidP="00793007">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 xml:space="preserve">Permisos o autorizaciones para uso de Plaza de la Cruz Dictámenes de Protección Civil Permisos para instalación de estructuras, sonido o energía eléctrica Permisos para comercio temporal o venta durante el evento </w:t>
      </w:r>
    </w:p>
    <w:p w:rsidR="00793007" w:rsidRPr="00121BAE" w:rsidRDefault="00793007" w:rsidP="00793007">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 xml:space="preserve">Relación de artistas, grupos musicales, animadores o conductores participantes </w:t>
      </w:r>
    </w:p>
    <w:p w:rsidR="00793007" w:rsidRPr="00121BAE" w:rsidRDefault="00793007" w:rsidP="00236F55">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Tipo de contratación, monto pagado, prove</w:t>
      </w:r>
      <w:r w:rsidR="00043FF3" w:rsidRPr="00121BAE">
        <w:rPr>
          <w:rFonts w:ascii="Palatino Linotype" w:hAnsi="Palatino Linotype"/>
          <w:color w:val="000000"/>
          <w:sz w:val="24"/>
          <w:szCs w:val="24"/>
        </w:rPr>
        <w:t>edor o representante contratado</w:t>
      </w:r>
      <w:r w:rsidR="00236F55" w:rsidRPr="00121BAE">
        <w:rPr>
          <w:rFonts w:ascii="Palatino Linotype" w:hAnsi="Palatino Linotype"/>
          <w:color w:val="000000"/>
          <w:sz w:val="24"/>
          <w:szCs w:val="24"/>
        </w:rPr>
        <w:t>, o</w:t>
      </w:r>
      <w:r w:rsidR="006A03A2" w:rsidRPr="00121BAE">
        <w:rPr>
          <w:rFonts w:ascii="Palatino Linotype" w:hAnsi="Palatino Linotype"/>
          <w:color w:val="000000"/>
          <w:sz w:val="24"/>
          <w:szCs w:val="24"/>
        </w:rPr>
        <w:t>rdenes de servicio, pólizas contables, r</w:t>
      </w:r>
      <w:r w:rsidR="00236F55" w:rsidRPr="00121BAE">
        <w:rPr>
          <w:rFonts w:ascii="Palatino Linotype" w:hAnsi="Palatino Linotype"/>
          <w:color w:val="000000"/>
          <w:sz w:val="24"/>
          <w:szCs w:val="24"/>
        </w:rPr>
        <w:t>eportes operat</w:t>
      </w:r>
      <w:r w:rsidR="006A03A2" w:rsidRPr="00121BAE">
        <w:rPr>
          <w:rFonts w:ascii="Palatino Linotype" w:hAnsi="Palatino Linotype"/>
          <w:color w:val="000000"/>
          <w:sz w:val="24"/>
          <w:szCs w:val="24"/>
        </w:rPr>
        <w:t>ivos, dictámenes y permisos, e</w:t>
      </w:r>
      <w:r w:rsidR="00236F55" w:rsidRPr="00121BAE">
        <w:rPr>
          <w:rFonts w:ascii="Palatino Linotype" w:hAnsi="Palatino Linotype"/>
          <w:color w:val="000000"/>
          <w:sz w:val="24"/>
          <w:szCs w:val="24"/>
        </w:rPr>
        <w:t>videncia fotográfica</w:t>
      </w:r>
      <w:r w:rsidR="006A03A2" w:rsidRPr="00121BAE">
        <w:rPr>
          <w:rFonts w:ascii="Palatino Linotype" w:hAnsi="Palatino Linotype"/>
          <w:color w:val="000000"/>
          <w:sz w:val="24"/>
          <w:szCs w:val="24"/>
        </w:rPr>
        <w:t xml:space="preserve"> de lo anterior.</w:t>
      </w:r>
    </w:p>
    <w:p w:rsidR="00793007" w:rsidRPr="00121BAE" w:rsidRDefault="00793007" w:rsidP="00793007">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 xml:space="preserve">Gasto ejercido en publicidad y difusión </w:t>
      </w:r>
    </w:p>
    <w:p w:rsidR="00236F55" w:rsidRPr="00121BAE" w:rsidRDefault="00793007" w:rsidP="00793007">
      <w:pPr>
        <w:pStyle w:val="Prrafodelista"/>
        <w:numPr>
          <w:ilvl w:val="0"/>
          <w:numId w:val="14"/>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 xml:space="preserve">Número de elementos de seguridad desplegados, </w:t>
      </w:r>
      <w:r w:rsidR="008C05A0" w:rsidRPr="00121BAE">
        <w:rPr>
          <w:rFonts w:ascii="Palatino Linotype" w:hAnsi="Palatino Linotype"/>
          <w:color w:val="000000"/>
          <w:sz w:val="24"/>
          <w:szCs w:val="24"/>
        </w:rPr>
        <w:t xml:space="preserve">número de </w:t>
      </w:r>
      <w:r w:rsidRPr="00121BAE">
        <w:rPr>
          <w:rFonts w:ascii="Palatino Linotype" w:hAnsi="Palatino Linotype"/>
          <w:color w:val="000000"/>
          <w:sz w:val="24"/>
          <w:szCs w:val="24"/>
        </w:rPr>
        <w:t>operativos implementados</w:t>
      </w:r>
      <w:r w:rsidR="008C05A0" w:rsidRPr="00121BAE">
        <w:rPr>
          <w:rFonts w:ascii="Palatino Linotype" w:hAnsi="Palatino Linotype"/>
          <w:color w:val="000000"/>
          <w:sz w:val="24"/>
          <w:szCs w:val="24"/>
        </w:rPr>
        <w:t>, número de</w:t>
      </w:r>
      <w:r w:rsidRPr="00121BAE">
        <w:rPr>
          <w:rFonts w:ascii="Palatino Linotype" w:hAnsi="Palatino Linotype"/>
          <w:color w:val="000000"/>
          <w:sz w:val="24"/>
          <w:szCs w:val="24"/>
        </w:rPr>
        <w:t xml:space="preserve"> repo</w:t>
      </w:r>
      <w:r w:rsidR="00DC73F9" w:rsidRPr="00121BAE">
        <w:rPr>
          <w:rFonts w:ascii="Palatino Linotype" w:hAnsi="Palatino Linotype"/>
          <w:color w:val="000000"/>
          <w:sz w:val="24"/>
          <w:szCs w:val="24"/>
        </w:rPr>
        <w:t>rtes de incidentes o novedades</w:t>
      </w:r>
    </w:p>
    <w:p w:rsidR="00DC73F9" w:rsidRPr="00121BAE" w:rsidRDefault="00793007" w:rsidP="00C6580A">
      <w:pPr>
        <w:pStyle w:val="Prrafodelista"/>
        <w:numPr>
          <w:ilvl w:val="0"/>
          <w:numId w:val="14"/>
        </w:numPr>
        <w:autoSpaceDE w:val="0"/>
        <w:autoSpaceDN w:val="0"/>
        <w:adjustRightInd w:val="0"/>
        <w:spacing w:after="0" w:line="360" w:lineRule="auto"/>
        <w:ind w:left="993"/>
        <w:jc w:val="both"/>
        <w:rPr>
          <w:rFonts w:ascii="Palatino Linotype" w:hAnsi="Palatino Linotype" w:cs="Arial"/>
          <w:bCs/>
          <w:sz w:val="24"/>
          <w:szCs w:val="24"/>
        </w:rPr>
      </w:pPr>
      <w:r w:rsidRPr="00121BAE">
        <w:rPr>
          <w:rFonts w:ascii="Palatino Linotype" w:hAnsi="Palatino Linotype"/>
          <w:color w:val="000000"/>
          <w:sz w:val="24"/>
          <w:szCs w:val="24"/>
        </w:rPr>
        <w:t>Servicios de limpieza realiza</w:t>
      </w:r>
      <w:r w:rsidR="00236F55" w:rsidRPr="00121BAE">
        <w:rPr>
          <w:rFonts w:ascii="Palatino Linotype" w:hAnsi="Palatino Linotype"/>
          <w:color w:val="000000"/>
          <w:sz w:val="24"/>
          <w:szCs w:val="24"/>
        </w:rPr>
        <w:t>dos antes y después del evento, r</w:t>
      </w:r>
      <w:r w:rsidRPr="00121BAE">
        <w:rPr>
          <w:rFonts w:ascii="Palatino Linotype" w:hAnsi="Palatino Linotype"/>
          <w:color w:val="000000"/>
          <w:sz w:val="24"/>
          <w:szCs w:val="24"/>
        </w:rPr>
        <w:t>eportes de daños o r</w:t>
      </w:r>
      <w:r w:rsidR="00236F55" w:rsidRPr="00121BAE">
        <w:rPr>
          <w:rFonts w:ascii="Palatino Linotype" w:hAnsi="Palatino Linotype"/>
          <w:color w:val="000000"/>
          <w:sz w:val="24"/>
          <w:szCs w:val="24"/>
        </w:rPr>
        <w:t>e</w:t>
      </w:r>
      <w:r w:rsidR="0045382E" w:rsidRPr="00121BAE">
        <w:rPr>
          <w:rFonts w:ascii="Palatino Linotype" w:hAnsi="Palatino Linotype"/>
          <w:color w:val="000000"/>
          <w:sz w:val="24"/>
          <w:szCs w:val="24"/>
        </w:rPr>
        <w:t>paraciones en Plaza de la Cruz</w:t>
      </w:r>
    </w:p>
    <w:p w:rsidR="007B09D7" w:rsidRPr="00121BAE" w:rsidRDefault="007B09D7" w:rsidP="00DC73F9">
      <w:pPr>
        <w:autoSpaceDE w:val="0"/>
        <w:autoSpaceDN w:val="0"/>
        <w:adjustRightInd w:val="0"/>
        <w:spacing w:after="0" w:line="360" w:lineRule="auto"/>
        <w:jc w:val="both"/>
        <w:rPr>
          <w:rFonts w:ascii="Palatino Linotype" w:hAnsi="Palatino Linotype" w:cs="Arial"/>
          <w:bCs/>
          <w:sz w:val="24"/>
          <w:szCs w:val="24"/>
        </w:rPr>
      </w:pPr>
      <w:r w:rsidRPr="00121BAE">
        <w:rPr>
          <w:rFonts w:ascii="Palatino Linotype" w:hAnsi="Palatino Linotype" w:cs="Arial"/>
          <w:sz w:val="24"/>
          <w:szCs w:val="24"/>
          <w:lang w:val="es-ES" w:eastAsia="es-ES"/>
        </w:rPr>
        <w:lastRenderedPageBreak/>
        <w:t>Por lo que, mediante informe justificado el Sujeto Obligado pretendió subsanar la vulneración del derecho al acceso a la información del Recurrente mediante los siguientes archivos electrónicos;</w:t>
      </w:r>
    </w:p>
    <w:p w:rsidR="00236F55" w:rsidRPr="00121BAE" w:rsidRDefault="00236F55" w:rsidP="00236F55">
      <w:pPr>
        <w:pStyle w:val="Prrafodelista"/>
        <w:numPr>
          <w:ilvl w:val="0"/>
          <w:numId w:val="15"/>
        </w:numPr>
        <w:spacing w:after="0" w:line="360" w:lineRule="auto"/>
        <w:jc w:val="both"/>
        <w:rPr>
          <w:rFonts w:ascii="Palatino Linotype" w:hAnsi="Palatino Linotype"/>
          <w:i/>
          <w:sz w:val="24"/>
          <w:szCs w:val="24"/>
        </w:rPr>
      </w:pPr>
      <w:r w:rsidRPr="00121BAE">
        <w:rPr>
          <w:rFonts w:ascii="Palatino Linotype" w:hAnsi="Palatino Linotype" w:cs="Arial"/>
          <w:b/>
          <w:bCs/>
          <w:i/>
          <w:sz w:val="24"/>
          <w:szCs w:val="24"/>
        </w:rPr>
        <w:t xml:space="preserve">DSP-DIR-I-0654-2026.pdf: </w:t>
      </w:r>
      <w:r w:rsidRPr="00121BAE">
        <w:rPr>
          <w:rFonts w:ascii="Palatino Linotype" w:hAnsi="Palatino Linotype" w:cs="Arial"/>
          <w:bCs/>
          <w:sz w:val="24"/>
          <w:szCs w:val="24"/>
        </w:rPr>
        <w:t xml:space="preserve">Soporte documental que consta de una foja en formato PDF por medio del cual la Directora de Seguridad Pública, Vial  y Tránsito Municipal manifestó que la información requerida se encuentra reservada. </w:t>
      </w:r>
    </w:p>
    <w:p w:rsidR="00236F55" w:rsidRPr="00121BAE" w:rsidRDefault="00236F55" w:rsidP="00236F55">
      <w:pPr>
        <w:pStyle w:val="Prrafodelista"/>
        <w:spacing w:after="0" w:line="360" w:lineRule="auto"/>
        <w:jc w:val="both"/>
        <w:rPr>
          <w:rFonts w:ascii="Palatino Linotype" w:hAnsi="Palatino Linotype"/>
          <w:i/>
          <w:sz w:val="24"/>
          <w:szCs w:val="24"/>
        </w:rPr>
      </w:pPr>
    </w:p>
    <w:p w:rsidR="00236F55" w:rsidRPr="00121BAE" w:rsidRDefault="00236F55" w:rsidP="00236F55">
      <w:pPr>
        <w:pStyle w:val="Prrafodelista"/>
        <w:numPr>
          <w:ilvl w:val="0"/>
          <w:numId w:val="15"/>
        </w:numPr>
        <w:spacing w:after="0" w:line="360" w:lineRule="auto"/>
        <w:jc w:val="both"/>
        <w:rPr>
          <w:rFonts w:ascii="Palatino Linotype" w:hAnsi="Palatino Linotype"/>
          <w:i/>
          <w:sz w:val="24"/>
          <w:szCs w:val="24"/>
        </w:rPr>
      </w:pPr>
      <w:r w:rsidRPr="00121BAE">
        <w:rPr>
          <w:rFonts w:ascii="Palatino Linotype" w:hAnsi="Palatino Linotype" w:cs="Arial"/>
          <w:b/>
          <w:bCs/>
          <w:i/>
          <w:sz w:val="24"/>
          <w:szCs w:val="24"/>
        </w:rPr>
        <w:t>DSPM-569-2026.pdf:</w:t>
      </w:r>
      <w:r w:rsidRPr="00121BAE">
        <w:rPr>
          <w:rFonts w:ascii="Palatino Linotype" w:hAnsi="Palatino Linotype" w:cs="Arial"/>
          <w:bCs/>
          <w:sz w:val="24"/>
          <w:szCs w:val="24"/>
        </w:rPr>
        <w:t xml:space="preserve"> Soporte documental que consta de siete fojas en formato PDF por medio del cual el Director de Servicios Públicos mediante la Jefa de Limpia y Recolección manifiesta que únicamente participo brindando apoyo en labores de limpieza de la Plaza de la Cruz llevando actividades de aseo antes, durante y después de la realización del evento referido. </w:t>
      </w:r>
    </w:p>
    <w:p w:rsidR="00236F55" w:rsidRPr="00121BAE" w:rsidRDefault="00236F55" w:rsidP="00236F55">
      <w:pPr>
        <w:pStyle w:val="Prrafodelista"/>
        <w:rPr>
          <w:rFonts w:ascii="Palatino Linotype" w:hAnsi="Palatino Linotype"/>
          <w:i/>
          <w:sz w:val="24"/>
          <w:szCs w:val="24"/>
        </w:rPr>
      </w:pPr>
    </w:p>
    <w:p w:rsidR="00236F55" w:rsidRPr="00121BAE" w:rsidRDefault="00236F55" w:rsidP="00236F55">
      <w:pPr>
        <w:pStyle w:val="Prrafodelista"/>
        <w:spacing w:after="0" w:line="360" w:lineRule="auto"/>
        <w:jc w:val="both"/>
        <w:rPr>
          <w:rFonts w:ascii="Palatino Linotype" w:hAnsi="Palatino Linotype"/>
          <w:sz w:val="24"/>
          <w:szCs w:val="24"/>
        </w:rPr>
      </w:pPr>
      <w:r w:rsidRPr="00121BAE">
        <w:rPr>
          <w:rFonts w:ascii="Palatino Linotype" w:hAnsi="Palatino Linotype"/>
          <w:sz w:val="24"/>
          <w:szCs w:val="24"/>
        </w:rPr>
        <w:t>Sin que pase por desapercibido por este Instituto que el Sujeto Obligado anexo respuesta de solicitudes de información diversa los cuales no se toman en consideración.</w:t>
      </w:r>
    </w:p>
    <w:p w:rsidR="00236F55" w:rsidRPr="00121BAE" w:rsidRDefault="00236F55" w:rsidP="00236F55">
      <w:pPr>
        <w:spacing w:after="0" w:line="360" w:lineRule="auto"/>
        <w:jc w:val="both"/>
        <w:rPr>
          <w:rFonts w:ascii="Palatino Linotype" w:hAnsi="Palatino Linotype"/>
          <w:i/>
          <w:sz w:val="24"/>
          <w:szCs w:val="24"/>
        </w:rPr>
      </w:pPr>
    </w:p>
    <w:p w:rsidR="00236F55" w:rsidRPr="00121BAE" w:rsidRDefault="00236F55" w:rsidP="00236F55">
      <w:pPr>
        <w:pStyle w:val="Prrafodelista"/>
        <w:numPr>
          <w:ilvl w:val="0"/>
          <w:numId w:val="15"/>
        </w:numPr>
        <w:spacing w:after="0" w:line="360" w:lineRule="auto"/>
        <w:jc w:val="both"/>
        <w:rPr>
          <w:rFonts w:ascii="Palatino Linotype" w:hAnsi="Palatino Linotype"/>
          <w:i/>
          <w:sz w:val="24"/>
          <w:szCs w:val="24"/>
        </w:rPr>
      </w:pPr>
      <w:r w:rsidRPr="00121BAE">
        <w:rPr>
          <w:rFonts w:ascii="Palatino Linotype" w:hAnsi="Palatino Linotype" w:cs="Arial"/>
          <w:b/>
          <w:bCs/>
          <w:i/>
          <w:sz w:val="24"/>
          <w:szCs w:val="24"/>
        </w:rPr>
        <w:t xml:space="preserve">ADQ-152-2026.pdf; </w:t>
      </w:r>
      <w:r w:rsidRPr="00121BAE">
        <w:rPr>
          <w:rFonts w:ascii="Palatino Linotype" w:hAnsi="Palatino Linotype" w:cs="Arial"/>
          <w:bCs/>
          <w:sz w:val="24"/>
          <w:szCs w:val="24"/>
        </w:rPr>
        <w:t>Soporte documental que consta de cinco fojas en formato PDF por medio del cual la Jefa de adquisiciones hace entrega de la propuesta económica, factura de compra de materia prima y compra de box lunch.</w:t>
      </w:r>
    </w:p>
    <w:p w:rsidR="00236F55" w:rsidRPr="00121BAE" w:rsidRDefault="00236F55" w:rsidP="00236F55">
      <w:pPr>
        <w:pStyle w:val="Prrafodelista"/>
        <w:spacing w:after="0" w:line="360" w:lineRule="auto"/>
        <w:jc w:val="both"/>
        <w:rPr>
          <w:rFonts w:ascii="Palatino Linotype" w:hAnsi="Palatino Linotype" w:cs="Arial"/>
          <w:bCs/>
          <w:sz w:val="24"/>
          <w:szCs w:val="24"/>
        </w:rPr>
      </w:pPr>
    </w:p>
    <w:p w:rsidR="00236F55" w:rsidRPr="00121BAE" w:rsidRDefault="00236F55" w:rsidP="00236F55">
      <w:pPr>
        <w:pStyle w:val="Prrafodelista"/>
        <w:spacing w:after="0" w:line="360" w:lineRule="auto"/>
        <w:jc w:val="both"/>
        <w:rPr>
          <w:rFonts w:ascii="Palatino Linotype" w:hAnsi="Palatino Linotype"/>
          <w:sz w:val="24"/>
          <w:szCs w:val="24"/>
        </w:rPr>
      </w:pPr>
      <w:r w:rsidRPr="00121BAE">
        <w:rPr>
          <w:rFonts w:ascii="Palatino Linotype" w:hAnsi="Palatino Linotype" w:cs="Arial"/>
          <w:bCs/>
          <w:sz w:val="24"/>
          <w:szCs w:val="24"/>
        </w:rPr>
        <w:lastRenderedPageBreak/>
        <w:t xml:space="preserve">En este sentido se advierte </w:t>
      </w:r>
      <w:r w:rsidR="00092D55" w:rsidRPr="00121BAE">
        <w:rPr>
          <w:rFonts w:ascii="Palatino Linotype" w:hAnsi="Palatino Linotype" w:cs="Arial"/>
          <w:bCs/>
          <w:sz w:val="24"/>
          <w:szCs w:val="24"/>
        </w:rPr>
        <w:t>facturas en versión pública así como una propuesta económica para un Domo respecto el evento que se realizará en la plaza de la cruz de fecha 16 y 17 de mayo de 2026</w:t>
      </w:r>
    </w:p>
    <w:p w:rsidR="00236F55" w:rsidRPr="00121BAE" w:rsidRDefault="00236F55" w:rsidP="00236F55">
      <w:pPr>
        <w:pStyle w:val="Prrafodelista"/>
        <w:spacing w:after="0" w:line="360" w:lineRule="auto"/>
        <w:jc w:val="both"/>
        <w:rPr>
          <w:rFonts w:ascii="Palatino Linotype" w:hAnsi="Palatino Linotype"/>
          <w:i/>
          <w:sz w:val="24"/>
          <w:szCs w:val="24"/>
        </w:rPr>
      </w:pPr>
    </w:p>
    <w:p w:rsidR="00236F55" w:rsidRPr="00121BAE" w:rsidRDefault="00236F55" w:rsidP="00236F55">
      <w:pPr>
        <w:pStyle w:val="Prrafodelista"/>
        <w:numPr>
          <w:ilvl w:val="0"/>
          <w:numId w:val="15"/>
        </w:numPr>
        <w:spacing w:after="0" w:line="360" w:lineRule="auto"/>
        <w:jc w:val="both"/>
        <w:rPr>
          <w:rFonts w:ascii="Palatino Linotype" w:hAnsi="Palatino Linotype"/>
          <w:i/>
          <w:sz w:val="24"/>
          <w:szCs w:val="24"/>
        </w:rPr>
      </w:pPr>
      <w:r w:rsidRPr="00121BAE">
        <w:rPr>
          <w:rFonts w:ascii="Palatino Linotype" w:hAnsi="Palatino Linotype" w:cs="Arial"/>
          <w:b/>
          <w:bCs/>
          <w:i/>
          <w:sz w:val="24"/>
          <w:szCs w:val="24"/>
        </w:rPr>
        <w:t>DDYFE-431-2026.pdf</w:t>
      </w:r>
      <w:r w:rsidR="00092D55" w:rsidRPr="00121BAE">
        <w:rPr>
          <w:rFonts w:ascii="Palatino Linotype" w:hAnsi="Palatino Linotype" w:cs="Arial"/>
          <w:b/>
          <w:bCs/>
          <w:i/>
          <w:sz w:val="24"/>
          <w:szCs w:val="24"/>
        </w:rPr>
        <w:t xml:space="preserve">: </w:t>
      </w:r>
      <w:r w:rsidR="00092D55" w:rsidRPr="00121BAE">
        <w:rPr>
          <w:rFonts w:ascii="Palatino Linotype" w:hAnsi="Palatino Linotype" w:cs="Arial"/>
          <w:bCs/>
          <w:sz w:val="24"/>
          <w:szCs w:val="24"/>
        </w:rPr>
        <w:t xml:space="preserve">Soporte documental que consta de una foja en formato PDF por medio del cual la Directora de Desarrollo  y Fomento Económico </w:t>
      </w:r>
      <w:r w:rsidR="00486272" w:rsidRPr="00121BAE">
        <w:rPr>
          <w:rFonts w:ascii="Palatino Linotype" w:hAnsi="Palatino Linotype" w:cs="Arial"/>
          <w:bCs/>
          <w:sz w:val="24"/>
          <w:szCs w:val="24"/>
        </w:rPr>
        <w:t>manifiesta que hace entrega en copia íntegra facturas XML y PDF, contratos, ordenes de servicio, pólizas contables, reportes de operativos, dictámenes y permisos, respecto la evidencia fotográfica manifiesta que no obra en posesión la información.</w:t>
      </w:r>
    </w:p>
    <w:p w:rsidR="00236F55" w:rsidRPr="00121BAE" w:rsidRDefault="00236F55" w:rsidP="007B09D7">
      <w:pPr>
        <w:spacing w:after="0" w:line="360" w:lineRule="auto"/>
        <w:jc w:val="both"/>
        <w:rPr>
          <w:rFonts w:ascii="Palatino Linotype" w:hAnsi="Palatino Linotype"/>
          <w:sz w:val="24"/>
          <w:szCs w:val="24"/>
        </w:rPr>
      </w:pPr>
    </w:p>
    <w:p w:rsidR="007B09D7" w:rsidRPr="00121BAE" w:rsidRDefault="007B09D7" w:rsidP="007B09D7">
      <w:pPr>
        <w:spacing w:after="0" w:line="360" w:lineRule="auto"/>
        <w:jc w:val="both"/>
        <w:rPr>
          <w:rFonts w:ascii="Palatino Linotype" w:eastAsia="Times New Roman" w:hAnsi="Palatino Linotype" w:cs="Calibri"/>
          <w:sz w:val="24"/>
          <w:szCs w:val="24"/>
          <w:lang w:val="es-ES_tradnl" w:eastAsia="es-MX"/>
        </w:rPr>
      </w:pPr>
      <w:r w:rsidRPr="00121BAE">
        <w:rPr>
          <w:rFonts w:ascii="Palatino Linotype" w:hAnsi="Palatino Linotype"/>
          <w:sz w:val="24"/>
          <w:szCs w:val="24"/>
        </w:rPr>
        <w:t>En este tenor, en alusión al requerimiento formulado por el particular, resulta oportuno traer a colación los artículos 23, 24, fracción XII de la Ley de Transparencia y Acceso a la Información Pública del Estado de México y Municipios, dispositivos jurídicos que disponen a la literalidad lo siguiente:</w:t>
      </w:r>
    </w:p>
    <w:p w:rsidR="007B09D7" w:rsidRPr="00121BAE" w:rsidRDefault="007B09D7" w:rsidP="007B09D7">
      <w:pPr>
        <w:spacing w:after="0" w:line="360" w:lineRule="auto"/>
        <w:ind w:left="708"/>
        <w:jc w:val="both"/>
        <w:rPr>
          <w:rFonts w:ascii="Palatino Linotype" w:eastAsia="Times New Roman" w:hAnsi="Palatino Linotype" w:cs="Calibri"/>
          <w:i/>
          <w:sz w:val="24"/>
          <w:lang w:val="es-ES_tradnl" w:eastAsia="es-MX"/>
        </w:rPr>
      </w:pPr>
      <w:r w:rsidRPr="00121BAE">
        <w:rPr>
          <w:rFonts w:ascii="Palatino Linotype" w:hAnsi="Palatino Linotype"/>
          <w:b/>
          <w:i/>
        </w:rPr>
        <w:t>Artículo 23. Son sujetos obligados a transparentar y permitir el acceso a su información y proteger los datos personales que obren en su poder</w:t>
      </w:r>
      <w:r w:rsidRPr="00121BAE">
        <w:rPr>
          <w:rFonts w:ascii="Palatino Linotype" w:hAnsi="Palatino Linotype"/>
          <w:i/>
        </w:rPr>
        <w:t>: cualquier autoridad, entidad, órgano y organismo de los Poderes Ejecutivo, Legislativo y Judicial, órganos autónomos, partidos políticos, fideicomisos y fondos públicos, así como cualquier persona física, moral o sindicato que reciba y ejerza recursos públicos o realice actos de autoridad en los ámbitos federal, de las Entidades Federativas y municipal</w:t>
      </w:r>
    </w:p>
    <w:p w:rsidR="007B09D7" w:rsidRPr="00121BAE" w:rsidRDefault="007B09D7" w:rsidP="007B09D7">
      <w:pPr>
        <w:spacing w:after="0" w:line="360" w:lineRule="auto"/>
        <w:jc w:val="both"/>
        <w:rPr>
          <w:rFonts w:ascii="Palatino Linotype" w:hAnsi="Palatino Linotype"/>
          <w:i/>
        </w:rPr>
      </w:pPr>
    </w:p>
    <w:p w:rsidR="007B09D7" w:rsidRPr="00121BAE" w:rsidRDefault="007B09D7" w:rsidP="007B09D7">
      <w:pPr>
        <w:spacing w:after="0" w:line="360" w:lineRule="auto"/>
        <w:ind w:left="708"/>
        <w:jc w:val="both"/>
        <w:rPr>
          <w:rFonts w:ascii="Palatino Linotype" w:hAnsi="Palatino Linotype"/>
          <w:i/>
        </w:rPr>
      </w:pPr>
      <w:r w:rsidRPr="00121BAE">
        <w:rPr>
          <w:rFonts w:ascii="Palatino Linotype" w:hAnsi="Palatino Linotype"/>
          <w:b/>
          <w:i/>
        </w:rPr>
        <w:t>Artículo 24</w:t>
      </w:r>
      <w:r w:rsidRPr="00121BAE">
        <w:rPr>
          <w:rFonts w:ascii="Palatino Linotype" w:hAnsi="Palatino Linotype"/>
          <w:i/>
        </w:rPr>
        <w:t>. Para el cumplimiento de los objetivos de esta Ley, los sujetos obligados deberán cumplir con las siguientes obligaciones, según corresponda, de acuerdo a su naturaleza:</w:t>
      </w:r>
    </w:p>
    <w:p w:rsidR="007B09D7" w:rsidRPr="00121BAE" w:rsidRDefault="007B09D7" w:rsidP="007B09D7">
      <w:pPr>
        <w:spacing w:after="0" w:line="360" w:lineRule="auto"/>
        <w:ind w:left="708"/>
        <w:jc w:val="both"/>
        <w:rPr>
          <w:rFonts w:ascii="Palatino Linotype" w:hAnsi="Palatino Linotype"/>
          <w:i/>
        </w:rPr>
      </w:pPr>
    </w:p>
    <w:p w:rsidR="00882EF1" w:rsidRPr="00121BAE" w:rsidRDefault="007B09D7" w:rsidP="003E1DDA">
      <w:pPr>
        <w:spacing w:after="0" w:line="360" w:lineRule="auto"/>
        <w:ind w:left="708"/>
        <w:jc w:val="both"/>
        <w:rPr>
          <w:rFonts w:ascii="Palatino Linotype" w:hAnsi="Palatino Linotype"/>
          <w:i/>
        </w:rPr>
      </w:pPr>
      <w:r w:rsidRPr="00121BAE">
        <w:rPr>
          <w:rFonts w:ascii="Palatino Linotype" w:hAnsi="Palatino Linotype"/>
          <w:b/>
          <w:i/>
        </w:rPr>
        <w:lastRenderedPageBreak/>
        <w:t>XII</w:t>
      </w:r>
      <w:r w:rsidRPr="00121BAE">
        <w:rPr>
          <w:rFonts w:ascii="Palatino Linotype" w:hAnsi="Palatino Linotype"/>
          <w:i/>
        </w:rPr>
        <w:t>. Difundir proactivamente información de interés público;</w:t>
      </w:r>
    </w:p>
    <w:p w:rsidR="003E1DDA" w:rsidRPr="00121BAE" w:rsidRDefault="003E1DDA" w:rsidP="003E1DDA">
      <w:pPr>
        <w:spacing w:after="0" w:line="360" w:lineRule="auto"/>
        <w:ind w:left="708"/>
        <w:jc w:val="both"/>
        <w:rPr>
          <w:rFonts w:ascii="Palatino Linotype" w:eastAsia="Times New Roman" w:hAnsi="Palatino Linotype" w:cs="Calibri"/>
          <w:i/>
          <w:sz w:val="24"/>
          <w:lang w:val="es-ES_tradnl" w:eastAsia="es-MX"/>
        </w:rPr>
      </w:pPr>
    </w:p>
    <w:p w:rsidR="007B09D7" w:rsidRPr="00121BAE" w:rsidRDefault="007B09D7" w:rsidP="007B09D7">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121BAE">
        <w:rPr>
          <w:rFonts w:ascii="Palatino Linotype" w:hAnsi="Palatino Linotype"/>
          <w:sz w:val="24"/>
          <w:szCs w:val="24"/>
          <w:lang w:val="es-ES"/>
        </w:rPr>
        <w:t xml:space="preserve">Previo a iniciar el análisis de la información solicitada, se considera </w:t>
      </w:r>
      <w:r w:rsidRPr="00121BAE">
        <w:rPr>
          <w:rFonts w:ascii="Palatino Linotype" w:hAnsi="Palatino Linotype"/>
          <w:color w:val="000000" w:themeColor="text1"/>
          <w:sz w:val="24"/>
          <w:szCs w:val="24"/>
        </w:rPr>
        <w:t>esencial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(19) de octubre de dos mil once, cuyo rubro y texto dispone:</w:t>
      </w:r>
    </w:p>
    <w:p w:rsidR="007B09D7" w:rsidRPr="00121BAE" w:rsidRDefault="007B09D7" w:rsidP="007B09D7">
      <w:pPr>
        <w:spacing w:line="276" w:lineRule="auto"/>
        <w:ind w:left="567" w:right="567"/>
        <w:jc w:val="both"/>
        <w:rPr>
          <w:rFonts w:ascii="Palatino Linotype" w:eastAsia="Palatino Linotype" w:hAnsi="Palatino Linotype" w:cs="Palatino Linotype"/>
          <w:i/>
        </w:rPr>
      </w:pPr>
      <w:r w:rsidRPr="00121BAE">
        <w:rPr>
          <w:rFonts w:ascii="Palatino Linotype" w:eastAsia="Palatino Linotype" w:hAnsi="Palatino Linotype" w:cs="Palatino Linotype"/>
          <w:b/>
          <w:i/>
        </w:rPr>
        <w:t>INFORMACIÓN PÚBLICA, CONCEPTO DE, EN MATERIA DE TRANSPARENCIA. INTERPRETACIÓN TEMÁTICA DE LOS ARTÍCULOS 2, FRACCIÓN V, XV, Y XVI, 3, 4,11 Y 41.</w:t>
      </w:r>
      <w:r w:rsidRPr="00121BAE">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B09D7" w:rsidRPr="00121BAE" w:rsidRDefault="007B09D7" w:rsidP="007B09D7">
      <w:pPr>
        <w:spacing w:line="276" w:lineRule="auto"/>
        <w:ind w:left="567" w:right="567"/>
        <w:jc w:val="both"/>
        <w:rPr>
          <w:rFonts w:ascii="Palatino Linotype" w:eastAsia="Palatino Linotype" w:hAnsi="Palatino Linotype" w:cs="Palatino Linotype"/>
          <w:i/>
        </w:rPr>
      </w:pPr>
      <w:r w:rsidRPr="00121BAE">
        <w:rPr>
          <w:rFonts w:ascii="Palatino Linotype" w:eastAsia="Palatino Linotype" w:hAnsi="Palatino Linotype" w:cs="Palatino Linotype"/>
          <w:i/>
        </w:rPr>
        <w:t>En consecuencia el acceso a la información se refiere a que se cumplan cualquiera de los siguientes tres supuestos:</w:t>
      </w:r>
    </w:p>
    <w:p w:rsidR="007B09D7" w:rsidRPr="00121BAE" w:rsidRDefault="007B09D7" w:rsidP="007B09D7">
      <w:pPr>
        <w:spacing w:line="276" w:lineRule="auto"/>
        <w:ind w:left="567" w:right="567"/>
        <w:jc w:val="both"/>
        <w:rPr>
          <w:rFonts w:ascii="Palatino Linotype" w:eastAsia="Palatino Linotype" w:hAnsi="Palatino Linotype" w:cs="Palatino Linotype"/>
          <w:i/>
        </w:rPr>
      </w:pPr>
      <w:r w:rsidRPr="00121BAE">
        <w:rPr>
          <w:rFonts w:ascii="Palatino Linotype" w:eastAsia="Palatino Linotype" w:hAnsi="Palatino Linotype" w:cs="Palatino Linotype"/>
          <w:i/>
        </w:rPr>
        <w:t>Que se trate de información registrada en cualquier soporte documental, que en ejercicio de las atribuciones conferidas, sea generada por los Sujetos Obligados;</w:t>
      </w:r>
    </w:p>
    <w:p w:rsidR="007B09D7" w:rsidRPr="00121BAE" w:rsidRDefault="007B09D7" w:rsidP="007B09D7">
      <w:pPr>
        <w:spacing w:line="276" w:lineRule="auto"/>
        <w:ind w:left="567" w:right="567"/>
        <w:jc w:val="both"/>
        <w:rPr>
          <w:rFonts w:ascii="Palatino Linotype" w:eastAsia="Palatino Linotype" w:hAnsi="Palatino Linotype" w:cs="Palatino Linotype"/>
          <w:i/>
        </w:rPr>
      </w:pPr>
      <w:r w:rsidRPr="00121BAE">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7B09D7" w:rsidRPr="00121BAE" w:rsidRDefault="007B09D7" w:rsidP="007B09D7">
      <w:pPr>
        <w:spacing w:line="276" w:lineRule="auto"/>
        <w:ind w:left="567" w:right="567"/>
        <w:jc w:val="both"/>
        <w:rPr>
          <w:rFonts w:ascii="Palatino Linotype" w:eastAsia="Palatino Linotype" w:hAnsi="Palatino Linotype" w:cs="Palatino Linotype"/>
        </w:rPr>
      </w:pPr>
      <w:r w:rsidRPr="00121BAE">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7B09D7" w:rsidRPr="00121BAE" w:rsidRDefault="007B09D7" w:rsidP="007B09D7">
      <w:pPr>
        <w:pStyle w:val="Prrafodelista"/>
        <w:tabs>
          <w:tab w:val="left" w:pos="426"/>
        </w:tabs>
        <w:spacing w:before="240" w:after="240"/>
        <w:ind w:left="0" w:right="51"/>
        <w:rPr>
          <w:rFonts w:ascii="Palatino Linotype" w:hAnsi="Palatino Linotype"/>
          <w:color w:val="000000" w:themeColor="text1"/>
          <w:sz w:val="24"/>
          <w:szCs w:val="24"/>
        </w:rPr>
      </w:pPr>
    </w:p>
    <w:p w:rsidR="007B09D7" w:rsidRPr="00121BAE" w:rsidRDefault="007B09D7" w:rsidP="007B09D7">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121BAE">
        <w:rPr>
          <w:rFonts w:ascii="Palatino Linotype" w:hAnsi="Palatino Linotype"/>
          <w:color w:val="000000" w:themeColor="text1"/>
          <w:sz w:val="24"/>
          <w:szCs w:val="24"/>
        </w:rPr>
        <w:lastRenderedPageBreak/>
        <w:t xml:space="preserve">El </w:t>
      </w:r>
      <w:r w:rsidRPr="00121BAE">
        <w:rPr>
          <w:rFonts w:ascii="Palatino Linotype" w:eastAsia="Palatino Linotype" w:hAnsi="Palatino Linotype" w:cs="Palatino Linotype"/>
          <w:color w:val="000000"/>
          <w:sz w:val="24"/>
          <w:szCs w:val="24"/>
        </w:rPr>
        <w:t>derecho de acceso a la información encuentra su materia elemental en los documentos, y la Ley de Transparencia local nos brinda el siguiente concepto</w:t>
      </w:r>
      <w:r w:rsidRPr="00121BAE">
        <w:rPr>
          <w:rFonts w:ascii="Palatino Linotype" w:eastAsia="Palatino Linotype" w:hAnsi="Palatino Linotype" w:cs="Palatino Linotype"/>
          <w:color w:val="000000"/>
          <w:sz w:val="24"/>
          <w:szCs w:val="24"/>
          <w:vertAlign w:val="superscript"/>
        </w:rPr>
        <w:footnoteReference w:id="1"/>
      </w:r>
      <w:r w:rsidRPr="00121BAE">
        <w:rPr>
          <w:rFonts w:ascii="Palatino Linotype" w:eastAsia="Palatino Linotype" w:hAnsi="Palatino Linotype" w:cs="Palatino Linotype"/>
          <w:color w:val="000000"/>
          <w:sz w:val="24"/>
          <w:szCs w:val="24"/>
        </w:rPr>
        <w:t>, para darnos un mejor panorama:</w:t>
      </w:r>
    </w:p>
    <w:p w:rsidR="007B09D7" w:rsidRPr="00121BAE" w:rsidRDefault="007B09D7" w:rsidP="007B09D7">
      <w:pPr>
        <w:spacing w:line="360" w:lineRule="auto"/>
        <w:ind w:left="567" w:right="567"/>
        <w:jc w:val="both"/>
        <w:rPr>
          <w:rFonts w:ascii="Palatino Linotype" w:eastAsia="Palatino Linotype" w:hAnsi="Palatino Linotype" w:cs="Palatino Linotype"/>
          <w:i/>
        </w:rPr>
      </w:pPr>
      <w:r w:rsidRPr="00121BAE">
        <w:rPr>
          <w:rFonts w:ascii="Palatino Linotype" w:eastAsia="Palatino Linotype" w:hAnsi="Palatino Linotype" w:cs="Palatino Linotype"/>
          <w:b/>
          <w:i/>
        </w:rPr>
        <w:t xml:space="preserve">“XI. Documento: </w:t>
      </w:r>
      <w:r w:rsidRPr="00121BAE">
        <w:rPr>
          <w:rFonts w:ascii="Palatino Linotype" w:eastAsia="Palatino Linotype" w:hAnsi="Palatino Linotype" w:cs="Palatino Linotype"/>
          <w:b/>
          <w:bCs/>
          <w:i/>
        </w:rPr>
        <w:t>Los expedientes, reportes, estudios,</w:t>
      </w:r>
      <w:r w:rsidRPr="00121BAE">
        <w:rPr>
          <w:rFonts w:ascii="Palatino Linotype" w:eastAsia="Palatino Linotype" w:hAnsi="Palatino Linotype" w:cs="Palatino Linotype"/>
          <w:b/>
          <w:i/>
        </w:rPr>
        <w:t xml:space="preserve"> actas, resoluciones, oficios, correspondencia, acuerdos, directivas, directrices, circulares, contratos, convenios, instructivos, notas, memorandos, estadísticas o</w:t>
      </w:r>
      <w:r w:rsidRPr="00121BAE">
        <w:rPr>
          <w:rFonts w:ascii="Palatino Linotype" w:eastAsia="Palatino Linotype" w:hAnsi="Palatino Linotype" w:cs="Palatino Linotype"/>
          <w:i/>
        </w:rPr>
        <w:t xml:space="preserve"> bien, </w:t>
      </w:r>
      <w:r w:rsidRPr="00121BAE">
        <w:rPr>
          <w:rFonts w:ascii="Palatino Linotype" w:eastAsia="Palatino Linotype" w:hAnsi="Palatino Linotype" w:cs="Palatino Linotype"/>
          <w:b/>
          <w:bCs/>
          <w:i/>
        </w:rPr>
        <w:t>cualquier</w:t>
      </w:r>
      <w:r w:rsidRPr="00121BAE">
        <w:rPr>
          <w:rFonts w:ascii="Palatino Linotype" w:eastAsia="Palatino Linotype" w:hAnsi="Palatino Linotype" w:cs="Palatino Linotype"/>
          <w:i/>
        </w:rPr>
        <w:t xml:space="preserve"> otro </w:t>
      </w:r>
      <w:r w:rsidRPr="00121BAE">
        <w:rPr>
          <w:rFonts w:ascii="Palatino Linotype" w:eastAsia="Palatino Linotype" w:hAnsi="Palatino Linotype" w:cs="Palatino Linotype"/>
          <w:b/>
          <w:bCs/>
          <w:i/>
        </w:rPr>
        <w:t>registro que documente el ejercicio de las facultades, funciones y competencias de los</w:t>
      </w:r>
      <w:r w:rsidRPr="00121BAE">
        <w:rPr>
          <w:rFonts w:ascii="Palatino Linotype" w:eastAsia="Palatino Linotype" w:hAnsi="Palatino Linotype" w:cs="Palatino Linotype"/>
          <w:i/>
        </w:rPr>
        <w:t xml:space="preserve"> </w:t>
      </w:r>
      <w:r w:rsidRPr="00121BAE">
        <w:rPr>
          <w:rFonts w:ascii="Palatino Linotype" w:eastAsia="Palatino Linotype" w:hAnsi="Palatino Linotype" w:cs="Palatino Linotype"/>
          <w:b/>
          <w:i/>
        </w:rPr>
        <w:t>sujetos obligados</w:t>
      </w:r>
      <w:r w:rsidRPr="00121BAE">
        <w:rPr>
          <w:rFonts w:ascii="Palatino Linotype" w:eastAsia="Palatino Linotype" w:hAnsi="Palatino Linotype" w:cs="Palatino Linotype"/>
          <w:i/>
        </w:rPr>
        <w:t xml:space="preserve">, sus </w:t>
      </w:r>
      <w:r w:rsidRPr="00121BAE">
        <w:rPr>
          <w:rFonts w:ascii="Palatino Linotype" w:eastAsia="Palatino Linotype" w:hAnsi="Palatino Linotype" w:cs="Palatino Linotype"/>
          <w:bCs/>
          <w:i/>
        </w:rPr>
        <w:t>servidores públicos</w:t>
      </w:r>
      <w:r w:rsidRPr="00121BAE">
        <w:rPr>
          <w:rFonts w:ascii="Palatino Linotype" w:eastAsia="Palatino Linotype" w:hAnsi="Palatino Linotype" w:cs="Palatino Linotype"/>
          <w:i/>
        </w:rPr>
        <w:t xml:space="preserve"> e integrantes, sin importar su fuente o fecha de elaboración. Los documentos podrán estar en cualquier medio, sea escrito, impreso,  sonoro, visual, electrónico, informático u holográfico;”</w:t>
      </w:r>
    </w:p>
    <w:p w:rsidR="007B09D7" w:rsidRPr="00121BAE" w:rsidRDefault="007B09D7" w:rsidP="007B09D7">
      <w:pPr>
        <w:spacing w:line="360" w:lineRule="auto"/>
        <w:jc w:val="both"/>
        <w:rPr>
          <w:rFonts w:ascii="Palatino Linotype" w:hAnsi="Palatino Linotype"/>
          <w:sz w:val="24"/>
          <w:szCs w:val="24"/>
        </w:rPr>
      </w:pPr>
    </w:p>
    <w:p w:rsidR="007B09D7" w:rsidRPr="00121BAE" w:rsidRDefault="007B09D7" w:rsidP="007B09D7">
      <w:pPr>
        <w:spacing w:line="360" w:lineRule="auto"/>
        <w:jc w:val="both"/>
        <w:rPr>
          <w:rFonts w:ascii="Palatino Linotype" w:hAnsi="Palatino Linotype" w:cs="Tahoma"/>
          <w:b/>
          <w:bCs/>
          <w:sz w:val="24"/>
          <w:szCs w:val="24"/>
          <w:lang w:val="es-ES" w:eastAsia="es-ES"/>
        </w:rPr>
      </w:pPr>
      <w:r w:rsidRPr="00121BAE">
        <w:rPr>
          <w:rFonts w:ascii="Palatino Linotype" w:hAnsi="Palatino Linotype"/>
          <w:sz w:val="24"/>
          <w:szCs w:val="24"/>
        </w:rPr>
        <w:t xml:space="preserve">Atento a lo anterior, el </w:t>
      </w:r>
      <w:r w:rsidRPr="00121BAE">
        <w:rPr>
          <w:rFonts w:ascii="Palatino Linotype" w:hAnsi="Palatino Linotype" w:cs="Tahoma"/>
          <w:bCs/>
          <w:sz w:val="24"/>
          <w:szCs w:val="24"/>
          <w:lang w:val="es-ES" w:eastAsia="es-ES"/>
        </w:rPr>
        <w:t xml:space="preserve">artículo 4° de la Ley de Transparencia y Acceso a la Información Pública del Estado de México y Municipios, establece que </w:t>
      </w:r>
      <w:r w:rsidRPr="00121BAE">
        <w:rPr>
          <w:rFonts w:ascii="Palatino Linotype" w:hAnsi="Palatino Linotype" w:cs="Tahoma"/>
          <w:b/>
          <w:bCs/>
          <w:sz w:val="24"/>
          <w:szCs w:val="24"/>
          <w:lang w:val="es-ES" w:eastAsia="es-ES"/>
        </w:rPr>
        <w:t>toda la información que sea generada, obtenida, adquirida, transformada, administrada o se encuentre en posesión de los Sujetos Obligados, reviste el carácter de pública y, por tanto, debe ser accesible a cualquier persona.</w:t>
      </w:r>
    </w:p>
    <w:p w:rsidR="00486272" w:rsidRPr="00121BAE" w:rsidRDefault="00486272" w:rsidP="007B09D7">
      <w:pPr>
        <w:spacing w:line="360" w:lineRule="auto"/>
        <w:jc w:val="both"/>
        <w:rPr>
          <w:rFonts w:ascii="Palatino Linotype" w:hAnsi="Palatino Linotype" w:cs="Tahoma"/>
          <w:b/>
          <w:bCs/>
          <w:sz w:val="24"/>
          <w:szCs w:val="24"/>
          <w:lang w:val="es-ES" w:eastAsia="es-ES"/>
        </w:rPr>
      </w:pPr>
    </w:p>
    <w:p w:rsidR="007B09D7" w:rsidRPr="00121BAE" w:rsidRDefault="007B09D7" w:rsidP="007B09D7">
      <w:pPr>
        <w:spacing w:line="360" w:lineRule="auto"/>
        <w:jc w:val="both"/>
        <w:rPr>
          <w:rFonts w:ascii="Palatino Linotype" w:hAnsi="Palatino Linotype"/>
          <w:sz w:val="24"/>
          <w:szCs w:val="24"/>
        </w:rPr>
      </w:pPr>
      <w:r w:rsidRPr="00121BAE">
        <w:rPr>
          <w:rFonts w:ascii="Palatino Linotype" w:hAnsi="Palatino Linotype"/>
          <w:sz w:val="24"/>
          <w:szCs w:val="24"/>
        </w:rPr>
        <w:t xml:space="preserve">En este tenor, en alusión a los requerimientos formulados por el particular, resulta oportuno traer a colación los artículos 24, fracción XII y 92, fracciones XXIX y XXII de </w:t>
      </w:r>
      <w:r w:rsidRPr="00121BAE">
        <w:rPr>
          <w:rFonts w:ascii="Palatino Linotype" w:hAnsi="Palatino Linotype"/>
          <w:sz w:val="24"/>
          <w:szCs w:val="24"/>
        </w:rPr>
        <w:lastRenderedPageBreak/>
        <w:t xml:space="preserve">la Ley de Transparencia y Acceso a la Información Pública del Estado de México y Municipios, dispositivos jurídicos que disponen a la literalidad lo siguiente: </w:t>
      </w:r>
    </w:p>
    <w:p w:rsidR="007B09D7" w:rsidRPr="00121BAE" w:rsidRDefault="007B09D7" w:rsidP="007B09D7">
      <w:pPr>
        <w:spacing w:line="360" w:lineRule="auto"/>
        <w:ind w:left="708"/>
        <w:jc w:val="both"/>
        <w:rPr>
          <w:rFonts w:ascii="Palatino Linotype" w:hAnsi="Palatino Linotype"/>
          <w:i/>
        </w:rPr>
      </w:pPr>
      <w:r w:rsidRPr="00121BAE">
        <w:rPr>
          <w:rFonts w:ascii="Palatino Linotype" w:hAnsi="Palatino Linotype"/>
          <w:b/>
          <w:bCs/>
          <w:i/>
        </w:rPr>
        <w:t>Artículo 24</w:t>
      </w:r>
      <w:r w:rsidRPr="00121BAE">
        <w:rPr>
          <w:rFonts w:ascii="Palatino Linotype" w:hAnsi="Palatino Linotype"/>
          <w:i/>
        </w:rPr>
        <w:t xml:space="preserve">. Para el cumplimiento de los objetivos de esta Ley, los sujetos obligados deberán cumplir con las siguientes obligaciones, según corresponda, de acuerdo a su naturaleza: </w:t>
      </w:r>
    </w:p>
    <w:p w:rsidR="007B09D7" w:rsidRPr="00121BAE" w:rsidRDefault="007B09D7" w:rsidP="007B09D7">
      <w:pPr>
        <w:spacing w:line="360" w:lineRule="auto"/>
        <w:ind w:left="1416"/>
        <w:jc w:val="both"/>
        <w:rPr>
          <w:rFonts w:ascii="Palatino Linotype" w:hAnsi="Palatino Linotype"/>
          <w:i/>
          <w:sz w:val="24"/>
          <w:szCs w:val="24"/>
        </w:rPr>
      </w:pPr>
      <w:r w:rsidRPr="00121BAE">
        <w:rPr>
          <w:rFonts w:ascii="Palatino Linotype" w:hAnsi="Palatino Linotype"/>
          <w:b/>
          <w:i/>
        </w:rPr>
        <w:t>XII.</w:t>
      </w:r>
      <w:r w:rsidRPr="00121BAE">
        <w:rPr>
          <w:rFonts w:ascii="Palatino Linotype" w:hAnsi="Palatino Linotype"/>
          <w:i/>
        </w:rPr>
        <w:t xml:space="preserve"> Publicar y mantener actualizada la información relativa a las obligaciones generales de transparencia previstas en la presente Ley o determinadas así por el Instituto, y en general aquella que sea de interés público</w:t>
      </w:r>
      <w:r w:rsidRPr="00121BAE">
        <w:rPr>
          <w:rFonts w:ascii="Palatino Linotype" w:hAnsi="Palatino Linotype"/>
          <w:i/>
          <w:sz w:val="24"/>
          <w:szCs w:val="24"/>
        </w:rPr>
        <w:t>;</w:t>
      </w:r>
    </w:p>
    <w:p w:rsidR="007B09D7" w:rsidRPr="00121BAE" w:rsidRDefault="007B09D7" w:rsidP="007B09D7">
      <w:pPr>
        <w:spacing w:line="360" w:lineRule="auto"/>
        <w:ind w:left="708"/>
        <w:jc w:val="both"/>
        <w:rPr>
          <w:rFonts w:ascii="Palatino Linotype" w:hAnsi="Palatino Linotype"/>
          <w:i/>
          <w:sz w:val="24"/>
          <w:szCs w:val="24"/>
        </w:rPr>
      </w:pPr>
    </w:p>
    <w:p w:rsidR="007B09D7" w:rsidRPr="00121BAE" w:rsidRDefault="007B09D7" w:rsidP="007B09D7">
      <w:pPr>
        <w:spacing w:line="360" w:lineRule="auto"/>
        <w:ind w:left="708"/>
        <w:jc w:val="both"/>
        <w:rPr>
          <w:rFonts w:ascii="Palatino Linotype" w:hAnsi="Palatino Linotype"/>
          <w:i/>
        </w:rPr>
      </w:pPr>
      <w:r w:rsidRPr="00121BAE">
        <w:rPr>
          <w:rFonts w:ascii="Palatino Linotype" w:hAnsi="Palatino Linotype"/>
          <w:i/>
          <w:sz w:val="24"/>
          <w:szCs w:val="24"/>
        </w:rPr>
        <w:t xml:space="preserve"> </w:t>
      </w:r>
      <w:r w:rsidRPr="00121BAE">
        <w:rPr>
          <w:rFonts w:ascii="Palatino Linotype" w:hAnsi="Palatino Linotype"/>
          <w:b/>
          <w:bCs/>
          <w:i/>
        </w:rPr>
        <w:t>Artículo 92.</w:t>
      </w:r>
      <w:r w:rsidRPr="00121BAE">
        <w:rPr>
          <w:rFonts w:ascii="Palatino Linotype" w:hAnsi="Palatino Linotype"/>
          <w:i/>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7B09D7" w:rsidRPr="00121BAE" w:rsidRDefault="007B09D7" w:rsidP="007B09D7">
      <w:pPr>
        <w:spacing w:line="360" w:lineRule="auto"/>
        <w:ind w:left="708" w:firstLine="708"/>
        <w:jc w:val="both"/>
        <w:rPr>
          <w:rFonts w:ascii="Palatino Linotype" w:hAnsi="Palatino Linotype"/>
          <w:i/>
        </w:rPr>
      </w:pPr>
      <w:r w:rsidRPr="00121BAE">
        <w:rPr>
          <w:rFonts w:ascii="Palatino Linotype" w:hAnsi="Palatino Linotype"/>
          <w:i/>
        </w:rPr>
        <w:t>…</w:t>
      </w:r>
    </w:p>
    <w:p w:rsidR="007B09D7" w:rsidRPr="00121BAE" w:rsidRDefault="007B09D7" w:rsidP="007B09D7">
      <w:pPr>
        <w:spacing w:line="360" w:lineRule="auto"/>
        <w:ind w:left="1416"/>
        <w:jc w:val="both"/>
        <w:rPr>
          <w:rFonts w:ascii="Palatino Linotype" w:hAnsi="Palatino Linotype"/>
          <w:i/>
          <w:iCs/>
        </w:rPr>
      </w:pPr>
      <w:r w:rsidRPr="00121BAE">
        <w:rPr>
          <w:rFonts w:ascii="Palatino Linotype" w:hAnsi="Palatino Linotype"/>
          <w:i/>
          <w:iCs/>
        </w:rPr>
        <w:t xml:space="preserve">XXIX. La información sobre los procesos y resultados sobre procedimientos de </w:t>
      </w:r>
      <w:r w:rsidRPr="00121BAE">
        <w:rPr>
          <w:rFonts w:ascii="Palatino Linotype" w:hAnsi="Palatino Linotype"/>
          <w:i/>
          <w:iCs/>
          <w:u w:val="single"/>
        </w:rPr>
        <w:t>adjudicación directa</w:t>
      </w:r>
      <w:r w:rsidRPr="00121BAE">
        <w:rPr>
          <w:rFonts w:ascii="Palatino Linotype" w:hAnsi="Palatino Linotype"/>
          <w:i/>
          <w:iCs/>
        </w:rPr>
        <w:t>, invitación restringida y licitación de cualquier naturaleza, incluyendo la versión pública del expediente respectivo y de los contratos celebrados, que deberán contener, por los menos, lo siguiente:</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a) De licitaciones públicas o procedimientos de invitación restringida: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1) La convocatoria o invitación emitida, así como los fundamentos legales aplicados para llevarla a cabo;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2) Los nombres de los participantes o invitados;</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lastRenderedPageBreak/>
        <w:t xml:space="preserve"> 3) El nombre del ganador y las razones que lo justifican;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4) El área solicitante y la responsable de su ejecución;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5) Las convocatorias e invitaciones emitidas; </w:t>
      </w:r>
    </w:p>
    <w:p w:rsidR="007B09D7" w:rsidRPr="00121BAE" w:rsidRDefault="007B09D7" w:rsidP="007B09D7">
      <w:pPr>
        <w:spacing w:line="360" w:lineRule="auto"/>
        <w:ind w:left="1416" w:firstLine="60"/>
        <w:jc w:val="both"/>
        <w:rPr>
          <w:i/>
          <w:iCs/>
        </w:rPr>
      </w:pPr>
      <w:r w:rsidRPr="00121BAE">
        <w:rPr>
          <w:rFonts w:ascii="Palatino Linotype" w:hAnsi="Palatino Linotype"/>
          <w:i/>
          <w:iCs/>
        </w:rPr>
        <w:t>6) Los dictámenes y fallo de adjudicación;</w:t>
      </w:r>
      <w:r w:rsidRPr="00121BAE">
        <w:rPr>
          <w:i/>
          <w:iCs/>
        </w:rPr>
        <w:t xml:space="preserve">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7) </w:t>
      </w:r>
      <w:r w:rsidRPr="00121BAE">
        <w:rPr>
          <w:rFonts w:ascii="Palatino Linotype" w:hAnsi="Palatino Linotype"/>
          <w:i/>
          <w:iCs/>
          <w:u w:val="single"/>
        </w:rPr>
        <w:t>El contrato y, en su caso, sus anexos</w:t>
      </w:r>
      <w:r w:rsidRPr="00121BAE">
        <w:rPr>
          <w:rFonts w:ascii="Palatino Linotype" w:hAnsi="Palatino Linotype"/>
          <w:i/>
          <w:iCs/>
        </w:rPr>
        <w:t xml:space="preserve">;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8) Los mecanismos de vigilancia y supervisión, incluyendo en su caso, los estudios de impacto urbano y ambiental, según corresponda;</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 9) La partida presupuestal, de conformidad con el clasificador por objeto del gasto, en el caso de ser aplicable;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10) Origen de los recursos especificando si son federales, estatales o municipales, así como el tipo de fondo de participación o aportación respectiva;</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 11) Los convenios modificatorios que, en su caso, sean firmados, precisando el objeto y la fecha de celebración;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12) Los informes de avance físico y financiero sobre las obras o servicios contratados;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13) El convenio de terminación; y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14) El finiquito.</w:t>
      </w:r>
    </w:p>
    <w:p w:rsidR="007B09D7" w:rsidRPr="00121BAE" w:rsidRDefault="007B09D7" w:rsidP="007B09D7">
      <w:pPr>
        <w:spacing w:line="360" w:lineRule="auto"/>
        <w:ind w:left="1416" w:firstLine="60"/>
        <w:jc w:val="both"/>
        <w:rPr>
          <w:rFonts w:ascii="Palatino Linotype" w:hAnsi="Palatino Linotype"/>
          <w:i/>
          <w:iCs/>
        </w:rPr>
      </w:pP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 b) </w:t>
      </w:r>
      <w:r w:rsidRPr="00121BAE">
        <w:rPr>
          <w:rFonts w:ascii="Palatino Linotype" w:hAnsi="Palatino Linotype"/>
          <w:i/>
          <w:iCs/>
          <w:u w:val="single"/>
        </w:rPr>
        <w:t>De las adjudicaciones directas:</w:t>
      </w:r>
      <w:r w:rsidRPr="00121BAE">
        <w:rPr>
          <w:rFonts w:ascii="Palatino Linotype" w:hAnsi="Palatino Linotype"/>
          <w:i/>
          <w:iCs/>
        </w:rPr>
        <w:t xml:space="preserve">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1) La propuesta enviada por el participante;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2) Los motivos y fundamentos legales aplicados para llevarla a cabo;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3) La autorización del ejercicio de la opción;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lastRenderedPageBreak/>
        <w:t xml:space="preserve">4) En su caso, las cotizaciones consideradas, especificando los nombres de los proveedores y sus montos;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 xml:space="preserve">5) El nombre de la persona física o jurídica colectiva adjudicada; </w:t>
      </w:r>
    </w:p>
    <w:p w:rsidR="007B09D7" w:rsidRPr="00121BAE" w:rsidRDefault="007B09D7" w:rsidP="007B09D7">
      <w:pPr>
        <w:spacing w:line="360" w:lineRule="auto"/>
        <w:ind w:left="1416" w:firstLine="60"/>
        <w:jc w:val="both"/>
        <w:rPr>
          <w:rFonts w:ascii="Palatino Linotype" w:hAnsi="Palatino Linotype"/>
          <w:i/>
          <w:iCs/>
        </w:rPr>
      </w:pPr>
      <w:r w:rsidRPr="00121BAE">
        <w:rPr>
          <w:rFonts w:ascii="Palatino Linotype" w:hAnsi="Palatino Linotype"/>
          <w:i/>
          <w:iCs/>
        </w:rPr>
        <w:t>6) La unidad administrativa solicitante y la responsable de su ejecución</w:t>
      </w:r>
    </w:p>
    <w:p w:rsidR="007B09D7" w:rsidRPr="00121BAE" w:rsidRDefault="007B09D7" w:rsidP="007B09D7">
      <w:pPr>
        <w:spacing w:line="360" w:lineRule="auto"/>
        <w:ind w:left="1416"/>
        <w:jc w:val="both"/>
        <w:rPr>
          <w:rFonts w:ascii="Palatino Linotype" w:hAnsi="Palatino Linotype"/>
          <w:i/>
          <w:iCs/>
        </w:rPr>
      </w:pPr>
      <w:r w:rsidRPr="00121BAE">
        <w:rPr>
          <w:rFonts w:ascii="Palatino Linotype" w:hAnsi="Palatino Linotype"/>
          <w:i/>
          <w:iCs/>
        </w:rPr>
        <w:t xml:space="preserve"> 7</w:t>
      </w:r>
      <w:r w:rsidRPr="00121BAE">
        <w:rPr>
          <w:rFonts w:ascii="Palatino Linotype" w:hAnsi="Palatino Linotype"/>
          <w:i/>
          <w:iCs/>
          <w:u w:val="single"/>
        </w:rPr>
        <w:t>) El número, fecha, el monto del contrato y el plazo de entrega o de ejecución de los servicios u obra;</w:t>
      </w:r>
    </w:p>
    <w:p w:rsidR="007B09D7" w:rsidRPr="00121BAE" w:rsidRDefault="007B09D7" w:rsidP="007B09D7">
      <w:pPr>
        <w:spacing w:line="360" w:lineRule="auto"/>
        <w:ind w:left="1416"/>
        <w:jc w:val="both"/>
        <w:rPr>
          <w:rFonts w:ascii="Palatino Linotype" w:hAnsi="Palatino Linotype"/>
          <w:i/>
          <w:iCs/>
        </w:rPr>
      </w:pPr>
      <w:r w:rsidRPr="00121BAE">
        <w:rPr>
          <w:rFonts w:ascii="Palatino Linotype" w:hAnsi="Palatino Linotype"/>
          <w:i/>
          <w:iCs/>
        </w:rPr>
        <w:t xml:space="preserve"> 8) Los mecanismos de vigilancia y supervisión, incluyendo, en su caso, los estudios de impacto urbano y ambiental, según corresponda;</w:t>
      </w:r>
    </w:p>
    <w:p w:rsidR="007B09D7" w:rsidRPr="00121BAE" w:rsidRDefault="007B09D7" w:rsidP="007B09D7">
      <w:pPr>
        <w:spacing w:line="360" w:lineRule="auto"/>
        <w:ind w:left="1416"/>
        <w:jc w:val="both"/>
        <w:rPr>
          <w:rFonts w:ascii="Palatino Linotype" w:hAnsi="Palatino Linotype"/>
          <w:i/>
          <w:iCs/>
        </w:rPr>
      </w:pPr>
      <w:r w:rsidRPr="00121BAE">
        <w:rPr>
          <w:rFonts w:ascii="Palatino Linotype" w:hAnsi="Palatino Linotype"/>
          <w:i/>
          <w:iCs/>
        </w:rPr>
        <w:t xml:space="preserve"> 9) Los informes de avance sobre las obras o servicios contratados; </w:t>
      </w:r>
    </w:p>
    <w:p w:rsidR="007B09D7" w:rsidRPr="00121BAE" w:rsidRDefault="007B09D7" w:rsidP="007B09D7">
      <w:pPr>
        <w:spacing w:line="360" w:lineRule="auto"/>
        <w:ind w:left="1416"/>
        <w:jc w:val="both"/>
        <w:rPr>
          <w:rFonts w:ascii="Palatino Linotype" w:hAnsi="Palatino Linotype"/>
          <w:i/>
          <w:iCs/>
        </w:rPr>
      </w:pPr>
      <w:r w:rsidRPr="00121BAE">
        <w:rPr>
          <w:rFonts w:ascii="Palatino Linotype" w:hAnsi="Palatino Linotype"/>
          <w:i/>
          <w:iCs/>
        </w:rPr>
        <w:t xml:space="preserve">10) El convenio de terminación; y </w:t>
      </w:r>
    </w:p>
    <w:p w:rsidR="007B09D7" w:rsidRPr="00121BAE" w:rsidRDefault="007B09D7" w:rsidP="007B09D7">
      <w:pPr>
        <w:spacing w:line="360" w:lineRule="auto"/>
        <w:ind w:left="1416"/>
        <w:jc w:val="both"/>
        <w:rPr>
          <w:rFonts w:ascii="Palatino Linotype" w:hAnsi="Palatino Linotype"/>
          <w:i/>
          <w:iCs/>
        </w:rPr>
      </w:pPr>
      <w:r w:rsidRPr="00121BAE">
        <w:rPr>
          <w:rFonts w:ascii="Palatino Linotype" w:hAnsi="Palatino Linotype"/>
          <w:i/>
          <w:iCs/>
        </w:rPr>
        <w:t>11) El finiquito.</w:t>
      </w:r>
    </w:p>
    <w:p w:rsidR="007B09D7" w:rsidRPr="00121BAE" w:rsidRDefault="007B09D7" w:rsidP="007B09D7">
      <w:pPr>
        <w:spacing w:line="360" w:lineRule="auto"/>
        <w:ind w:left="708" w:firstLine="708"/>
        <w:jc w:val="both"/>
        <w:rPr>
          <w:rFonts w:ascii="Palatino Linotype" w:hAnsi="Palatino Linotype"/>
          <w:i/>
          <w:iCs/>
        </w:rPr>
      </w:pPr>
      <w:r w:rsidRPr="00121BAE">
        <w:rPr>
          <w:rFonts w:ascii="Palatino Linotype" w:hAnsi="Palatino Linotype"/>
          <w:i/>
          <w:iCs/>
        </w:rPr>
        <w:t>…</w:t>
      </w:r>
    </w:p>
    <w:p w:rsidR="007B09D7" w:rsidRPr="00121BAE" w:rsidRDefault="007B09D7" w:rsidP="007B09D7">
      <w:pPr>
        <w:spacing w:line="360" w:lineRule="auto"/>
        <w:ind w:left="1416"/>
        <w:jc w:val="both"/>
        <w:rPr>
          <w:rFonts w:ascii="Palatino Linotype" w:hAnsi="Palatino Linotype"/>
          <w:i/>
          <w:iCs/>
        </w:rPr>
      </w:pPr>
      <w:r w:rsidRPr="00121BAE">
        <w:rPr>
          <w:rFonts w:ascii="Palatino Linotype" w:hAnsi="Palatino Linotype"/>
          <w:i/>
          <w:iCs/>
        </w:rPr>
        <w:t xml:space="preserve">XXXII. Las concesiones, </w:t>
      </w:r>
      <w:r w:rsidRPr="00121BAE">
        <w:rPr>
          <w:rFonts w:ascii="Palatino Linotype" w:hAnsi="Palatino Linotype"/>
          <w:i/>
          <w:iCs/>
          <w:u w:val="single"/>
        </w:rPr>
        <w:t>contratos,</w:t>
      </w:r>
      <w:r w:rsidRPr="00121BAE">
        <w:rPr>
          <w:rFonts w:ascii="Palatino Linotype" w:hAnsi="Palatino Linotype"/>
          <w:i/>
          <w:iCs/>
        </w:rPr>
        <w:t xml:space="preserve">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rsidR="00882EF1" w:rsidRPr="00121BAE" w:rsidRDefault="00882EF1" w:rsidP="007B09D7">
      <w:pPr>
        <w:spacing w:line="360" w:lineRule="auto"/>
        <w:jc w:val="both"/>
        <w:rPr>
          <w:rFonts w:ascii="Palatino Linotype" w:hAnsi="Palatino Linotype"/>
          <w:sz w:val="24"/>
          <w:szCs w:val="24"/>
        </w:rPr>
      </w:pPr>
    </w:p>
    <w:p w:rsidR="007B09D7" w:rsidRPr="00121BAE" w:rsidRDefault="007B09D7" w:rsidP="007B09D7">
      <w:pPr>
        <w:spacing w:line="360" w:lineRule="auto"/>
        <w:jc w:val="both"/>
        <w:rPr>
          <w:rFonts w:ascii="Palatino Linotype" w:hAnsi="Palatino Linotype"/>
          <w:sz w:val="24"/>
          <w:szCs w:val="24"/>
        </w:rPr>
      </w:pPr>
      <w:r w:rsidRPr="00121BAE">
        <w:rPr>
          <w:rFonts w:ascii="Palatino Linotype" w:hAnsi="Palatino Linotype"/>
          <w:sz w:val="24"/>
          <w:szCs w:val="24"/>
        </w:rPr>
        <w:t>De lo anterior, se debe</w:t>
      </w:r>
      <w:r w:rsidRPr="00121BAE">
        <w:t xml:space="preserve"> </w:t>
      </w:r>
      <w:r w:rsidRPr="00121BAE">
        <w:rPr>
          <w:rFonts w:ascii="Palatino Linotype" w:hAnsi="Palatino Linotype"/>
          <w:sz w:val="24"/>
          <w:szCs w:val="24"/>
        </w:rPr>
        <w:t xml:space="preserve">señalar que el conforme los artículos 93 y 95 fracciones I y IV de la Ley Orgánica Municipal del Estado de México en los que se establece que la Tesorería es la dependencia administrativa que constituye el Municipio la cual se encarga de consolidar los proyectos de presupuestos de las diferentes dependencias </w:t>
      </w:r>
      <w:r w:rsidRPr="00121BAE">
        <w:rPr>
          <w:rFonts w:ascii="Palatino Linotype" w:hAnsi="Palatino Linotype"/>
          <w:sz w:val="24"/>
          <w:szCs w:val="24"/>
        </w:rPr>
        <w:lastRenderedPageBreak/>
        <w:t>de la Administración Pública Municipal, proponer al Ayuntamiento por conducto del Presidente Municipal, las políticas, estrategias y campañas para incrementar los ingresos de la Hacienda Pública Municipal.</w:t>
      </w:r>
    </w:p>
    <w:p w:rsidR="007B09D7" w:rsidRPr="00121BAE" w:rsidRDefault="007B09D7" w:rsidP="007B09D7">
      <w:pPr>
        <w:pStyle w:val="Prrafodelista"/>
        <w:tabs>
          <w:tab w:val="left" w:pos="426"/>
        </w:tabs>
        <w:spacing w:before="240" w:after="240" w:line="360" w:lineRule="auto"/>
        <w:ind w:left="0" w:right="51"/>
        <w:jc w:val="both"/>
        <w:rPr>
          <w:rFonts w:ascii="Palatino Linotype" w:hAnsi="Palatino Linotype" w:cs="Arial"/>
          <w:sz w:val="24"/>
          <w:szCs w:val="24"/>
        </w:rPr>
      </w:pPr>
    </w:p>
    <w:p w:rsidR="007B09D7" w:rsidRPr="00121BAE" w:rsidRDefault="007B09D7" w:rsidP="007B09D7">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r w:rsidRPr="00121BAE">
        <w:rPr>
          <w:rFonts w:ascii="Palatino Linotype" w:hAnsi="Palatino Linotype" w:cs="Arial"/>
          <w:sz w:val="24"/>
          <w:szCs w:val="24"/>
        </w:rPr>
        <w:t>Bajo ese contexto, es de recordarse que, p</w:t>
      </w:r>
      <w:r w:rsidRPr="00121BAE">
        <w:rPr>
          <w:rFonts w:ascii="Palatino Linotype" w:hAnsi="Palatino Linotype"/>
          <w:color w:val="000000" w:themeColor="text1"/>
          <w:sz w:val="24"/>
          <w:szCs w:val="24"/>
        </w:rPr>
        <w:t xml:space="preserve">ara atender las solicitudes de información, los Sujetos Obligados contarán con un área denominada </w:t>
      </w:r>
      <w:r w:rsidRPr="00121BAE">
        <w:rPr>
          <w:rFonts w:ascii="Palatino Linotype" w:hAnsi="Palatino Linotype"/>
          <w:b/>
          <w:bCs/>
          <w:color w:val="000000" w:themeColor="text1"/>
          <w:sz w:val="24"/>
          <w:szCs w:val="24"/>
        </w:rPr>
        <w:t>Unidad de Transparencia</w:t>
      </w:r>
      <w:r w:rsidRPr="00121BAE">
        <w:rPr>
          <w:rFonts w:ascii="Palatino Linotype" w:hAnsi="Palatino Linotype"/>
          <w:color w:val="000000" w:themeColor="text1"/>
          <w:sz w:val="24"/>
          <w:szCs w:val="24"/>
          <w:vertAlign w:val="superscript"/>
        </w:rPr>
        <w:footnoteReference w:id="2"/>
      </w:r>
      <w:r w:rsidRPr="00121BAE">
        <w:rPr>
          <w:rFonts w:ascii="Palatino Linotype" w:hAnsi="Palatino Linotype"/>
          <w:color w:val="000000" w:themeColor="text1"/>
          <w:sz w:val="24"/>
          <w:szCs w:val="24"/>
        </w:rPr>
        <w:t xml:space="preserve">, la cual será presidida por un Titular, quien fungirá como enlace entre éstos y los solicitantes. Dicha Unidad </w:t>
      </w:r>
      <w:r w:rsidRPr="00121BAE">
        <w:rPr>
          <w:rFonts w:ascii="Palatino Linotype" w:hAnsi="Palatino Linotype"/>
          <w:b/>
          <w:bCs/>
          <w:color w:val="000000" w:themeColor="text1"/>
          <w:sz w:val="24"/>
          <w:szCs w:val="24"/>
        </w:rPr>
        <w:t>será la encargada de tramitar internamente la solicitud de información</w:t>
      </w:r>
      <w:r w:rsidRPr="00121BAE">
        <w:rPr>
          <w:rFonts w:ascii="Palatino Linotype" w:hAnsi="Palatino Linotype"/>
          <w:color w:val="000000" w:themeColor="text1"/>
          <w:sz w:val="24"/>
          <w:szCs w:val="24"/>
        </w:rPr>
        <w:t xml:space="preserve"> y tendrá la alta responsabilidad de verificar, en cada caso, que la misma no sea confidencial o reservada. Asimismo, contará con las facultades internas necesarias para </w:t>
      </w:r>
      <w:r w:rsidRPr="00121BAE">
        <w:rPr>
          <w:rFonts w:ascii="Palatino Linotype" w:hAnsi="Palatino Linotype"/>
          <w:b/>
          <w:bCs/>
          <w:color w:val="000000" w:themeColor="text1"/>
          <w:sz w:val="24"/>
          <w:szCs w:val="24"/>
        </w:rPr>
        <w:t xml:space="preserve">gestionar la atención a las solicitudes de información </w:t>
      </w:r>
      <w:r w:rsidRPr="00121BAE">
        <w:rPr>
          <w:rFonts w:ascii="Palatino Linotype" w:hAnsi="Palatino Linotype"/>
          <w:color w:val="000000" w:themeColor="text1"/>
          <w:sz w:val="24"/>
          <w:szCs w:val="24"/>
        </w:rPr>
        <w:t>en los términos de la Ley General y la Ley de Transparencia y Acceso a la Información Pública del Estado de México y Municipios</w:t>
      </w:r>
      <w:r w:rsidRPr="00121BAE">
        <w:rPr>
          <w:rFonts w:ascii="Palatino Linotype" w:hAnsi="Palatino Linotype"/>
          <w:color w:val="000000" w:themeColor="text1"/>
          <w:sz w:val="24"/>
          <w:szCs w:val="24"/>
          <w:vertAlign w:val="superscript"/>
        </w:rPr>
        <w:footnoteReference w:id="3"/>
      </w:r>
      <w:r w:rsidRPr="00121BAE">
        <w:rPr>
          <w:rFonts w:ascii="Palatino Linotype" w:hAnsi="Palatino Linotype"/>
          <w:color w:val="000000" w:themeColor="text1"/>
          <w:sz w:val="24"/>
          <w:szCs w:val="24"/>
        </w:rPr>
        <w:t>.</w:t>
      </w:r>
    </w:p>
    <w:p w:rsidR="007B09D7" w:rsidRPr="00121BAE" w:rsidRDefault="007B09D7" w:rsidP="007B09D7">
      <w:pPr>
        <w:pStyle w:val="Prrafodelista"/>
        <w:tabs>
          <w:tab w:val="left" w:pos="426"/>
        </w:tabs>
        <w:spacing w:before="240" w:after="240" w:line="360" w:lineRule="auto"/>
        <w:ind w:left="0" w:right="51"/>
        <w:jc w:val="both"/>
        <w:rPr>
          <w:rFonts w:ascii="Palatino Linotype" w:hAnsi="Palatino Linotype"/>
          <w:color w:val="000000" w:themeColor="text1"/>
          <w:sz w:val="24"/>
          <w:szCs w:val="24"/>
        </w:rPr>
      </w:pPr>
    </w:p>
    <w:p w:rsidR="007B09D7" w:rsidRPr="00121BAE" w:rsidRDefault="007B09D7" w:rsidP="007B09D7">
      <w:pPr>
        <w:pStyle w:val="Prrafodelista"/>
        <w:tabs>
          <w:tab w:val="left" w:pos="426"/>
        </w:tabs>
        <w:spacing w:before="240" w:after="240" w:line="360" w:lineRule="auto"/>
        <w:ind w:left="0" w:right="51"/>
        <w:jc w:val="both"/>
        <w:rPr>
          <w:rFonts w:ascii="Palatino Linotype" w:eastAsia="MS Mincho" w:hAnsi="Palatino Linotype"/>
          <w:color w:val="000000"/>
          <w:sz w:val="24"/>
          <w:szCs w:val="24"/>
        </w:rPr>
      </w:pPr>
      <w:r w:rsidRPr="00121BAE">
        <w:rPr>
          <w:rFonts w:ascii="Palatino Linotype" w:hAnsi="Palatino Linotype"/>
          <w:sz w:val="24"/>
          <w:szCs w:val="24"/>
        </w:rPr>
        <w:t xml:space="preserve">De </w:t>
      </w:r>
      <w:r w:rsidRPr="00121BAE">
        <w:rPr>
          <w:rFonts w:ascii="Palatino Linotype" w:eastAsia="MS Mincho" w:hAnsi="Palatino Linotype"/>
          <w:color w:val="000000"/>
          <w:sz w:val="24"/>
          <w:szCs w:val="24"/>
        </w:rPr>
        <w:t>conformidad con lo dispuesto por el artículo 53 de la Ley de Transparencia y Acceso a la Información Pública del Estado de México y Municipios, las Unidades de Transparencia tendrán, entre sus atribuciones, las siguientes:</w:t>
      </w:r>
    </w:p>
    <w:p w:rsidR="007B09D7" w:rsidRPr="00121BAE" w:rsidRDefault="007B09D7" w:rsidP="007B09D7">
      <w:pPr>
        <w:pStyle w:val="Prrafodelista"/>
        <w:numPr>
          <w:ilvl w:val="1"/>
          <w:numId w:val="10"/>
        </w:numPr>
        <w:tabs>
          <w:tab w:val="left" w:pos="426"/>
        </w:tabs>
        <w:spacing w:before="240" w:after="240" w:line="360" w:lineRule="auto"/>
        <w:ind w:left="1134" w:right="51"/>
        <w:jc w:val="both"/>
        <w:rPr>
          <w:rFonts w:ascii="Palatino Linotype" w:eastAsia="MS Mincho" w:hAnsi="Palatino Linotype"/>
          <w:i/>
          <w:iCs/>
          <w:color w:val="000000"/>
        </w:rPr>
      </w:pPr>
      <w:r w:rsidRPr="00121BAE">
        <w:rPr>
          <w:rFonts w:ascii="Palatino Linotype" w:eastAsia="MS Mincho" w:hAnsi="Palatino Linotype"/>
          <w:i/>
          <w:iCs/>
          <w:color w:val="000000"/>
        </w:rPr>
        <w:t>Recibir, tramitar y dar respuesta a las solicitudes de acceso a la información;</w:t>
      </w:r>
    </w:p>
    <w:p w:rsidR="007B09D7" w:rsidRPr="00121BAE" w:rsidRDefault="007B09D7" w:rsidP="007B09D7">
      <w:pPr>
        <w:pStyle w:val="Prrafodelista"/>
        <w:numPr>
          <w:ilvl w:val="1"/>
          <w:numId w:val="10"/>
        </w:numPr>
        <w:tabs>
          <w:tab w:val="left" w:pos="426"/>
        </w:tabs>
        <w:spacing w:before="240" w:after="240" w:line="360" w:lineRule="auto"/>
        <w:ind w:left="1134" w:right="51"/>
        <w:jc w:val="both"/>
        <w:rPr>
          <w:rFonts w:ascii="Palatino Linotype" w:eastAsia="MS Mincho" w:hAnsi="Palatino Linotype"/>
          <w:i/>
          <w:iCs/>
          <w:color w:val="000000"/>
        </w:rPr>
      </w:pPr>
      <w:r w:rsidRPr="00121BAE">
        <w:rPr>
          <w:rFonts w:ascii="Palatino Linotype" w:eastAsia="MS Mincho" w:hAnsi="Palatino Linotype"/>
          <w:i/>
          <w:iCs/>
          <w:color w:val="000000"/>
        </w:rPr>
        <w:t xml:space="preserve">Realizar, con efectividad, los trámites internos necesarios para la atención de las solicitudes de acceso a la información; </w:t>
      </w:r>
    </w:p>
    <w:p w:rsidR="007B09D7" w:rsidRPr="00121BAE" w:rsidRDefault="007B09D7" w:rsidP="007B09D7">
      <w:pPr>
        <w:pStyle w:val="Prrafodelista"/>
        <w:numPr>
          <w:ilvl w:val="1"/>
          <w:numId w:val="10"/>
        </w:numPr>
        <w:tabs>
          <w:tab w:val="left" w:pos="426"/>
        </w:tabs>
        <w:spacing w:before="240" w:after="240" w:line="360" w:lineRule="auto"/>
        <w:ind w:left="1134" w:right="51"/>
        <w:jc w:val="both"/>
        <w:rPr>
          <w:rFonts w:ascii="Palatino Linotype" w:eastAsia="MS Mincho" w:hAnsi="Palatino Linotype"/>
          <w:i/>
          <w:iCs/>
          <w:color w:val="000000"/>
        </w:rPr>
      </w:pPr>
      <w:r w:rsidRPr="00121BAE">
        <w:rPr>
          <w:rFonts w:ascii="Palatino Linotype" w:eastAsia="MS Mincho" w:hAnsi="Palatino Linotype"/>
          <w:i/>
          <w:iCs/>
          <w:color w:val="000000"/>
        </w:rPr>
        <w:t xml:space="preserve">Entregar, en su caso, a los particulares la información solicitada; y </w:t>
      </w:r>
    </w:p>
    <w:p w:rsidR="007B09D7" w:rsidRPr="00121BAE" w:rsidRDefault="007B09D7" w:rsidP="007B09D7">
      <w:pPr>
        <w:pStyle w:val="Prrafodelista"/>
        <w:numPr>
          <w:ilvl w:val="1"/>
          <w:numId w:val="10"/>
        </w:numPr>
        <w:tabs>
          <w:tab w:val="left" w:pos="426"/>
        </w:tabs>
        <w:spacing w:before="240" w:after="240" w:line="360" w:lineRule="auto"/>
        <w:ind w:left="1134" w:right="51"/>
        <w:jc w:val="both"/>
        <w:rPr>
          <w:rFonts w:ascii="Palatino Linotype" w:hAnsi="Palatino Linotype"/>
          <w:i/>
          <w:iCs/>
          <w:color w:val="000000" w:themeColor="text1"/>
        </w:rPr>
      </w:pPr>
      <w:r w:rsidRPr="00121BAE">
        <w:rPr>
          <w:rFonts w:ascii="Palatino Linotype" w:eastAsia="MS Mincho" w:hAnsi="Palatino Linotype"/>
          <w:i/>
          <w:iCs/>
          <w:color w:val="000000"/>
        </w:rPr>
        <w:t>Efectuar las notificaciones a los solicitantes.</w:t>
      </w:r>
    </w:p>
    <w:p w:rsidR="007B09D7" w:rsidRPr="00121BAE" w:rsidRDefault="007B09D7" w:rsidP="007B09D7">
      <w:pPr>
        <w:spacing w:line="360" w:lineRule="auto"/>
        <w:jc w:val="both"/>
        <w:rPr>
          <w:rFonts w:ascii="Palatino Linotype" w:eastAsia="MS Mincho" w:hAnsi="Palatino Linotype"/>
          <w:color w:val="000000"/>
        </w:rPr>
      </w:pPr>
      <w:r w:rsidRPr="00121BAE">
        <w:rPr>
          <w:rFonts w:ascii="Palatino Linotype" w:hAnsi="Palatino Linotype"/>
          <w:sz w:val="24"/>
          <w:szCs w:val="24"/>
        </w:rPr>
        <w:lastRenderedPageBreak/>
        <w:t xml:space="preserve">De tal </w:t>
      </w:r>
      <w:r w:rsidRPr="00121BAE">
        <w:rPr>
          <w:rFonts w:ascii="Palatino Linotype" w:eastAsia="MS Mincho" w:hAnsi="Palatino Linotype"/>
          <w:color w:val="000000"/>
          <w:sz w:val="24"/>
          <w:szCs w:val="24"/>
        </w:rPr>
        <w:t xml:space="preserve">manera que cada una de las áreas administrativas del </w:t>
      </w:r>
      <w:r w:rsidRPr="00121BAE">
        <w:rPr>
          <w:rFonts w:ascii="Palatino Linotype" w:eastAsia="MS Mincho" w:hAnsi="Palatino Linotype"/>
          <w:b/>
          <w:bCs/>
          <w:color w:val="000000"/>
          <w:sz w:val="24"/>
          <w:szCs w:val="24"/>
        </w:rPr>
        <w:t>SUJETO OBLIGADO</w:t>
      </w:r>
      <w:r w:rsidRPr="00121BAE">
        <w:rPr>
          <w:rFonts w:ascii="Palatino Linotype" w:eastAsia="MS Mincho" w:hAnsi="Palatino Linotype"/>
          <w:color w:val="000000"/>
          <w:sz w:val="24"/>
          <w:szCs w:val="24"/>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r w:rsidRPr="00121BAE">
        <w:rPr>
          <w:rFonts w:ascii="Palatino Linotype" w:eastAsia="MS Mincho" w:hAnsi="Palatino Linotype"/>
          <w:color w:val="000000"/>
        </w:rPr>
        <w:t>.</w:t>
      </w:r>
    </w:p>
    <w:p w:rsidR="007B09D7" w:rsidRPr="00121BAE" w:rsidRDefault="007B09D7" w:rsidP="007B09D7">
      <w:pPr>
        <w:spacing w:line="360" w:lineRule="auto"/>
        <w:jc w:val="both"/>
        <w:rPr>
          <w:rFonts w:ascii="Palatino Linotype" w:eastAsia="MS Mincho" w:hAnsi="Palatino Linotype"/>
          <w:color w:val="000000"/>
        </w:rPr>
      </w:pPr>
    </w:p>
    <w:p w:rsidR="00BD23B1" w:rsidRPr="00121BAE" w:rsidRDefault="00BD23B1" w:rsidP="007B09D7">
      <w:pPr>
        <w:spacing w:line="360" w:lineRule="auto"/>
        <w:jc w:val="both"/>
        <w:rPr>
          <w:rFonts w:ascii="Palatino Linotype" w:hAnsi="Palatino Linotype"/>
          <w:sz w:val="24"/>
          <w:szCs w:val="24"/>
        </w:rPr>
      </w:pPr>
      <w:r w:rsidRPr="00121BAE">
        <w:rPr>
          <w:rFonts w:ascii="Palatino Linotype" w:eastAsia="MS Mincho" w:hAnsi="Palatino Linotype"/>
          <w:color w:val="000000"/>
          <w:sz w:val="24"/>
          <w:szCs w:val="24"/>
        </w:rPr>
        <w:t xml:space="preserve">Respecto el punto </w:t>
      </w:r>
      <w:r w:rsidR="0045382E" w:rsidRPr="00121BAE">
        <w:rPr>
          <w:rFonts w:ascii="Palatino Linotype" w:eastAsia="MS Mincho" w:hAnsi="Palatino Linotype"/>
          <w:color w:val="000000"/>
          <w:sz w:val="24"/>
          <w:szCs w:val="24"/>
        </w:rPr>
        <w:t>“</w:t>
      </w:r>
      <w:r w:rsidRPr="00121BAE">
        <w:rPr>
          <w:rFonts w:ascii="Palatino Linotype" w:eastAsia="MS Mincho" w:hAnsi="Palatino Linotype"/>
          <w:color w:val="000000"/>
          <w:sz w:val="24"/>
          <w:szCs w:val="24"/>
        </w:rPr>
        <w:t>a</w:t>
      </w:r>
      <w:r w:rsidR="0045382E" w:rsidRPr="00121BAE">
        <w:rPr>
          <w:rFonts w:ascii="Palatino Linotype" w:eastAsia="MS Mincho" w:hAnsi="Palatino Linotype"/>
          <w:color w:val="000000"/>
          <w:sz w:val="24"/>
          <w:szCs w:val="24"/>
        </w:rPr>
        <w:t>” y “e”</w:t>
      </w:r>
      <w:r w:rsidRPr="00121BAE">
        <w:rPr>
          <w:rFonts w:ascii="Palatino Linotype" w:eastAsia="MS Mincho" w:hAnsi="Palatino Linotype"/>
          <w:color w:val="000000"/>
          <w:sz w:val="24"/>
          <w:szCs w:val="24"/>
        </w:rPr>
        <w:t xml:space="preserve"> le corresponde a la Coordinación Municipal de Protección Civil </w:t>
      </w:r>
      <w:r w:rsidRPr="00121BAE">
        <w:rPr>
          <w:rFonts w:ascii="Palatino Linotype" w:hAnsi="Palatino Linotype"/>
          <w:sz w:val="24"/>
          <w:szCs w:val="24"/>
        </w:rPr>
        <w:t xml:space="preserve">evaluará y dictaminará las condiciones de seguridad en materia de Protección Civil y Reducción de Riesgo de Desastres en establecimientos industriales, comerciales, de servicio y </w:t>
      </w:r>
      <w:r w:rsidRPr="00121BAE">
        <w:rPr>
          <w:rFonts w:ascii="Palatino Linotype" w:hAnsi="Palatino Linotype"/>
          <w:b/>
          <w:sz w:val="24"/>
          <w:szCs w:val="24"/>
        </w:rPr>
        <w:t xml:space="preserve">espectáculos </w:t>
      </w:r>
      <w:r w:rsidRPr="00121BAE">
        <w:rPr>
          <w:rFonts w:ascii="Palatino Linotype" w:hAnsi="Palatino Linotype"/>
          <w:sz w:val="24"/>
          <w:szCs w:val="24"/>
        </w:rPr>
        <w:t xml:space="preserve">por lo que </w:t>
      </w:r>
      <w:r w:rsidRPr="00121BAE">
        <w:rPr>
          <w:rFonts w:ascii="Palatino Linotype" w:hAnsi="Palatino Linotype"/>
          <w:sz w:val="24"/>
          <w:szCs w:val="24"/>
          <w:u w:val="single"/>
        </w:rPr>
        <w:t>dictaminará, recomendará y asesorará</w:t>
      </w:r>
      <w:r w:rsidRPr="00121BAE">
        <w:rPr>
          <w:rFonts w:ascii="Palatino Linotype" w:hAnsi="Palatino Linotype"/>
          <w:sz w:val="24"/>
          <w:szCs w:val="24"/>
        </w:rPr>
        <w:t xml:space="preserve"> al establecimiento, industrial, comercial, </w:t>
      </w:r>
      <w:r w:rsidRPr="00121BAE">
        <w:rPr>
          <w:rFonts w:ascii="Palatino Linotype" w:hAnsi="Palatino Linotype"/>
          <w:sz w:val="24"/>
          <w:szCs w:val="24"/>
          <w:u w:val="single"/>
        </w:rPr>
        <w:t>de servicio</w:t>
      </w:r>
      <w:r w:rsidRPr="00121BAE">
        <w:rPr>
          <w:rFonts w:ascii="Palatino Linotype" w:hAnsi="Palatino Linotype"/>
          <w:sz w:val="24"/>
          <w:szCs w:val="24"/>
        </w:rPr>
        <w:t xml:space="preserve"> </w:t>
      </w:r>
      <w:r w:rsidRPr="00121BAE">
        <w:rPr>
          <w:rFonts w:ascii="Palatino Linotype" w:hAnsi="Palatino Linotype"/>
          <w:sz w:val="24"/>
          <w:szCs w:val="24"/>
          <w:u w:val="single"/>
        </w:rPr>
        <w:t>o espectáculo</w:t>
      </w:r>
      <w:r w:rsidRPr="00121BAE">
        <w:rPr>
          <w:rFonts w:ascii="Palatino Linotype" w:hAnsi="Palatino Linotype"/>
          <w:sz w:val="24"/>
          <w:szCs w:val="24"/>
        </w:rPr>
        <w:t xml:space="preserve">, </w:t>
      </w:r>
      <w:r w:rsidRPr="00121BAE">
        <w:rPr>
          <w:rFonts w:ascii="Palatino Linotype" w:hAnsi="Palatino Linotype"/>
          <w:sz w:val="24"/>
          <w:szCs w:val="24"/>
          <w:u w:val="single"/>
        </w:rPr>
        <w:t xml:space="preserve">en materia de medidas de seguridad de protección civil, a fin de concluir con los requisitos de la visita ordinaria y para la obtención o renovación del Dictamen o Visto bueno, </w:t>
      </w:r>
      <w:r w:rsidRPr="00121BAE">
        <w:rPr>
          <w:rFonts w:ascii="Palatino Linotype" w:hAnsi="Palatino Linotype"/>
          <w:sz w:val="24"/>
          <w:szCs w:val="24"/>
        </w:rPr>
        <w:t xml:space="preserve"> lo anterior en términos de lo dispuesto por los artículos 67 y 68 BIS del Bando Municipal.</w:t>
      </w:r>
    </w:p>
    <w:p w:rsidR="0045382E" w:rsidRPr="00121BAE" w:rsidRDefault="0045382E" w:rsidP="007B09D7">
      <w:pPr>
        <w:spacing w:line="360" w:lineRule="auto"/>
        <w:jc w:val="both"/>
        <w:rPr>
          <w:rFonts w:ascii="Palatino Linotype" w:eastAsia="MS Mincho" w:hAnsi="Palatino Linotype"/>
          <w:color w:val="000000"/>
          <w:sz w:val="24"/>
          <w:szCs w:val="24"/>
        </w:rPr>
      </w:pPr>
    </w:p>
    <w:p w:rsidR="00110D95" w:rsidRPr="00121BAE" w:rsidRDefault="00BD23B1" w:rsidP="00110D95">
      <w:pPr>
        <w:spacing w:line="360" w:lineRule="auto"/>
        <w:jc w:val="both"/>
        <w:rPr>
          <w:rFonts w:ascii="Palatino Linotype" w:eastAsia="MS Mincho" w:hAnsi="Palatino Linotype"/>
          <w:color w:val="000000"/>
          <w:sz w:val="24"/>
          <w:szCs w:val="24"/>
        </w:rPr>
      </w:pPr>
      <w:r w:rsidRPr="00121BAE">
        <w:rPr>
          <w:rFonts w:ascii="Palatino Linotype" w:eastAsia="MS Mincho" w:hAnsi="Palatino Linotype"/>
          <w:color w:val="000000"/>
          <w:sz w:val="24"/>
          <w:szCs w:val="24"/>
        </w:rPr>
        <w:t>Por lo que</w:t>
      </w:r>
      <w:r w:rsidR="00110D95" w:rsidRPr="00121BAE">
        <w:rPr>
          <w:rFonts w:ascii="Palatino Linotype" w:eastAsia="MS Mincho" w:hAnsi="Palatino Linotype"/>
          <w:color w:val="000000"/>
          <w:sz w:val="24"/>
          <w:szCs w:val="24"/>
        </w:rPr>
        <w:t xml:space="preserve"> para</w:t>
      </w:r>
      <w:r w:rsidRPr="00121BAE">
        <w:rPr>
          <w:rFonts w:ascii="Palatino Linotype" w:eastAsia="MS Mincho" w:hAnsi="Palatino Linotype"/>
          <w:color w:val="000000"/>
          <w:sz w:val="24"/>
          <w:szCs w:val="24"/>
        </w:rPr>
        <w:t xml:space="preserve"> </w:t>
      </w:r>
      <w:r w:rsidR="008B1B45" w:rsidRPr="00121BAE">
        <w:rPr>
          <w:rFonts w:ascii="Palatino Linotype" w:eastAsia="MS Mincho" w:hAnsi="Palatino Linotype"/>
          <w:color w:val="000000"/>
          <w:sz w:val="24"/>
          <w:szCs w:val="24"/>
        </w:rPr>
        <w:t xml:space="preserve">todo evento público </w:t>
      </w:r>
      <w:r w:rsidR="00110D95" w:rsidRPr="00121BAE">
        <w:rPr>
          <w:rFonts w:ascii="Palatino Linotype" w:eastAsia="MS Mincho" w:hAnsi="Palatino Linotype"/>
          <w:color w:val="000000"/>
          <w:sz w:val="24"/>
          <w:szCs w:val="24"/>
        </w:rPr>
        <w:t xml:space="preserve">que conlleve la concentración masiva de población se debe de solicitar el permiso de la Coordinación Municipal de Protección Civil y Bomberos </w:t>
      </w:r>
      <w:r w:rsidR="00110D95" w:rsidRPr="00121BAE">
        <w:rPr>
          <w:rFonts w:ascii="Palatino Linotype" w:eastAsia="MS Mincho" w:hAnsi="Palatino Linotype"/>
          <w:color w:val="000000"/>
          <w:sz w:val="24"/>
          <w:szCs w:val="24"/>
          <w:u w:val="single"/>
        </w:rPr>
        <w:t>así como presentar su programa específico</w:t>
      </w:r>
      <w:r w:rsidR="00110D95" w:rsidRPr="00121BAE">
        <w:rPr>
          <w:rFonts w:ascii="Palatino Linotype" w:eastAsia="MS Mincho" w:hAnsi="Palatino Linotype"/>
          <w:color w:val="000000"/>
          <w:sz w:val="24"/>
          <w:szCs w:val="24"/>
        </w:rPr>
        <w:t xml:space="preserve"> de protección civil para eventos públicos</w:t>
      </w:r>
      <w:r w:rsidR="00110D95" w:rsidRPr="00121BAE">
        <w:rPr>
          <w:rFonts w:ascii="Palatino Linotype" w:hAnsi="Palatino Linotype"/>
          <w:sz w:val="24"/>
          <w:szCs w:val="24"/>
        </w:rPr>
        <w:t>,  lo anterior en términos de lo dispuesto por el artículo 68 TER del Bando Municipal.</w:t>
      </w:r>
    </w:p>
    <w:p w:rsidR="00BD23B1" w:rsidRPr="00121BAE" w:rsidRDefault="00BD23B1" w:rsidP="007B09D7">
      <w:pPr>
        <w:spacing w:line="360" w:lineRule="auto"/>
        <w:jc w:val="both"/>
        <w:rPr>
          <w:rFonts w:ascii="Palatino Linotype" w:eastAsia="MS Mincho" w:hAnsi="Palatino Linotype"/>
          <w:color w:val="000000"/>
          <w:sz w:val="24"/>
          <w:szCs w:val="24"/>
        </w:rPr>
      </w:pPr>
    </w:p>
    <w:p w:rsidR="00B07314" w:rsidRPr="00121BAE" w:rsidRDefault="0045382E" w:rsidP="007B09D7">
      <w:pPr>
        <w:spacing w:line="360" w:lineRule="auto"/>
        <w:jc w:val="both"/>
        <w:rPr>
          <w:rFonts w:ascii="Palatino Linotype" w:eastAsia="MS Mincho" w:hAnsi="Palatino Linotype"/>
          <w:color w:val="000000"/>
          <w:sz w:val="24"/>
          <w:szCs w:val="24"/>
        </w:rPr>
      </w:pPr>
      <w:r w:rsidRPr="00121BAE">
        <w:rPr>
          <w:rFonts w:ascii="Palatino Linotype" w:eastAsia="MS Mincho" w:hAnsi="Palatino Linotype"/>
          <w:color w:val="000000"/>
          <w:sz w:val="24"/>
          <w:szCs w:val="24"/>
        </w:rPr>
        <w:lastRenderedPageBreak/>
        <w:t>R</w:t>
      </w:r>
      <w:r w:rsidR="00B57006" w:rsidRPr="00121BAE">
        <w:rPr>
          <w:rFonts w:ascii="Palatino Linotype" w:eastAsia="MS Mincho" w:hAnsi="Palatino Linotype"/>
          <w:color w:val="000000"/>
          <w:sz w:val="24"/>
          <w:szCs w:val="24"/>
        </w:rPr>
        <w:t>especto</w:t>
      </w:r>
      <w:r w:rsidRPr="00121BAE">
        <w:rPr>
          <w:rFonts w:ascii="Palatino Linotype" w:eastAsia="MS Mincho" w:hAnsi="Palatino Linotype"/>
          <w:color w:val="000000"/>
          <w:sz w:val="24"/>
          <w:szCs w:val="24"/>
        </w:rPr>
        <w:t xml:space="preserve"> los puntos “c” y f”</w:t>
      </w:r>
      <w:r w:rsidR="00B57006" w:rsidRPr="00121BAE">
        <w:rPr>
          <w:rFonts w:ascii="Palatino Linotype" w:eastAsia="MS Mincho" w:hAnsi="Palatino Linotype"/>
          <w:color w:val="000000"/>
          <w:sz w:val="24"/>
          <w:szCs w:val="24"/>
        </w:rPr>
        <w:t xml:space="preserve"> conforme lo establecido por el artículo 84 del Bando Municipal del Sujeto Obligado le corresponde a la Dirección de Turismo y Cultura </w:t>
      </w:r>
      <w:r w:rsidR="00B57006" w:rsidRPr="00121BAE">
        <w:rPr>
          <w:rFonts w:ascii="Palatino Linotype" w:eastAsia="MS Mincho" w:hAnsi="Palatino Linotype"/>
          <w:color w:val="000000"/>
          <w:sz w:val="24"/>
          <w:szCs w:val="24"/>
          <w:u w:val="single"/>
        </w:rPr>
        <w:t>f</w:t>
      </w:r>
      <w:r w:rsidR="00B57006" w:rsidRPr="00121BAE">
        <w:rPr>
          <w:rFonts w:ascii="Palatino Linotype" w:hAnsi="Palatino Linotype"/>
          <w:sz w:val="24"/>
          <w:szCs w:val="24"/>
          <w:u w:val="single"/>
        </w:rPr>
        <w:t>omentar y promover</w:t>
      </w:r>
      <w:r w:rsidR="00B57006" w:rsidRPr="00121BAE">
        <w:rPr>
          <w:rFonts w:ascii="Palatino Linotype" w:hAnsi="Palatino Linotype"/>
          <w:sz w:val="24"/>
          <w:szCs w:val="24"/>
        </w:rPr>
        <w:t xml:space="preserve"> </w:t>
      </w:r>
      <w:r w:rsidR="00B57006" w:rsidRPr="00121BAE">
        <w:rPr>
          <w:rFonts w:ascii="Palatino Linotype" w:hAnsi="Palatino Linotype"/>
          <w:sz w:val="24"/>
          <w:szCs w:val="24"/>
          <w:u w:val="single"/>
        </w:rPr>
        <w:t>actividades culturales, artísticas, festivales y los encuentros culturales</w:t>
      </w:r>
      <w:r w:rsidR="00B57006" w:rsidRPr="00121BAE">
        <w:rPr>
          <w:rFonts w:ascii="Palatino Linotype" w:hAnsi="Palatino Linotype"/>
          <w:sz w:val="24"/>
          <w:szCs w:val="24"/>
        </w:rPr>
        <w:t xml:space="preserve"> que fortalezcan el Desarrollo Integral de los habitantes del Municipio, a fin de continuar con la preservación de las costumbres, tradiciones y la apreciación de las diferentes expresiones artísticas, conservando el Patrimonio histórico, fomentando el gusto por el arte y la cultura a la ciudadanía en general de este Municipio.</w:t>
      </w:r>
    </w:p>
    <w:p w:rsidR="00DC73F9" w:rsidRPr="00121BAE" w:rsidRDefault="00DC73F9" w:rsidP="007B09D7">
      <w:pPr>
        <w:spacing w:line="360" w:lineRule="auto"/>
        <w:jc w:val="both"/>
        <w:rPr>
          <w:rFonts w:ascii="Palatino Linotype" w:eastAsia="MS Mincho" w:hAnsi="Palatino Linotype"/>
          <w:color w:val="000000"/>
        </w:rPr>
      </w:pPr>
    </w:p>
    <w:p w:rsidR="007B09D7" w:rsidRPr="00121BAE" w:rsidRDefault="007B09D7" w:rsidP="007B09D7">
      <w:pPr>
        <w:spacing w:line="360" w:lineRule="auto"/>
        <w:jc w:val="both"/>
        <w:rPr>
          <w:rFonts w:ascii="Palatino Linotype" w:eastAsia="MS Mincho" w:hAnsi="Palatino Linotype"/>
          <w:color w:val="000000"/>
          <w:sz w:val="24"/>
          <w:szCs w:val="24"/>
        </w:rPr>
      </w:pPr>
      <w:r w:rsidRPr="00121BAE">
        <w:rPr>
          <w:rFonts w:ascii="Palatino Linotype" w:eastAsia="MS Mincho" w:hAnsi="Palatino Linotype"/>
          <w:color w:val="000000"/>
          <w:sz w:val="24"/>
          <w:szCs w:val="24"/>
        </w:rPr>
        <w:t xml:space="preserve">Por lo que en uso de sus atribuciones la Titular de la Unidad de Transparencia dirigió la solicitud de información a la unidad administrativa de Adquisiciones sin embargo de las constancias que integran el Sistema de Acceso a la Información Mexiquense (SAIMEX) </w:t>
      </w:r>
      <w:r w:rsidRPr="00121BAE">
        <w:rPr>
          <w:rFonts w:ascii="Palatino Linotype" w:eastAsia="MS Mincho" w:hAnsi="Palatino Linotype"/>
          <w:b/>
          <w:bCs/>
          <w:color w:val="000000"/>
          <w:sz w:val="24"/>
          <w:szCs w:val="24"/>
        </w:rPr>
        <w:t>no se le turno la solicitud de información</w:t>
      </w:r>
      <w:r w:rsidRPr="00121BAE">
        <w:rPr>
          <w:rFonts w:ascii="Palatino Linotype" w:eastAsia="MS Mincho" w:hAnsi="Palatino Linotype"/>
          <w:color w:val="000000"/>
          <w:sz w:val="24"/>
          <w:szCs w:val="24"/>
        </w:rPr>
        <w:t xml:space="preserve"> de manera enunciativa mas no limitativa a la </w:t>
      </w:r>
      <w:r w:rsidR="00930459" w:rsidRPr="00121BAE">
        <w:rPr>
          <w:rFonts w:ascii="Palatino Linotype" w:eastAsia="MS Mincho" w:hAnsi="Palatino Linotype"/>
          <w:color w:val="000000"/>
          <w:sz w:val="24"/>
          <w:szCs w:val="24"/>
        </w:rPr>
        <w:t xml:space="preserve">Coordinación Municipal de Protección Civil y Bomberos así como a la Dirección de Turismo y Cultura </w:t>
      </w:r>
      <w:r w:rsidRPr="00121BAE">
        <w:rPr>
          <w:rFonts w:ascii="Palatino Linotype" w:eastAsia="MS Mincho" w:hAnsi="Palatino Linotype"/>
          <w:color w:val="000000"/>
          <w:sz w:val="24"/>
          <w:szCs w:val="24"/>
        </w:rPr>
        <w:t>pues son las unidades administrativas que en el ámbito de sus atribuciones podrían generar, poseer y administrar la información requerida por el Recurrente</w:t>
      </w:r>
      <w:r w:rsidRPr="00121BAE">
        <w:rPr>
          <w:rFonts w:ascii="Palatino Linotype" w:hAnsi="Palatino Linotype"/>
          <w:sz w:val="24"/>
          <w:szCs w:val="24"/>
        </w:rPr>
        <w:t>.</w:t>
      </w:r>
    </w:p>
    <w:p w:rsidR="007B09D7" w:rsidRPr="00121BAE" w:rsidRDefault="007B09D7" w:rsidP="007B09D7">
      <w:pPr>
        <w:pStyle w:val="Prrafodelista"/>
        <w:spacing w:line="360" w:lineRule="auto"/>
        <w:ind w:left="0"/>
        <w:jc w:val="both"/>
        <w:rPr>
          <w:rFonts w:ascii="Palatino Linotype" w:eastAsia="Palatino Linotype" w:hAnsi="Palatino Linotype" w:cs="Palatino Linotype"/>
          <w:color w:val="000000"/>
          <w:sz w:val="24"/>
          <w:szCs w:val="24"/>
        </w:rPr>
      </w:pPr>
    </w:p>
    <w:p w:rsidR="007B09D7" w:rsidRPr="00121BAE" w:rsidRDefault="007B09D7" w:rsidP="007B09D7">
      <w:pPr>
        <w:pStyle w:val="Prrafodelista"/>
        <w:spacing w:line="360" w:lineRule="auto"/>
        <w:ind w:left="0"/>
        <w:jc w:val="both"/>
        <w:rPr>
          <w:rFonts w:ascii="Palatino Linotype" w:eastAsia="Calibri" w:hAnsi="Palatino Linotype" w:cs="Arial"/>
          <w:sz w:val="24"/>
          <w:szCs w:val="24"/>
        </w:rPr>
      </w:pPr>
      <w:r w:rsidRPr="00121BAE">
        <w:rPr>
          <w:rFonts w:ascii="Palatino Linotype" w:eastAsia="Palatino Linotype" w:hAnsi="Palatino Linotype" w:cs="Palatino Linotype"/>
          <w:color w:val="000000"/>
          <w:sz w:val="24"/>
          <w:szCs w:val="24"/>
        </w:rPr>
        <w:t>Lo anterior ocasiona que no se acreditara la búsqueda exhaustiva y razonable de la información requerida por el Recurrente, por lo que se trae a colación el Criterio Reiterado 02/19 emitido por el Pleno de este Organismo Garante, a saber:</w:t>
      </w:r>
    </w:p>
    <w:p w:rsidR="007B09D7" w:rsidRPr="00121BAE" w:rsidRDefault="007B09D7" w:rsidP="007B09D7">
      <w:pPr>
        <w:spacing w:line="360" w:lineRule="auto"/>
        <w:ind w:left="567" w:right="706"/>
        <w:jc w:val="both"/>
        <w:rPr>
          <w:rFonts w:ascii="Palatino Linotype" w:eastAsia="Palatino Linotype" w:hAnsi="Palatino Linotype" w:cs="Palatino Linotype"/>
          <w:i/>
          <w:color w:val="000000"/>
        </w:rPr>
      </w:pPr>
      <w:r w:rsidRPr="00121BAE">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w:t>
      </w:r>
      <w:r w:rsidRPr="00121BAE">
        <w:rPr>
          <w:rFonts w:ascii="Palatino Linotype" w:eastAsia="Palatino Linotype" w:hAnsi="Palatino Linotype" w:cs="Palatino Linotype"/>
          <w:b/>
          <w:i/>
          <w:color w:val="000000"/>
        </w:rPr>
        <w:lastRenderedPageBreak/>
        <w:t xml:space="preserve">ACCESO A LA INFORMACIÓN PÚBLICA DEL ESTADO DE MÉXICO Y MUNICIPIOS. </w:t>
      </w:r>
      <w:r w:rsidRPr="00121BAE">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rsidR="007B09D7" w:rsidRPr="00121BAE" w:rsidRDefault="007B09D7" w:rsidP="007B09D7">
      <w:pPr>
        <w:spacing w:line="360" w:lineRule="auto"/>
        <w:jc w:val="both"/>
        <w:rPr>
          <w:rFonts w:ascii="Palatino Linotype" w:eastAsia="Palatino Linotype" w:hAnsi="Palatino Linotype" w:cs="Palatino Linotype"/>
          <w:color w:val="000000"/>
          <w:sz w:val="24"/>
          <w:szCs w:val="24"/>
        </w:rPr>
      </w:pPr>
    </w:p>
    <w:p w:rsidR="007B09D7" w:rsidRPr="00121BAE" w:rsidRDefault="007B09D7" w:rsidP="007B09D7">
      <w:pPr>
        <w:spacing w:line="360" w:lineRule="auto"/>
        <w:jc w:val="both"/>
        <w:rPr>
          <w:rFonts w:ascii="Palatino Linotype" w:eastAsia="Palatino Linotype" w:hAnsi="Palatino Linotype" w:cs="Palatino Linotype"/>
          <w:color w:val="000000"/>
          <w:sz w:val="24"/>
          <w:szCs w:val="24"/>
        </w:rPr>
      </w:pPr>
      <w:r w:rsidRPr="00121BAE">
        <w:rPr>
          <w:rFonts w:ascii="Palatino Linotype" w:eastAsia="Palatino Linotype" w:hAnsi="Palatino Linotype" w:cs="Palatino Linotype"/>
          <w:color w:val="000000"/>
          <w:sz w:val="24"/>
          <w:szCs w:val="24"/>
        </w:rPr>
        <w:lastRenderedPageBreak/>
        <w:t>En tal sentido, resulta aplicable el Criterio 02/17 emitido por el Peno del Instituto Nacional de Transparencia y Acceso a la Información y Protección de Datos Personales, de título y texto siguientes:</w:t>
      </w:r>
    </w:p>
    <w:p w:rsidR="007B09D7" w:rsidRPr="00121BAE" w:rsidRDefault="007B09D7" w:rsidP="007B09D7">
      <w:pPr>
        <w:spacing w:line="360" w:lineRule="auto"/>
        <w:ind w:left="851" w:right="851"/>
        <w:jc w:val="both"/>
        <w:rPr>
          <w:rFonts w:ascii="Palatino Linotype" w:eastAsia="Palatino Linotype" w:hAnsi="Palatino Linotype" w:cs="Palatino Linotype"/>
          <w:i/>
          <w:color w:val="000000"/>
        </w:rPr>
      </w:pPr>
      <w:r w:rsidRPr="00121BAE">
        <w:rPr>
          <w:rFonts w:ascii="Palatino Linotype" w:eastAsia="Palatino Linotype" w:hAnsi="Palatino Linotype" w:cs="Palatino Linotype"/>
          <w:b/>
          <w:i/>
          <w:color w:val="000000"/>
        </w:rPr>
        <w:t xml:space="preserve">“Congruencia y exhaustividad. Sus alcances para garantizar el derecho de acceso a la información. </w:t>
      </w:r>
      <w:r w:rsidRPr="00121BAE">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121BAE">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121BAE">
        <w:rPr>
          <w:rFonts w:ascii="Palatino Linotype" w:eastAsia="Palatino Linotype" w:hAnsi="Palatino Linotype" w:cs="Palatino Linotype"/>
          <w:i/>
          <w:color w:val="000000"/>
        </w:rPr>
        <w:t xml:space="preserve">; mientras que </w:t>
      </w:r>
      <w:r w:rsidRPr="00121BAE">
        <w:rPr>
          <w:rFonts w:ascii="Palatino Linotype" w:eastAsia="Palatino Linotype" w:hAnsi="Palatino Linotype" w:cs="Palatino Linotype"/>
          <w:b/>
          <w:i/>
          <w:color w:val="000000"/>
        </w:rPr>
        <w:t>la exhaustividad significa que dicha respuesta se refiera expresamente a cada uno de los puntos solicitados</w:t>
      </w:r>
      <w:r w:rsidRPr="00121BAE">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930459" w:rsidRPr="00121BAE" w:rsidRDefault="00930459" w:rsidP="00930459">
      <w:pPr>
        <w:spacing w:line="360" w:lineRule="auto"/>
        <w:jc w:val="both"/>
        <w:rPr>
          <w:rFonts w:ascii="Palatino Linotype" w:eastAsia="MS Mincho" w:hAnsi="Palatino Linotype"/>
          <w:color w:val="000000"/>
        </w:rPr>
      </w:pPr>
    </w:p>
    <w:p w:rsidR="00930459" w:rsidRPr="00121BAE" w:rsidRDefault="00930459" w:rsidP="00930459">
      <w:pPr>
        <w:spacing w:line="360" w:lineRule="auto"/>
        <w:jc w:val="both"/>
        <w:rPr>
          <w:rFonts w:ascii="Palatino Linotype" w:hAnsi="Palatino Linotype" w:cs="Arial"/>
          <w:bCs/>
          <w:sz w:val="24"/>
          <w:szCs w:val="24"/>
        </w:rPr>
      </w:pPr>
      <w:r w:rsidRPr="00121BAE">
        <w:rPr>
          <w:rFonts w:ascii="Palatino Linotype" w:eastAsia="MS Mincho" w:hAnsi="Palatino Linotype"/>
          <w:color w:val="000000"/>
          <w:sz w:val="24"/>
          <w:szCs w:val="24"/>
        </w:rPr>
        <w:t>Respecto los puntos “d”</w:t>
      </w:r>
      <w:r w:rsidR="006A03A2" w:rsidRPr="00121BAE">
        <w:rPr>
          <w:rFonts w:ascii="Palatino Linotype" w:eastAsia="MS Mincho" w:hAnsi="Palatino Linotype"/>
          <w:color w:val="000000"/>
          <w:sz w:val="24"/>
          <w:szCs w:val="24"/>
        </w:rPr>
        <w:t xml:space="preserve">, </w:t>
      </w:r>
      <w:r w:rsidRPr="00121BAE">
        <w:rPr>
          <w:rFonts w:ascii="Palatino Linotype" w:eastAsia="MS Mincho" w:hAnsi="Palatino Linotype"/>
          <w:color w:val="000000"/>
          <w:sz w:val="24"/>
          <w:szCs w:val="24"/>
        </w:rPr>
        <w:t>“h”</w:t>
      </w:r>
      <w:r w:rsidR="006A03A2" w:rsidRPr="00121BAE">
        <w:rPr>
          <w:rFonts w:ascii="Palatino Linotype" w:eastAsia="MS Mincho" w:hAnsi="Palatino Linotype"/>
          <w:color w:val="000000"/>
          <w:sz w:val="24"/>
          <w:szCs w:val="24"/>
        </w:rPr>
        <w:t xml:space="preserve"> y “g”</w:t>
      </w:r>
      <w:r w:rsidRPr="00121BAE">
        <w:rPr>
          <w:rFonts w:ascii="Palatino Linotype" w:eastAsia="MS Mincho" w:hAnsi="Palatino Linotype"/>
          <w:color w:val="000000"/>
          <w:sz w:val="24"/>
          <w:szCs w:val="24"/>
        </w:rPr>
        <w:t xml:space="preserve">  no pasa por desapercibido por este Instituto que en términos de lo establecido por el Bando Municipal del Sujeto Obligado </w:t>
      </w:r>
      <w:r w:rsidRPr="00121BAE">
        <w:rPr>
          <w:rFonts w:ascii="Palatino Linotype" w:hAnsi="Palatino Linotype"/>
          <w:sz w:val="24"/>
          <w:szCs w:val="24"/>
        </w:rPr>
        <w:t xml:space="preserve">la Dirección de Administración y Finanzas asumirá las funciones y atribuciones de la Tesorería por lo cual es el órgano encargado de la recaudación de los ingresos municipales y responsable de realizar las erogaciones que lleve a cabo el Ayuntamiento, por lo que  mediante informe justificado </w:t>
      </w:r>
      <w:r w:rsidRPr="00121BAE">
        <w:rPr>
          <w:rFonts w:ascii="Palatino Linotype" w:hAnsi="Palatino Linotype" w:cs="Arial"/>
          <w:bCs/>
          <w:sz w:val="24"/>
          <w:szCs w:val="24"/>
        </w:rPr>
        <w:t xml:space="preserve">hace entrega de la propuesta económica, factura de compra de materia prima y compra de box lunch así como diversas facturas en versión </w:t>
      </w:r>
      <w:r w:rsidRPr="00121BAE">
        <w:rPr>
          <w:rFonts w:ascii="Palatino Linotype" w:hAnsi="Palatino Linotype" w:cs="Arial"/>
          <w:bCs/>
          <w:sz w:val="24"/>
          <w:szCs w:val="24"/>
        </w:rPr>
        <w:lastRenderedPageBreak/>
        <w:t>pública así como una propuesta económica para un Domo respecto el evento que se realizará en la plaza de la cruz de fecha 16 y 17 de mayo de 2026.</w:t>
      </w:r>
    </w:p>
    <w:p w:rsidR="00930459" w:rsidRPr="00121BAE" w:rsidRDefault="00930459" w:rsidP="00930459">
      <w:pPr>
        <w:spacing w:line="360" w:lineRule="auto"/>
        <w:jc w:val="both"/>
        <w:rPr>
          <w:rFonts w:ascii="Palatino Linotype" w:hAnsi="Palatino Linotype" w:cs="Arial"/>
          <w:bCs/>
          <w:sz w:val="24"/>
          <w:szCs w:val="24"/>
        </w:rPr>
      </w:pPr>
    </w:p>
    <w:p w:rsidR="00930459" w:rsidRPr="00121BAE" w:rsidRDefault="00930459" w:rsidP="00930459">
      <w:pPr>
        <w:spacing w:line="360" w:lineRule="auto"/>
        <w:jc w:val="both"/>
        <w:rPr>
          <w:rFonts w:ascii="Palatino Linotype" w:hAnsi="Palatino Linotype"/>
          <w:sz w:val="24"/>
          <w:szCs w:val="24"/>
        </w:rPr>
      </w:pPr>
      <w:r w:rsidRPr="00121BAE">
        <w:rPr>
          <w:rFonts w:ascii="Palatino Linotype" w:hAnsi="Palatino Linotype" w:cs="Arial"/>
          <w:bCs/>
          <w:sz w:val="24"/>
          <w:szCs w:val="24"/>
        </w:rPr>
        <w:t>De lo anterior este Instituto debe traer a colación el Criterio  Reiterado 008/2019</w:t>
      </w:r>
      <w:r w:rsidR="00C6580A" w:rsidRPr="00121BAE">
        <w:rPr>
          <w:rFonts w:ascii="Palatino Linotype" w:hAnsi="Palatino Linotype" w:cs="Arial"/>
          <w:bCs/>
          <w:sz w:val="24"/>
          <w:szCs w:val="24"/>
        </w:rPr>
        <w:t xml:space="preserve"> emitido por el entonces Máximo Órgano Garante en virtud que de las facturas entregadas en informe justificado se testo el RFC del emisor sin la debida fundamentación y motivación que diera</w:t>
      </w:r>
      <w:r w:rsidR="008C05A0" w:rsidRPr="00121BAE">
        <w:rPr>
          <w:rFonts w:ascii="Palatino Linotype" w:hAnsi="Palatino Linotype" w:cs="Arial"/>
          <w:bCs/>
          <w:sz w:val="24"/>
          <w:szCs w:val="24"/>
        </w:rPr>
        <w:t>n</w:t>
      </w:r>
      <w:r w:rsidR="00C6580A" w:rsidRPr="00121BAE">
        <w:rPr>
          <w:rFonts w:ascii="Palatino Linotype" w:hAnsi="Palatino Linotype" w:cs="Arial"/>
          <w:bCs/>
          <w:sz w:val="24"/>
          <w:szCs w:val="24"/>
        </w:rPr>
        <w:t xml:space="preserve"> origen a la restricción del derecho al acceso a la información sin embargo de las documentales entregadas se advierte que corresponde a Personas Físicas con Actividades Empresariales y Profesionales que le brindaron un servicio al Sujeto Obligado por ejemplo “Box Lunch”, por lo que este Instituto advierte que dicha información guarda interés público al haberse destinado recursos públicos, sirva de referencia el criterio referido;</w:t>
      </w:r>
    </w:p>
    <w:p w:rsidR="00C6580A" w:rsidRPr="00121BAE" w:rsidRDefault="00930459" w:rsidP="006A03A2">
      <w:pPr>
        <w:spacing w:line="360" w:lineRule="auto"/>
        <w:ind w:left="708"/>
        <w:jc w:val="both"/>
        <w:rPr>
          <w:rFonts w:ascii="Palatino Linotype" w:hAnsi="Palatino Linotype"/>
          <w:i/>
        </w:rPr>
      </w:pPr>
      <w:r w:rsidRPr="00121BAE">
        <w:rPr>
          <w:rFonts w:ascii="Palatino Linotype" w:hAnsi="Palatino Linotype"/>
          <w:i/>
        </w:rPr>
        <w:t>“La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r w:rsidR="006A03A2" w:rsidRPr="00121BAE">
        <w:rPr>
          <w:rFonts w:ascii="Palatino Linotype" w:hAnsi="Palatino Linotype"/>
          <w:i/>
        </w:rPr>
        <w:t>”</w:t>
      </w:r>
    </w:p>
    <w:p w:rsidR="006A03A2" w:rsidRPr="00121BAE" w:rsidRDefault="006A03A2" w:rsidP="00930459">
      <w:pPr>
        <w:spacing w:line="360" w:lineRule="auto"/>
        <w:jc w:val="both"/>
        <w:rPr>
          <w:rFonts w:ascii="Palatino Linotype" w:hAnsi="Palatino Linotype"/>
          <w:sz w:val="24"/>
          <w:szCs w:val="24"/>
        </w:rPr>
      </w:pPr>
    </w:p>
    <w:p w:rsidR="006A03A2" w:rsidRPr="00121BAE" w:rsidRDefault="006A03A2" w:rsidP="00930459">
      <w:pPr>
        <w:spacing w:line="360" w:lineRule="auto"/>
        <w:jc w:val="both"/>
        <w:rPr>
          <w:rFonts w:ascii="Palatino Linotype" w:hAnsi="Palatino Linotype"/>
          <w:sz w:val="24"/>
          <w:szCs w:val="24"/>
        </w:rPr>
      </w:pPr>
      <w:r w:rsidRPr="00121BAE">
        <w:rPr>
          <w:rFonts w:ascii="Palatino Linotype" w:hAnsi="Palatino Linotype"/>
          <w:sz w:val="24"/>
          <w:szCs w:val="24"/>
        </w:rPr>
        <w:t>Así mismo respecto la propuesta económica referida por el Sujeto Obligado para el denominado “Domo”,</w:t>
      </w:r>
      <w:r w:rsidR="007E3C22" w:rsidRPr="00121BAE">
        <w:rPr>
          <w:rFonts w:ascii="Palatino Linotype" w:hAnsi="Palatino Linotype"/>
          <w:sz w:val="24"/>
          <w:szCs w:val="24"/>
        </w:rPr>
        <w:t xml:space="preserve"> </w:t>
      </w:r>
      <w:r w:rsidRPr="00121BAE">
        <w:rPr>
          <w:rFonts w:ascii="Palatino Linotype" w:hAnsi="Palatino Linotype"/>
          <w:sz w:val="24"/>
          <w:szCs w:val="24"/>
        </w:rPr>
        <w:t>este Institut</w:t>
      </w:r>
      <w:r w:rsidR="007E3C22" w:rsidRPr="00121BAE">
        <w:rPr>
          <w:rFonts w:ascii="Palatino Linotype" w:hAnsi="Palatino Linotype"/>
          <w:sz w:val="24"/>
          <w:szCs w:val="24"/>
        </w:rPr>
        <w:t xml:space="preserve">o debe manifestar que la información proporcionada si bien es una erogación aproximada al gasto también lo es que el Sujeto Obligado </w:t>
      </w:r>
      <w:r w:rsidR="007E3C22" w:rsidRPr="00121BAE">
        <w:rPr>
          <w:rFonts w:ascii="Palatino Linotype" w:hAnsi="Palatino Linotype"/>
          <w:sz w:val="24"/>
          <w:szCs w:val="24"/>
          <w:u w:val="single"/>
        </w:rPr>
        <w:t>no dio cuenta del soporte documental en el que se advirtiera la erogación precisa para la compra y/o renta del domo referido</w:t>
      </w:r>
      <w:r w:rsidR="007E3C22" w:rsidRPr="00121BAE">
        <w:rPr>
          <w:rFonts w:ascii="Palatino Linotype" w:hAnsi="Palatino Linotype"/>
          <w:sz w:val="24"/>
          <w:szCs w:val="24"/>
        </w:rPr>
        <w:t xml:space="preserve"> pues se reitera que se trata </w:t>
      </w:r>
      <w:r w:rsidR="007E3C22" w:rsidRPr="00121BAE">
        <w:rPr>
          <w:rFonts w:ascii="Palatino Linotype" w:hAnsi="Palatino Linotype"/>
          <w:sz w:val="24"/>
          <w:szCs w:val="24"/>
        </w:rPr>
        <w:lastRenderedPageBreak/>
        <w:t>únicamente de una “propuesta” por lo que deberá hacer entrega del documento en el que se advierta el gasto erogado por la compra y/o renta del domo referido.</w:t>
      </w:r>
    </w:p>
    <w:p w:rsidR="006A03A2" w:rsidRPr="00121BAE" w:rsidRDefault="006A03A2" w:rsidP="00930459">
      <w:pPr>
        <w:spacing w:line="360" w:lineRule="auto"/>
        <w:jc w:val="both"/>
        <w:rPr>
          <w:rFonts w:ascii="Palatino Linotype" w:hAnsi="Palatino Linotype"/>
          <w:sz w:val="24"/>
          <w:szCs w:val="24"/>
        </w:rPr>
      </w:pPr>
    </w:p>
    <w:p w:rsidR="00930459" w:rsidRPr="00121BAE" w:rsidRDefault="006A03A2" w:rsidP="00930459">
      <w:pPr>
        <w:spacing w:line="360" w:lineRule="auto"/>
        <w:jc w:val="both"/>
        <w:rPr>
          <w:rFonts w:ascii="Palatino Linotype" w:eastAsia="MS Mincho" w:hAnsi="Palatino Linotype"/>
          <w:color w:val="000000"/>
          <w:sz w:val="24"/>
          <w:szCs w:val="24"/>
        </w:rPr>
      </w:pPr>
      <w:r w:rsidRPr="00121BAE">
        <w:rPr>
          <w:rFonts w:ascii="Palatino Linotype" w:hAnsi="Palatino Linotype"/>
          <w:sz w:val="24"/>
          <w:szCs w:val="24"/>
        </w:rPr>
        <w:t xml:space="preserve">Ahora bien,  respecto el punto </w:t>
      </w:r>
      <w:r w:rsidR="00030C40" w:rsidRPr="00121BAE">
        <w:rPr>
          <w:rFonts w:ascii="Palatino Linotype" w:hAnsi="Palatino Linotype"/>
          <w:sz w:val="24"/>
          <w:szCs w:val="24"/>
        </w:rPr>
        <w:t xml:space="preserve">“j” </w:t>
      </w:r>
      <w:r w:rsidR="00C6580A" w:rsidRPr="00121BAE">
        <w:rPr>
          <w:rFonts w:ascii="Palatino Linotype" w:hAnsi="Palatino Linotype"/>
          <w:sz w:val="24"/>
          <w:szCs w:val="24"/>
        </w:rPr>
        <w:t xml:space="preserve">conforme lo establecido por el artículo 54 del Bando Municipal del Sujeto Obligado  </w:t>
      </w:r>
      <w:r w:rsidR="00930459" w:rsidRPr="00121BAE">
        <w:rPr>
          <w:rFonts w:ascii="Palatino Linotype" w:hAnsi="Palatino Linotype"/>
          <w:sz w:val="24"/>
          <w:szCs w:val="24"/>
        </w:rPr>
        <w:t>le corresponde a la Dirección de Servicios Públicos los servicios municipales de limpia y recolección</w:t>
      </w:r>
      <w:r w:rsidR="00C6580A" w:rsidRPr="00121BAE">
        <w:rPr>
          <w:rFonts w:ascii="Palatino Linotype" w:hAnsi="Palatino Linotype"/>
          <w:sz w:val="24"/>
          <w:szCs w:val="24"/>
        </w:rPr>
        <w:t>, en este sentido conforme el pro</w:t>
      </w:r>
      <w:r w:rsidR="00030C40" w:rsidRPr="00121BAE">
        <w:rPr>
          <w:rFonts w:ascii="Palatino Linotype" w:hAnsi="Palatino Linotype"/>
          <w:sz w:val="24"/>
          <w:szCs w:val="24"/>
        </w:rPr>
        <w:t>nunciamiento en informe justificado de la Jefatura de Limpieza y Recolección correspondiente a que únicamente brindo apoyo en labores de limpieza de la Plaza de la Cruz, llevándose a cabo actividades de aseo antes, durante y después de la realización del evento referido este Instituto considera que se deben de tener por colmado dicho requerimiento de información.</w:t>
      </w:r>
    </w:p>
    <w:p w:rsidR="00930459" w:rsidRPr="00121BAE" w:rsidRDefault="00930459" w:rsidP="007B09D7">
      <w:pPr>
        <w:spacing w:line="360" w:lineRule="auto"/>
        <w:jc w:val="both"/>
        <w:rPr>
          <w:rFonts w:ascii="Palatino Linotype" w:hAnsi="Palatino Linotype"/>
          <w:sz w:val="24"/>
          <w:szCs w:val="24"/>
        </w:rPr>
      </w:pPr>
    </w:p>
    <w:p w:rsidR="00B178E7" w:rsidRPr="00121BAE" w:rsidRDefault="006A03A2" w:rsidP="007B09D7">
      <w:pPr>
        <w:spacing w:line="360" w:lineRule="auto"/>
        <w:jc w:val="both"/>
        <w:rPr>
          <w:rFonts w:ascii="Palatino Linotype" w:hAnsi="Palatino Linotype"/>
          <w:sz w:val="24"/>
          <w:szCs w:val="24"/>
        </w:rPr>
      </w:pPr>
      <w:r w:rsidRPr="00121BAE">
        <w:rPr>
          <w:rFonts w:ascii="Palatino Linotype" w:hAnsi="Palatino Linotype"/>
          <w:sz w:val="24"/>
          <w:szCs w:val="24"/>
        </w:rPr>
        <w:t xml:space="preserve">Finalmente respecto los requerimientos de información  “b” </w:t>
      </w:r>
      <w:r w:rsidR="004A6CAB" w:rsidRPr="00121BAE">
        <w:rPr>
          <w:rFonts w:ascii="Palatino Linotype" w:hAnsi="Palatino Linotype"/>
          <w:sz w:val="24"/>
          <w:szCs w:val="24"/>
        </w:rPr>
        <w:t>e</w:t>
      </w:r>
      <w:r w:rsidRPr="00121BAE">
        <w:rPr>
          <w:rFonts w:ascii="Palatino Linotype" w:hAnsi="Palatino Linotype"/>
          <w:sz w:val="24"/>
          <w:szCs w:val="24"/>
        </w:rPr>
        <w:t xml:space="preserve"> “i”</w:t>
      </w:r>
      <w:r w:rsidR="007E3C22" w:rsidRPr="00121BAE">
        <w:rPr>
          <w:rFonts w:ascii="Palatino Linotype" w:hAnsi="Palatino Linotype"/>
          <w:sz w:val="24"/>
          <w:szCs w:val="24"/>
        </w:rPr>
        <w:t xml:space="preserve"> la Directora de Seguridad Pública, Vial y Tránsito Municipal s</w:t>
      </w:r>
      <w:r w:rsidR="007E3C22" w:rsidRPr="00121BAE">
        <w:rPr>
          <w:rFonts w:ascii="Palatino Linotype" w:hAnsi="Palatino Linotype"/>
          <w:b/>
          <w:sz w:val="24"/>
          <w:szCs w:val="24"/>
        </w:rPr>
        <w:t xml:space="preserve">e limitó a manifestar que la información se encontraba reservada </w:t>
      </w:r>
      <w:r w:rsidR="007E3C22" w:rsidRPr="00121BAE">
        <w:rPr>
          <w:rFonts w:ascii="Palatino Linotype" w:hAnsi="Palatino Linotype"/>
          <w:sz w:val="24"/>
          <w:szCs w:val="24"/>
        </w:rPr>
        <w:t xml:space="preserve">en términos de lo establecido por los artículos 112 fracción I y 115 de la Ley General de Transparencia así como en el artículo 140 fracción I y IV y 143 de la Ley de Transparencia Local, </w:t>
      </w:r>
      <w:r w:rsidR="00B27FCA" w:rsidRPr="00121BAE">
        <w:rPr>
          <w:rFonts w:ascii="Palatino Linotype" w:hAnsi="Palatino Linotype"/>
          <w:sz w:val="24"/>
          <w:szCs w:val="24"/>
        </w:rPr>
        <w:t xml:space="preserve">lo anterior sin que advirtiera la motivación o fundamentación que permitiera al Recurrente advertir la limitación de su derecho al acceso a la información pública, por lo que para la reserva de la información no basta únicamente con el  pronunciamiento del Sujeto Obligado sino que debe de cumplir con los requisitos legales establecidos por la Ley de Transparencia Local. </w:t>
      </w:r>
    </w:p>
    <w:p w:rsidR="00B27FCA" w:rsidRPr="00121BAE" w:rsidRDefault="00B178E7" w:rsidP="00B27FCA">
      <w:pPr>
        <w:spacing w:line="360" w:lineRule="auto"/>
        <w:jc w:val="both"/>
        <w:rPr>
          <w:rFonts w:ascii="Palatino Linotype" w:hAnsi="Palatino Linotype"/>
          <w:sz w:val="24"/>
          <w:szCs w:val="24"/>
        </w:rPr>
      </w:pPr>
      <w:r w:rsidRPr="00121BAE">
        <w:rPr>
          <w:rFonts w:ascii="Palatino Linotype" w:hAnsi="Palatino Linotype"/>
          <w:sz w:val="24"/>
          <w:szCs w:val="24"/>
        </w:rPr>
        <w:lastRenderedPageBreak/>
        <w:t xml:space="preserve">Entonces también </w:t>
      </w:r>
      <w:r w:rsidR="00B27FCA" w:rsidRPr="00121BAE">
        <w:rPr>
          <w:rFonts w:ascii="Palatino Linotype" w:hAnsi="Palatino Linotype"/>
          <w:sz w:val="24"/>
          <w:szCs w:val="24"/>
        </w:rPr>
        <w:t xml:space="preserve">se debe advertir </w:t>
      </w:r>
      <w:r w:rsidRPr="00121BAE">
        <w:rPr>
          <w:rFonts w:ascii="Palatino Linotype" w:hAnsi="Palatino Linotype"/>
          <w:sz w:val="24"/>
          <w:szCs w:val="24"/>
        </w:rPr>
        <w:t xml:space="preserve">que los documentos a los que se pretende acceder </w:t>
      </w:r>
      <w:r w:rsidR="00B27FCA" w:rsidRPr="00121BAE">
        <w:rPr>
          <w:rFonts w:ascii="Palatino Linotype" w:hAnsi="Palatino Linotype"/>
          <w:sz w:val="24"/>
          <w:szCs w:val="24"/>
        </w:rPr>
        <w:t xml:space="preserve">es información estadística por lo que se trae a colación el criterio 008/2023 emitido por el entonces Máximo Órgano Garante a efecto de advertir que la información estadística es de naturaleza pública; </w:t>
      </w:r>
    </w:p>
    <w:p w:rsidR="00B27FCA" w:rsidRPr="00121BAE" w:rsidRDefault="00B27FCA" w:rsidP="00B27FCA">
      <w:pPr>
        <w:spacing w:line="360" w:lineRule="auto"/>
        <w:ind w:left="708"/>
        <w:jc w:val="both"/>
        <w:rPr>
          <w:rFonts w:ascii="Palatino Linotype" w:hAnsi="Palatino Linotype"/>
          <w:i/>
        </w:rPr>
      </w:pPr>
      <w:r w:rsidRPr="00121BAE">
        <w:rPr>
          <w:rFonts w:ascii="Palatino Linotype" w:hAnsi="Palatino Linotype"/>
          <w:i/>
        </w:rPr>
        <w:t xml:space="preserve">Considerando que la información estadística es el producto de un conjunto de resultados cuantitativos obtenidos de un proceso sistemático de captación de datos primarios obtenidos sobre hechos que constan en documentos que los sujetos obligados poseen, derivado del ejercicio de sus atribuciones; con base en lo dispuesto por el artículo 70 fracción XLVIII de la Ley General de Transparencia y Acceso a la Información Pública, los sujetos obligados deberán poner a disposición del público, entre otra, la relativa a la que con base en la información estadística, responda a las preguntas hechas con más frecuencia por el público, por lo que es posible afirmar que </w:t>
      </w:r>
      <w:r w:rsidRPr="00121BAE">
        <w:rPr>
          <w:rFonts w:ascii="Palatino Linotype" w:hAnsi="Palatino Linotype"/>
          <w:b/>
          <w:i/>
        </w:rPr>
        <w:t>la información estadística es de naturaleza pública</w:t>
      </w:r>
      <w:r w:rsidRPr="00121BAE">
        <w:rPr>
          <w:rFonts w:ascii="Palatino Linotype" w:hAnsi="Palatino Linotype"/>
          <w:i/>
        </w:rPr>
        <w:t>, siempre y cuando los datos estadísticos no se encuentren individualizados o personalizados a casos o situaciones específicas, que pudieran llegar a justificar su clasificación.</w:t>
      </w:r>
    </w:p>
    <w:p w:rsidR="00B178E7" w:rsidRPr="00121BAE" w:rsidRDefault="00B178E7" w:rsidP="007B09D7">
      <w:pPr>
        <w:spacing w:line="360" w:lineRule="auto"/>
        <w:jc w:val="both"/>
        <w:rPr>
          <w:rFonts w:ascii="Palatino Linotype" w:hAnsi="Palatino Linotype"/>
          <w:sz w:val="24"/>
          <w:szCs w:val="24"/>
        </w:rPr>
      </w:pPr>
    </w:p>
    <w:p w:rsidR="00B178E7" w:rsidRPr="00121BAE" w:rsidRDefault="00B178E7" w:rsidP="00B178E7">
      <w:pPr>
        <w:spacing w:line="360" w:lineRule="auto"/>
        <w:jc w:val="both"/>
        <w:rPr>
          <w:rFonts w:ascii="Palatino Linotype" w:hAnsi="Palatino Linotype"/>
          <w:sz w:val="24"/>
          <w:szCs w:val="24"/>
        </w:rPr>
      </w:pPr>
      <w:r w:rsidRPr="00121BAE">
        <w:rPr>
          <w:rFonts w:ascii="Palatino Linotype" w:hAnsi="Palatino Linotype"/>
          <w:sz w:val="24"/>
          <w:szCs w:val="24"/>
        </w:rPr>
        <w:t>Luego entonces, para realizar la reserva de la información, no basta con invocar alguna de las causales previstas en la Ley de transparencia local. En sentido contrario, dicha valoración debe realizarse a través de lo que se conoce como “prueba de daño”, que consiste en exponer los argumentos y razones, basados en elementos objetivos o verificables, a partir de los cuales se derive que la divulgación de información, en particular, puede afectar, poner en riesgo o dañar el interés protegido. Asimismo, ésta no debe basarse en meras especulaciones o suposiciones, sino en elementos objetivos que deban evaluar que existe un riego actual e inminente</w:t>
      </w:r>
      <w:r w:rsidR="00B27FCA" w:rsidRPr="00121BAE">
        <w:rPr>
          <w:rFonts w:ascii="Palatino Linotype" w:hAnsi="Palatino Linotype"/>
          <w:sz w:val="24"/>
          <w:szCs w:val="24"/>
        </w:rPr>
        <w:t>.</w:t>
      </w:r>
    </w:p>
    <w:p w:rsidR="00B27FCA" w:rsidRPr="00121BAE" w:rsidRDefault="00B27FCA" w:rsidP="00B178E7">
      <w:pPr>
        <w:spacing w:line="360" w:lineRule="auto"/>
        <w:jc w:val="both"/>
        <w:rPr>
          <w:rFonts w:ascii="Palatino Linotype" w:hAnsi="Palatino Linotype"/>
          <w:sz w:val="24"/>
          <w:szCs w:val="24"/>
        </w:rPr>
      </w:pPr>
    </w:p>
    <w:p w:rsidR="00B178E7" w:rsidRPr="00121BAE" w:rsidRDefault="00B178E7" w:rsidP="00B178E7">
      <w:pPr>
        <w:spacing w:line="360" w:lineRule="auto"/>
        <w:jc w:val="both"/>
        <w:rPr>
          <w:rFonts w:ascii="Palatino Linotype" w:hAnsi="Palatino Linotype"/>
          <w:sz w:val="24"/>
          <w:szCs w:val="24"/>
        </w:rPr>
      </w:pPr>
      <w:r w:rsidRPr="00121BAE">
        <w:rPr>
          <w:rFonts w:ascii="Palatino Linotype" w:hAnsi="Palatino Linotype"/>
          <w:sz w:val="24"/>
          <w:szCs w:val="24"/>
        </w:rPr>
        <w:lastRenderedPageBreak/>
        <w:t>Adicionalmente los artículos 129 y 134 último párrafo de la Ley Estatal y 104 y 108 último párrafo de la Ley General, respectivamente, determinan que se debe realizar un análisis caso por caso, aplicando la prueba de daño. Esto implica que la motivación, que acredite la correspondencia entre el supuesto de hecho y la hipótesis normativa señalando las razones, motivos o circunstancias es una parte del acuerdo y otra parte, distinta, es la que corresponde a la prueba de daño, la que debe aplicarse caso por caso, esto es, no se puede hacer una prueba de daño de un expediente completo, sino de cada uno de los documentos que lo integran.</w:t>
      </w:r>
    </w:p>
    <w:p w:rsidR="00B178E7" w:rsidRPr="00121BAE" w:rsidRDefault="00B178E7" w:rsidP="00B178E7">
      <w:pPr>
        <w:spacing w:line="360" w:lineRule="auto"/>
        <w:jc w:val="both"/>
        <w:rPr>
          <w:rFonts w:ascii="Palatino Linotype" w:hAnsi="Palatino Linotype"/>
          <w:sz w:val="24"/>
          <w:szCs w:val="24"/>
        </w:rPr>
      </w:pPr>
    </w:p>
    <w:p w:rsidR="00B178E7" w:rsidRPr="00121BAE" w:rsidRDefault="00B178E7" w:rsidP="00B178E7">
      <w:pPr>
        <w:spacing w:line="360" w:lineRule="auto"/>
        <w:jc w:val="both"/>
        <w:rPr>
          <w:rFonts w:ascii="Palatino Linotype" w:hAnsi="Palatino Linotype"/>
          <w:sz w:val="24"/>
          <w:szCs w:val="24"/>
        </w:rPr>
      </w:pPr>
      <w:r w:rsidRPr="00121BAE">
        <w:rPr>
          <w:rFonts w:ascii="Palatino Linotype" w:hAnsi="Palatino Linotype"/>
          <w:sz w:val="24"/>
          <w:szCs w:val="24"/>
        </w:rPr>
        <w:t xml:space="preserve">Para aplicar la prueba de daño, se deberán de precisar las razones objetivas por las que la apertura genera una afectación, acreditando que: </w:t>
      </w:r>
    </w:p>
    <w:p w:rsidR="00B178E7" w:rsidRPr="00121BAE" w:rsidRDefault="00B178E7" w:rsidP="00B178E7">
      <w:pPr>
        <w:pStyle w:val="Prrafodelista"/>
        <w:numPr>
          <w:ilvl w:val="0"/>
          <w:numId w:val="16"/>
        </w:numPr>
        <w:spacing w:line="360" w:lineRule="auto"/>
        <w:jc w:val="both"/>
        <w:rPr>
          <w:rFonts w:ascii="Palatino Linotype" w:hAnsi="Palatino Linotype"/>
          <w:i/>
        </w:rPr>
      </w:pPr>
      <w:r w:rsidRPr="00121BAE">
        <w:rPr>
          <w:rFonts w:ascii="Palatino Linotype" w:hAnsi="Palatino Linotype"/>
          <w:i/>
        </w:rPr>
        <w:t xml:space="preserve">La divulgación de la información representa un riesgo real, demostrable e identificable del perjuicio significativo al interés público o a la seguridad pública </w:t>
      </w:r>
    </w:p>
    <w:p w:rsidR="00B178E7" w:rsidRPr="00121BAE" w:rsidRDefault="00B178E7" w:rsidP="00B178E7">
      <w:pPr>
        <w:pStyle w:val="Prrafodelista"/>
        <w:numPr>
          <w:ilvl w:val="0"/>
          <w:numId w:val="16"/>
        </w:numPr>
        <w:spacing w:line="360" w:lineRule="auto"/>
        <w:jc w:val="both"/>
        <w:rPr>
          <w:rFonts w:ascii="Palatino Linotype" w:hAnsi="Palatino Linotype"/>
          <w:i/>
        </w:rPr>
      </w:pPr>
      <w:r w:rsidRPr="00121BAE">
        <w:rPr>
          <w:rFonts w:ascii="Palatino Linotype" w:hAnsi="Palatino Linotype"/>
          <w:i/>
        </w:rPr>
        <w:t xml:space="preserve">El riesgo de perjuicio que supondría la divulgación supera el interés público general de que se difunda; y </w:t>
      </w:r>
    </w:p>
    <w:p w:rsidR="00B178E7" w:rsidRPr="00121BAE" w:rsidRDefault="00B178E7" w:rsidP="00B178E7">
      <w:pPr>
        <w:pStyle w:val="Prrafodelista"/>
        <w:numPr>
          <w:ilvl w:val="0"/>
          <w:numId w:val="16"/>
        </w:numPr>
        <w:spacing w:line="360" w:lineRule="auto"/>
        <w:jc w:val="both"/>
        <w:rPr>
          <w:rFonts w:ascii="Palatino Linotype" w:hAnsi="Palatino Linotype"/>
          <w:i/>
          <w:sz w:val="24"/>
          <w:szCs w:val="24"/>
        </w:rPr>
      </w:pPr>
      <w:r w:rsidRPr="00121BAE">
        <w:rPr>
          <w:rFonts w:ascii="Palatino Linotype" w:hAnsi="Palatino Linotype"/>
          <w:i/>
        </w:rPr>
        <w:t>La limitación se adecua al principio de proporcionalidad y representa el medio menos restrictivo disponible para evitar el perjuicio</w:t>
      </w:r>
      <w:r w:rsidRPr="00121BAE">
        <w:rPr>
          <w:rFonts w:ascii="Palatino Linotype" w:hAnsi="Palatino Linotype"/>
          <w:i/>
          <w:sz w:val="24"/>
          <w:szCs w:val="24"/>
        </w:rPr>
        <w:t>.</w:t>
      </w:r>
    </w:p>
    <w:p w:rsidR="00B178E7" w:rsidRPr="00121BAE" w:rsidRDefault="00B178E7" w:rsidP="00B178E7">
      <w:pPr>
        <w:spacing w:line="360" w:lineRule="auto"/>
        <w:jc w:val="both"/>
        <w:rPr>
          <w:rFonts w:ascii="Palatino Linotype" w:hAnsi="Palatino Linotype"/>
          <w:sz w:val="24"/>
          <w:szCs w:val="24"/>
        </w:rPr>
      </w:pPr>
    </w:p>
    <w:p w:rsidR="00B178E7" w:rsidRPr="00121BAE" w:rsidRDefault="00B178E7" w:rsidP="00B178E7">
      <w:pPr>
        <w:spacing w:line="360" w:lineRule="auto"/>
        <w:jc w:val="both"/>
        <w:rPr>
          <w:rFonts w:ascii="Palatino Linotype" w:hAnsi="Palatino Linotype"/>
          <w:sz w:val="24"/>
          <w:szCs w:val="24"/>
        </w:rPr>
      </w:pPr>
      <w:r w:rsidRPr="00121BAE">
        <w:rPr>
          <w:rFonts w:ascii="Palatino Linotype" w:hAnsi="Palatino Linotype"/>
          <w:sz w:val="24"/>
          <w:szCs w:val="24"/>
        </w:rPr>
        <w:t xml:space="preserve">Por lo que entonces, el primer supuesto de la prueba de daño consiste en acreditar que la entrega de la información provoca aspectos concurrentes: la contingencia o proximidad de un daño, un perjuicio o lesión que tiene existencia objetiva, que se puede manifestar, declarar o probar mediante cualquier género de demostración a partir de proporcionar datos necesarios para reconocer el daño, perjuicio o lesión que </w:t>
      </w:r>
      <w:r w:rsidRPr="00121BAE">
        <w:rPr>
          <w:rFonts w:ascii="Palatino Linotype" w:hAnsi="Palatino Linotype"/>
          <w:sz w:val="24"/>
          <w:szCs w:val="24"/>
        </w:rPr>
        <w:lastRenderedPageBreak/>
        <w:t>provocaría a un interés público o a la seguridad pública. Identificado ese riesgo, se debe demostrar que el mismo supera el interés público general porque se difunda dicha información.</w:t>
      </w:r>
    </w:p>
    <w:p w:rsidR="00B178E7" w:rsidRPr="00121BAE" w:rsidRDefault="00B178E7" w:rsidP="00B178E7">
      <w:pPr>
        <w:spacing w:line="360" w:lineRule="auto"/>
        <w:jc w:val="both"/>
        <w:rPr>
          <w:rFonts w:ascii="Palatino Linotype" w:hAnsi="Palatino Linotype"/>
          <w:sz w:val="24"/>
          <w:szCs w:val="24"/>
        </w:rPr>
      </w:pPr>
    </w:p>
    <w:p w:rsidR="006A03A2" w:rsidRPr="00121BAE" w:rsidRDefault="00B178E7" w:rsidP="00B178E7">
      <w:pPr>
        <w:spacing w:line="360" w:lineRule="auto"/>
        <w:jc w:val="both"/>
        <w:rPr>
          <w:rFonts w:ascii="Palatino Linotype" w:hAnsi="Palatino Linotype"/>
          <w:sz w:val="24"/>
          <w:szCs w:val="24"/>
        </w:rPr>
      </w:pPr>
      <w:r w:rsidRPr="00121BAE">
        <w:rPr>
          <w:rFonts w:ascii="Palatino Linotype" w:hAnsi="Palatino Linotype"/>
          <w:sz w:val="24"/>
          <w:szCs w:val="24"/>
        </w:rPr>
        <w:t>Debido a lo anterior, se destaca que la pauta metodológica necesaria para clasificar la información como reservada se desprende inicialmente de identificar las causales aplicables, por ello, resulta oportuno realizar un análisis integral del numeral 140 de la Ley de Transparencia y Acceso a la Información Pública del Estado de México y Municipios.</w:t>
      </w:r>
    </w:p>
    <w:p w:rsidR="00B178E7" w:rsidRPr="00121BAE" w:rsidRDefault="00B178E7" w:rsidP="00B178E7">
      <w:pPr>
        <w:spacing w:line="360" w:lineRule="auto"/>
        <w:jc w:val="both"/>
        <w:rPr>
          <w:rFonts w:ascii="Palatino Linotype" w:hAnsi="Palatino Linotype"/>
          <w:sz w:val="24"/>
          <w:szCs w:val="24"/>
        </w:rPr>
      </w:pPr>
    </w:p>
    <w:p w:rsidR="00B178E7" w:rsidRPr="00121BAE" w:rsidRDefault="00B178E7" w:rsidP="00B178E7">
      <w:pPr>
        <w:spacing w:after="0" w:line="360" w:lineRule="auto"/>
        <w:jc w:val="both"/>
        <w:rPr>
          <w:rFonts w:ascii="Palatino Linotype" w:hAnsi="Palatino Linotype"/>
          <w:sz w:val="24"/>
          <w:szCs w:val="24"/>
        </w:rPr>
      </w:pPr>
      <w:r w:rsidRPr="00121BAE">
        <w:rPr>
          <w:rFonts w:ascii="Palatino Linotype" w:hAnsi="Palatino Linotype"/>
          <w:sz w:val="24"/>
          <w:szCs w:val="24"/>
        </w:rPr>
        <w:t>Bajo este contexto, la fundamentación y motivación, cobra particular relevancia la corriente que emana del Tercer Tribunal Colegiado en Materia Civil del Primer Circuito, a través de la jurisprudencia con número de registro digital 170307 de la Novena Época, visible en el Semanario Judicial de la Federación y su Gaceta, Tomo XXVII, de febrero de 2008, tesis I.3o.C. J/47 en materia común, en la que establece lo siguiente;</w:t>
      </w:r>
    </w:p>
    <w:p w:rsidR="00B178E7" w:rsidRPr="00121BAE" w:rsidRDefault="00B178E7" w:rsidP="00B27FCA">
      <w:pPr>
        <w:spacing w:after="0" w:line="360" w:lineRule="auto"/>
        <w:ind w:left="708"/>
        <w:jc w:val="both"/>
        <w:rPr>
          <w:rFonts w:ascii="Palatino Linotype" w:hAnsi="Palatino Linotype"/>
          <w:i/>
          <w:iCs/>
        </w:rPr>
      </w:pPr>
      <w:r w:rsidRPr="00121BAE">
        <w:rPr>
          <w:rFonts w:ascii="Palatino Linotype" w:hAnsi="Palatino Linotype"/>
        </w:rPr>
        <w:t>“</w:t>
      </w:r>
      <w:r w:rsidRPr="00121BAE">
        <w:rPr>
          <w:rFonts w:ascii="Palatino Linotype" w:hAnsi="Palatino Linotype"/>
          <w:b/>
          <w:bCs/>
          <w:i/>
          <w:iCs/>
        </w:rPr>
        <w:t>FUNDAMENTACIÓN Y MOTIVACIÓN. LA DIFERENCIA ENTRE LA FALTA Y LA INDEBIDA SATISFACCIÓN DE AMBOS REQUISITOS CONSTITUCIONALES TRASCIENDE AL ORDEN EN QUE DEBEN ESTUDIARSE LOS CONCEPTOS DE VIOLACIÓN Y A LOS EFECTOS DEL FALLO PROTECTOR.</w:t>
      </w:r>
      <w:r w:rsidRPr="00121BAE">
        <w:rPr>
          <w:rFonts w:ascii="Palatino Linotype" w:hAnsi="Palatino Linotype"/>
          <w:i/>
          <w:iCs/>
        </w:rPr>
        <w:t xml:space="preserve"> </w:t>
      </w:r>
    </w:p>
    <w:p w:rsidR="00B178E7" w:rsidRPr="00121BAE" w:rsidRDefault="00B178E7" w:rsidP="00B27FCA">
      <w:pPr>
        <w:spacing w:after="0" w:line="360" w:lineRule="auto"/>
        <w:ind w:left="708"/>
        <w:jc w:val="both"/>
        <w:rPr>
          <w:rFonts w:ascii="Palatino Linotype" w:hAnsi="Palatino Linotype"/>
          <w:i/>
          <w:iCs/>
        </w:rPr>
      </w:pPr>
      <w:r w:rsidRPr="00121BAE">
        <w:rPr>
          <w:rFonts w:ascii="Palatino Linotype" w:hAnsi="Palatino Linotype"/>
          <w:i/>
          <w:iCs/>
        </w:rPr>
        <w:t xml:space="preserve">La falta de fundamentación y motivación es una violación formal diversa a la indebida o incorrecta fundamentación y motivación, que es una violación material o de fondo, siendo distintos los efectos que genera la existencia de una u otra, por lo que el estudio de aquella </w:t>
      </w:r>
      <w:r w:rsidRPr="00121BAE">
        <w:rPr>
          <w:rFonts w:ascii="Palatino Linotype" w:hAnsi="Palatino Linotype"/>
          <w:i/>
          <w:iCs/>
        </w:rPr>
        <w:lastRenderedPageBreak/>
        <w:t xml:space="preserve">omisión debe hacerse de manera previa. En efecto, el artículo 16 constitucional establece, en su primer párrafo, el imperativo para las autoridades de fundar y motivar sus actos que incidan en la esfera de los gobernados, pero la contravención al mandato constitucional que exige la expresión de ambas en los actos de autoridad puede revestir dos formas distintas, a saber: la derivada de su falta, y la correspondiente a su incorrección. Se produce la falta de fundamentación y motivación, cuando se omite expresar el dispositivo legal aplicable al asunto y las razones que se hayan considerado para estimar que el caso puede subsumirse en la hipótesis prevista en esa norma jurídica. En cambio, hay una indebida fundamentación cuando en el acto de autoridad sí se invoca el precepto legal, sin embargo, resulta inaplicable al asunto por las características específicas de éste que impiden su adecuación o encuadre en la hipótesis normativa; y una incorrecta motivación, en el supuesto en que sí se indican las razones que tiene en consideración la autoridad para emitir el acto, pero aquéllas están en disonancia con el contenido de la norma legal que se aplica en el caso. De manera que la falta de fundamentación y motivación significa la carencia o ausencia de tales requisitos, mientras que la indebida o incorrecta fundamentación y motivación entraña la presencia de ambos requisitos constitucionales, pero con un desajuste entre la aplicación de normas y los razonamientos formulados por la autoridad con el caso concreto. La diferencia apuntada permite advertir que en el primer supuesto se trata de una violación formal dado que el acto de autoridad carece de elementos ínsitos, connaturales, al mismo por virtud de un imperativo constitucional, por lo que, advertida su ausencia mediante la simple lectura del acto reclamado, procederá conceder el amparo solicitado; y en el segundo caso consiste en una violación material o de fondo porque se ha cumplido con la forma mediante la expresión de fundamentos y motivos, pero unos y otros son incorrectos, lo cual, por regla general, también dará lugar a un fallo protector, sin embargo, será menester un previo análisis del contenido del asunto para llegar a concluir la mencionada incorrección. Por virtud de esa nota distintiva, los efectos de la concesión del amparo, tratándose de una resolución jurisdiccional, son igualmente diversos en uno y otro caso, pues aunque existe </w:t>
      </w:r>
      <w:r w:rsidRPr="00121BAE">
        <w:rPr>
          <w:rFonts w:ascii="Palatino Linotype" w:hAnsi="Palatino Linotype"/>
          <w:i/>
          <w:iCs/>
        </w:rPr>
        <w:lastRenderedPageBreak/>
        <w:t xml:space="preserve">un elemento común, o sea, que la autoridad deje insubsistente el acto inconstitucional, en el primer supuesto será para que subsane la irregularidad expresando la fundamentación y motivación antes ausente, y en el segundo para que aporte fundamentos y motivos diferentes a los que formuló previamente. La apuntada diferencia trasciende, igualmente, al orden en que se deberán estudiar los argumentos que hagan valer los quejosos, ya que si en un caso se advierte la carencia de los requisitos constitucionales de que se trata, es decir, una violación formal, se concederá el amparo para los efectos indicados, con exclusión del análisis de los motivos de disenso que, concurriendo con los atinentes al defecto, versen sobre la incorrección de ambos elementos inherentes al acto de autoridad; empero, si han sido satisfechos aquéllos, será factible el estudio de la indebida fundamentación y motivación, esto es, de la violación material o de fondo. </w:t>
      </w:r>
    </w:p>
    <w:p w:rsidR="00B178E7" w:rsidRPr="00121BAE" w:rsidRDefault="00B178E7" w:rsidP="00B178E7">
      <w:pPr>
        <w:spacing w:after="0" w:line="360" w:lineRule="auto"/>
        <w:ind w:left="708"/>
        <w:jc w:val="both"/>
        <w:rPr>
          <w:rFonts w:ascii="Palatino Linotype" w:hAnsi="Palatino Linotype"/>
          <w:i/>
          <w:iCs/>
          <w:sz w:val="16"/>
          <w:szCs w:val="16"/>
        </w:rPr>
      </w:pPr>
      <w:r w:rsidRPr="00121BAE">
        <w:rPr>
          <w:rFonts w:ascii="Palatino Linotype" w:hAnsi="Palatino Linotype"/>
          <w:i/>
          <w:iCs/>
          <w:sz w:val="16"/>
          <w:szCs w:val="16"/>
        </w:rPr>
        <w:t xml:space="preserve">TERCER TRIBUNAL COLEGIADO EN MATERIA CIVIL DEL PRIMER CIRCUITO. </w:t>
      </w:r>
    </w:p>
    <w:p w:rsidR="00B178E7" w:rsidRPr="00121BAE" w:rsidRDefault="00B178E7" w:rsidP="00B178E7">
      <w:pPr>
        <w:spacing w:after="0" w:line="360" w:lineRule="auto"/>
        <w:ind w:left="708"/>
        <w:jc w:val="both"/>
        <w:rPr>
          <w:rFonts w:ascii="Palatino Linotype" w:hAnsi="Palatino Linotype"/>
          <w:i/>
          <w:iCs/>
          <w:sz w:val="16"/>
          <w:szCs w:val="16"/>
        </w:rPr>
      </w:pPr>
      <w:r w:rsidRPr="00121BAE">
        <w:rPr>
          <w:rFonts w:ascii="Palatino Linotype" w:hAnsi="Palatino Linotype"/>
          <w:i/>
          <w:iCs/>
          <w:sz w:val="16"/>
          <w:szCs w:val="16"/>
        </w:rPr>
        <w:t xml:space="preserve">Amparo directo 551/2005. Jorge Luis Almaral Mendívil. 20 de octubre de 2005. Unanimidad de votos. </w:t>
      </w:r>
    </w:p>
    <w:p w:rsidR="00B178E7" w:rsidRPr="00121BAE" w:rsidRDefault="00B178E7" w:rsidP="00B178E7">
      <w:pPr>
        <w:spacing w:after="0" w:line="360" w:lineRule="auto"/>
        <w:ind w:left="708"/>
        <w:jc w:val="both"/>
        <w:rPr>
          <w:rFonts w:ascii="Palatino Linotype" w:hAnsi="Palatino Linotype"/>
          <w:i/>
          <w:iCs/>
          <w:sz w:val="16"/>
          <w:szCs w:val="16"/>
        </w:rPr>
      </w:pPr>
      <w:r w:rsidRPr="00121BAE">
        <w:rPr>
          <w:rFonts w:ascii="Palatino Linotype" w:hAnsi="Palatino Linotype"/>
          <w:i/>
          <w:iCs/>
          <w:sz w:val="16"/>
          <w:szCs w:val="16"/>
        </w:rPr>
        <w:t xml:space="preserve">Amparo directo 66/2007. Juan Ramón Jaime Alcántara. 15 de febrero de 2007. Unanimidad de votos. </w:t>
      </w:r>
    </w:p>
    <w:p w:rsidR="00B178E7" w:rsidRPr="00121BAE" w:rsidRDefault="00B178E7" w:rsidP="00B178E7">
      <w:pPr>
        <w:spacing w:after="0" w:line="360" w:lineRule="auto"/>
        <w:ind w:left="708"/>
        <w:jc w:val="both"/>
        <w:rPr>
          <w:rFonts w:ascii="Palatino Linotype" w:hAnsi="Palatino Linotype"/>
          <w:i/>
          <w:iCs/>
          <w:sz w:val="16"/>
          <w:szCs w:val="16"/>
        </w:rPr>
      </w:pPr>
      <w:r w:rsidRPr="00121BAE">
        <w:rPr>
          <w:rFonts w:ascii="Palatino Linotype" w:hAnsi="Palatino Linotype"/>
          <w:i/>
          <w:iCs/>
          <w:sz w:val="16"/>
          <w:szCs w:val="16"/>
        </w:rPr>
        <w:t xml:space="preserve">Amparo directo 364/2007. Guadalupe Rodríguez Daniel. 6 de julio de 2007. Unanimidad de votos. </w:t>
      </w:r>
    </w:p>
    <w:p w:rsidR="00B178E7" w:rsidRPr="00121BAE" w:rsidRDefault="00B178E7" w:rsidP="00B178E7">
      <w:pPr>
        <w:spacing w:after="0" w:line="360" w:lineRule="auto"/>
        <w:ind w:left="708"/>
        <w:jc w:val="both"/>
        <w:rPr>
          <w:rFonts w:ascii="Palatino Linotype" w:hAnsi="Palatino Linotype"/>
          <w:i/>
          <w:iCs/>
          <w:sz w:val="16"/>
          <w:szCs w:val="16"/>
        </w:rPr>
      </w:pPr>
      <w:r w:rsidRPr="00121BAE">
        <w:rPr>
          <w:rFonts w:ascii="Palatino Linotype" w:hAnsi="Palatino Linotype"/>
          <w:i/>
          <w:iCs/>
          <w:sz w:val="16"/>
          <w:szCs w:val="16"/>
        </w:rPr>
        <w:t xml:space="preserve">Amparo directo 513/2007. Autofinanciamiento México, S.A. de C.V. 4 de octubre de 2007. Unanimidad de votos. </w:t>
      </w:r>
    </w:p>
    <w:p w:rsidR="00B178E7" w:rsidRPr="00121BAE" w:rsidRDefault="00B178E7" w:rsidP="00B178E7">
      <w:pPr>
        <w:spacing w:after="0" w:line="360" w:lineRule="auto"/>
        <w:ind w:left="708"/>
        <w:jc w:val="both"/>
        <w:rPr>
          <w:rFonts w:ascii="Palatino Linotype" w:hAnsi="Palatino Linotype"/>
          <w:i/>
          <w:iCs/>
          <w:sz w:val="16"/>
          <w:szCs w:val="16"/>
        </w:rPr>
      </w:pPr>
      <w:r w:rsidRPr="00121BAE">
        <w:rPr>
          <w:rFonts w:ascii="Palatino Linotype" w:hAnsi="Palatino Linotype"/>
          <w:i/>
          <w:iCs/>
          <w:sz w:val="16"/>
          <w:szCs w:val="16"/>
        </w:rPr>
        <w:t>Amparo directo 562/2007. Arenas y Gravas Xaltepec, S.A. 11 de octubre de 2007. Unanimidad de votos..” (Sic)</w:t>
      </w:r>
    </w:p>
    <w:p w:rsidR="00B178E7" w:rsidRPr="00121BAE" w:rsidRDefault="00B178E7" w:rsidP="00B178E7">
      <w:pPr>
        <w:spacing w:line="360" w:lineRule="auto"/>
        <w:jc w:val="both"/>
        <w:rPr>
          <w:rFonts w:ascii="Palatino Linotype" w:hAnsi="Palatino Linotype"/>
          <w:sz w:val="24"/>
          <w:szCs w:val="24"/>
        </w:rPr>
      </w:pPr>
    </w:p>
    <w:p w:rsidR="00B178E7" w:rsidRPr="00121BAE" w:rsidRDefault="00B178E7" w:rsidP="00B178E7">
      <w:pPr>
        <w:spacing w:line="360" w:lineRule="auto"/>
        <w:jc w:val="both"/>
        <w:rPr>
          <w:rFonts w:ascii="Palatino Linotype" w:hAnsi="Palatino Linotype"/>
          <w:sz w:val="24"/>
          <w:szCs w:val="24"/>
        </w:rPr>
      </w:pPr>
      <w:r w:rsidRPr="00121BAE">
        <w:rPr>
          <w:rFonts w:ascii="Palatino Linotype" w:hAnsi="Palatino Linotype"/>
          <w:sz w:val="24"/>
          <w:szCs w:val="24"/>
        </w:rPr>
        <w:t>En virtud de lo anterior, se desprende que los Acuerdos de Reserva deberán de cumplir parámetros de forma y fondo, sin pasar por desapercibido para este Instituto que los Lineamientos Generales de Clasificación y Desclasificación de la Información, así como para la Elaboración de Versiones Públicas en su apartado Quincuagésimo tercero establece que  respecto la información reservada el formato para señalar la clasificación de un documento o expediente que contenga información reservada es un cuadro de clasificación, como se muestra a continuación;</w:t>
      </w:r>
    </w:p>
    <w:p w:rsidR="006A03A2" w:rsidRPr="00121BAE" w:rsidRDefault="00B178E7" w:rsidP="00845352">
      <w:pPr>
        <w:spacing w:line="360" w:lineRule="auto"/>
        <w:ind w:left="708" w:hanging="708"/>
        <w:jc w:val="center"/>
        <w:rPr>
          <w:rFonts w:ascii="Palatino Linotype" w:hAnsi="Palatino Linotype"/>
          <w:sz w:val="24"/>
          <w:szCs w:val="24"/>
        </w:rPr>
      </w:pPr>
      <w:r w:rsidRPr="00121BAE">
        <w:rPr>
          <w:rFonts w:ascii="Palatino Linotype" w:hAnsi="Palatino Linotype"/>
          <w:noProof/>
          <w:sz w:val="24"/>
          <w:szCs w:val="24"/>
          <w:lang w:eastAsia="es-MX"/>
        </w:rPr>
        <w:lastRenderedPageBreak/>
        <w:drawing>
          <wp:inline distT="0" distB="0" distL="0" distR="0" wp14:anchorId="70F7EBD4" wp14:editId="721F0C77">
            <wp:extent cx="4302125" cy="2318918"/>
            <wp:effectExtent l="0" t="0" r="3175" b="5715"/>
            <wp:docPr id="1264038752" name="Imagen 1"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038752" name="Imagen 1" descr="Tabla&#10;&#10;Descripción generada automáticamente con confianza media"/>
                    <pic:cNvPicPr/>
                  </pic:nvPicPr>
                  <pic:blipFill>
                    <a:blip r:embed="rId7"/>
                    <a:stretch>
                      <a:fillRect/>
                    </a:stretch>
                  </pic:blipFill>
                  <pic:spPr>
                    <a:xfrm>
                      <a:off x="0" y="0"/>
                      <a:ext cx="4325506" cy="2331521"/>
                    </a:xfrm>
                    <a:prstGeom prst="rect">
                      <a:avLst/>
                    </a:prstGeom>
                  </pic:spPr>
                </pic:pic>
              </a:graphicData>
            </a:graphic>
          </wp:inline>
        </w:drawing>
      </w:r>
    </w:p>
    <w:p w:rsidR="00C45A9C" w:rsidRPr="00121BAE" w:rsidRDefault="00C45A9C" w:rsidP="00C45A9C">
      <w:pPr>
        <w:spacing w:line="360" w:lineRule="auto"/>
        <w:contextualSpacing/>
        <w:jc w:val="both"/>
        <w:rPr>
          <w:rFonts w:ascii="Palatino Linotype" w:eastAsia="Palatino Linotype" w:hAnsi="Palatino Linotype" w:cs="Palatino Linotype"/>
        </w:rPr>
      </w:pPr>
      <w:r w:rsidRPr="00121BAE">
        <w:rPr>
          <w:rFonts w:ascii="Palatino Linotype" w:eastAsia="Palatino Linotype" w:hAnsi="Palatino Linotype" w:cs="Palatino Linotype"/>
          <w:color w:val="000000"/>
        </w:rPr>
        <w:t xml:space="preserve">Ahora bien, se tiene que el Recurrente solicitó la entrega de los documentos denominados «parte de novedades», por lo que es </w:t>
      </w:r>
      <w:r w:rsidRPr="00121BAE">
        <w:rPr>
          <w:rFonts w:ascii="Palatino Linotype" w:eastAsia="Palatino Linotype" w:hAnsi="Palatino Linotype" w:cs="Palatino Linotype"/>
        </w:rPr>
        <w:t>conveniente hacer referencia a lo establecido en la Ley de Seguridad del Estado de México, que en su artículo 138 fracciones IX, X y XI, otorga facultades a las instituciones de dedicadas a la seguridad pública para dar cabal cumplimiento a sus funciones, dentro de las cuales se encuentra la de emitir informes, partes policiales y entre otras las siguientes:</w:t>
      </w:r>
    </w:p>
    <w:p w:rsidR="00C45A9C" w:rsidRPr="00121BAE" w:rsidRDefault="00C45A9C" w:rsidP="00C45A9C">
      <w:pPr>
        <w:pStyle w:val="Sinespaciado"/>
        <w:spacing w:line="360" w:lineRule="auto"/>
        <w:ind w:left="708"/>
        <w:jc w:val="both"/>
        <w:rPr>
          <w:rFonts w:ascii="Palatino Linotype" w:eastAsia="Palatino Linotype" w:hAnsi="Palatino Linotype"/>
          <w:i/>
          <w:sz w:val="22"/>
          <w:szCs w:val="22"/>
        </w:rPr>
      </w:pPr>
      <w:r w:rsidRPr="00121BAE">
        <w:rPr>
          <w:rFonts w:ascii="Palatino Linotype" w:eastAsia="Palatino Linotype" w:hAnsi="Palatino Linotype"/>
          <w:b/>
          <w:i/>
          <w:sz w:val="22"/>
          <w:szCs w:val="22"/>
        </w:rPr>
        <w:t xml:space="preserve">Artículo 138.- </w:t>
      </w:r>
      <w:r w:rsidRPr="00121BAE">
        <w:rPr>
          <w:rFonts w:ascii="Palatino Linotype" w:eastAsia="Palatino Linotype" w:hAnsi="Palatino Linotype"/>
          <w:i/>
          <w:sz w:val="22"/>
          <w:szCs w:val="22"/>
        </w:rPr>
        <w:t xml:space="preserve">Las unidades de policía encargadas de la investigación científica de los delitos se coordinarán en los términos de esta Ley y demás disposiciones aplicables, para el efectivo cumplimiento de sus funciones, y tendrán, entre otras, las facultades siguientes: </w:t>
      </w:r>
    </w:p>
    <w:p w:rsidR="00C45A9C" w:rsidRPr="00121BAE" w:rsidRDefault="00C45A9C" w:rsidP="00C45A9C">
      <w:pPr>
        <w:pStyle w:val="Sinespaciado"/>
        <w:spacing w:line="360" w:lineRule="auto"/>
        <w:ind w:firstLine="708"/>
        <w:jc w:val="both"/>
        <w:rPr>
          <w:rFonts w:ascii="Palatino Linotype" w:eastAsia="Palatino Linotype" w:hAnsi="Palatino Linotype"/>
          <w:i/>
          <w:sz w:val="22"/>
          <w:szCs w:val="22"/>
        </w:rPr>
      </w:pPr>
      <w:r w:rsidRPr="00121BAE">
        <w:rPr>
          <w:rFonts w:ascii="Palatino Linotype" w:eastAsia="Palatino Linotype" w:hAnsi="Palatino Linotype"/>
          <w:i/>
          <w:sz w:val="22"/>
          <w:szCs w:val="22"/>
        </w:rPr>
        <w:t>[…]</w:t>
      </w:r>
    </w:p>
    <w:p w:rsidR="00C45A9C" w:rsidRPr="00121BAE" w:rsidRDefault="00C45A9C" w:rsidP="00C45A9C">
      <w:pPr>
        <w:pStyle w:val="Sinespaciado"/>
        <w:spacing w:line="360" w:lineRule="auto"/>
        <w:ind w:left="708"/>
        <w:jc w:val="both"/>
        <w:rPr>
          <w:rFonts w:ascii="Palatino Linotype" w:eastAsia="Palatino Linotype" w:hAnsi="Palatino Linotype"/>
          <w:i/>
          <w:sz w:val="22"/>
          <w:szCs w:val="22"/>
        </w:rPr>
      </w:pPr>
      <w:r w:rsidRPr="00121BAE">
        <w:rPr>
          <w:rFonts w:ascii="Palatino Linotype" w:eastAsia="Palatino Linotype" w:hAnsi="Palatino Linotype"/>
          <w:i/>
          <w:sz w:val="22"/>
          <w:szCs w:val="22"/>
        </w:rPr>
        <w:t>IX. Proponer al ministerio público que requiera a las autoridades competentes, informes y documentos para fines de la investigación, cuando se trate de aquellos que sólo pueda solicitar por conducto de éste;</w:t>
      </w:r>
    </w:p>
    <w:p w:rsidR="00C45A9C" w:rsidRPr="00121BAE" w:rsidRDefault="00C45A9C" w:rsidP="00C45A9C">
      <w:pPr>
        <w:pStyle w:val="Sinespaciado"/>
        <w:spacing w:line="360" w:lineRule="auto"/>
        <w:ind w:left="708"/>
        <w:jc w:val="both"/>
        <w:rPr>
          <w:rFonts w:ascii="Palatino Linotype" w:eastAsia="Palatino Linotype" w:hAnsi="Palatino Linotype"/>
          <w:i/>
          <w:sz w:val="22"/>
          <w:szCs w:val="22"/>
        </w:rPr>
      </w:pPr>
      <w:r w:rsidRPr="00121BAE">
        <w:rPr>
          <w:rFonts w:ascii="Palatino Linotype" w:eastAsia="Palatino Linotype" w:hAnsi="Palatino Linotype"/>
          <w:i/>
          <w:sz w:val="22"/>
          <w:szCs w:val="22"/>
        </w:rPr>
        <w:t xml:space="preserve">X. </w:t>
      </w:r>
      <w:r w:rsidRPr="00121BAE">
        <w:rPr>
          <w:rFonts w:ascii="Palatino Linotype" w:eastAsia="Palatino Linotype" w:hAnsi="Palatino Linotype"/>
          <w:b/>
          <w:i/>
          <w:sz w:val="22"/>
          <w:szCs w:val="22"/>
          <w:u w:val="single"/>
        </w:rPr>
        <w:t>Dejar constancia de cada una de sus actuaciones, así como llevar un control y seguimiento de éstas. Durante el curso de la investigación deberán elaborar informes sobre el desarrollo de la misma</w:t>
      </w:r>
      <w:r w:rsidRPr="00121BAE">
        <w:rPr>
          <w:rFonts w:ascii="Palatino Linotype" w:eastAsia="Palatino Linotype" w:hAnsi="Palatino Linotype"/>
          <w:i/>
          <w:sz w:val="22"/>
          <w:szCs w:val="22"/>
        </w:rPr>
        <w:t>, y rendirlos al ministerio público, sin perjuicio de los informes que éste le requiera;</w:t>
      </w:r>
    </w:p>
    <w:p w:rsidR="00C45A9C" w:rsidRPr="00121BAE" w:rsidRDefault="00C45A9C" w:rsidP="00C45A9C">
      <w:pPr>
        <w:pStyle w:val="Sinespaciado"/>
        <w:spacing w:line="360" w:lineRule="auto"/>
        <w:ind w:left="708"/>
        <w:jc w:val="both"/>
        <w:rPr>
          <w:rFonts w:ascii="Palatino Linotype" w:eastAsia="Palatino Linotype" w:hAnsi="Palatino Linotype"/>
          <w:i/>
          <w:sz w:val="22"/>
          <w:szCs w:val="22"/>
        </w:rPr>
      </w:pPr>
      <w:r w:rsidRPr="00121BAE">
        <w:rPr>
          <w:rFonts w:ascii="Palatino Linotype" w:eastAsia="Palatino Linotype" w:hAnsi="Palatino Linotype"/>
          <w:i/>
          <w:sz w:val="22"/>
          <w:szCs w:val="22"/>
        </w:rPr>
        <w:lastRenderedPageBreak/>
        <w:t xml:space="preserve">XI. </w:t>
      </w:r>
      <w:r w:rsidRPr="00121BAE">
        <w:rPr>
          <w:rFonts w:ascii="Palatino Linotype" w:eastAsia="Palatino Linotype" w:hAnsi="Palatino Linotype"/>
          <w:b/>
          <w:i/>
          <w:sz w:val="22"/>
          <w:szCs w:val="22"/>
          <w:u w:val="single"/>
        </w:rPr>
        <w:t>Emitir los informes, partes policiales y demás documentos que se generen, con los requisitos de fondo y forma que establezcan las disposiciones aplicables</w:t>
      </w:r>
      <w:r w:rsidRPr="00121BAE">
        <w:rPr>
          <w:rFonts w:ascii="Palatino Linotype" w:eastAsia="Palatino Linotype" w:hAnsi="Palatino Linotype"/>
          <w:i/>
          <w:sz w:val="22"/>
          <w:szCs w:val="22"/>
        </w:rPr>
        <w:t>, para tal efecto se podrán apoyar en los conocimientos que resulten necesarios;</w:t>
      </w:r>
    </w:p>
    <w:p w:rsidR="00C45A9C" w:rsidRPr="00121BAE" w:rsidRDefault="00C45A9C" w:rsidP="00C45A9C">
      <w:pPr>
        <w:pStyle w:val="Sinespaciado"/>
        <w:spacing w:line="360" w:lineRule="auto"/>
        <w:ind w:firstLine="708"/>
        <w:jc w:val="both"/>
        <w:rPr>
          <w:rFonts w:ascii="Palatino Linotype" w:eastAsia="Palatino Linotype" w:hAnsi="Palatino Linotype"/>
          <w:i/>
          <w:sz w:val="22"/>
          <w:szCs w:val="22"/>
        </w:rPr>
      </w:pPr>
      <w:r w:rsidRPr="00121BAE">
        <w:rPr>
          <w:rFonts w:ascii="Palatino Linotype" w:eastAsia="Palatino Linotype" w:hAnsi="Palatino Linotype"/>
          <w:i/>
          <w:sz w:val="22"/>
          <w:szCs w:val="22"/>
        </w:rPr>
        <w:t>[…]</w:t>
      </w:r>
    </w:p>
    <w:p w:rsidR="00C45A9C" w:rsidRPr="00121BAE" w:rsidRDefault="00C45A9C" w:rsidP="00C45A9C">
      <w:pPr>
        <w:spacing w:line="360" w:lineRule="auto"/>
        <w:contextualSpacing/>
        <w:jc w:val="both"/>
        <w:rPr>
          <w:rFonts w:ascii="Palatino Linotype" w:eastAsia="Palatino Linotype" w:hAnsi="Palatino Linotype" w:cs="Palatino Linotype"/>
        </w:rPr>
      </w:pPr>
    </w:p>
    <w:p w:rsidR="00C45A9C" w:rsidRPr="00121BAE" w:rsidRDefault="00C45A9C" w:rsidP="00C45A9C">
      <w:pPr>
        <w:spacing w:line="360" w:lineRule="auto"/>
        <w:contextualSpacing/>
        <w:jc w:val="both"/>
        <w:rPr>
          <w:rFonts w:ascii="Palatino Linotype" w:eastAsia="Palatino Linotype" w:hAnsi="Palatino Linotype" w:cs="Palatino Linotype"/>
        </w:rPr>
      </w:pPr>
      <w:r w:rsidRPr="00121BAE">
        <w:rPr>
          <w:rFonts w:ascii="Palatino Linotype" w:eastAsia="Palatino Linotype" w:hAnsi="Palatino Linotype" w:cs="Palatino Linotype"/>
        </w:rPr>
        <w:t>En esa tesitura cabe señalar la distinción entre los partes de novedades y los partes informativos a que se hace referencia en el precepto citado en el párrafo que antecede.</w:t>
      </w:r>
    </w:p>
    <w:p w:rsidR="00C45A9C" w:rsidRPr="00121BAE" w:rsidRDefault="00C45A9C" w:rsidP="00C45A9C">
      <w:pPr>
        <w:pStyle w:val="Sinespaciado"/>
        <w:numPr>
          <w:ilvl w:val="0"/>
          <w:numId w:val="18"/>
        </w:numPr>
        <w:spacing w:line="360" w:lineRule="auto"/>
        <w:jc w:val="both"/>
        <w:rPr>
          <w:rFonts w:ascii="Palatino Linotype" w:eastAsia="Palatino Linotype" w:hAnsi="Palatino Linotype"/>
          <w:i/>
        </w:rPr>
      </w:pPr>
      <w:r w:rsidRPr="00121BAE">
        <w:rPr>
          <w:rFonts w:ascii="Palatino Linotype" w:eastAsia="Palatino Linotype" w:hAnsi="Palatino Linotype"/>
          <w:i/>
        </w:rPr>
        <w:t xml:space="preserve">El </w:t>
      </w:r>
      <w:r w:rsidRPr="00121BAE">
        <w:rPr>
          <w:rFonts w:ascii="Palatino Linotype" w:eastAsia="Palatino Linotype" w:hAnsi="Palatino Linotype"/>
          <w:b/>
          <w:i/>
        </w:rPr>
        <w:t>PARTE DE NOVEDADES</w:t>
      </w:r>
      <w:r w:rsidRPr="00121BAE">
        <w:rPr>
          <w:rFonts w:ascii="Palatino Linotype" w:eastAsia="Palatino Linotype" w:hAnsi="Palatino Linotype"/>
          <w:i/>
        </w:rPr>
        <w:t xml:space="preserve"> es la presentación por escrito de los hechos relevantes del turno.</w:t>
      </w:r>
    </w:p>
    <w:p w:rsidR="00C45A9C" w:rsidRPr="00121BAE" w:rsidRDefault="00C45A9C" w:rsidP="00C45A9C">
      <w:pPr>
        <w:pStyle w:val="Sinespaciado"/>
        <w:spacing w:line="360" w:lineRule="auto"/>
        <w:ind w:left="720"/>
        <w:jc w:val="both"/>
        <w:rPr>
          <w:rFonts w:ascii="Palatino Linotype" w:eastAsia="Palatino Linotype" w:hAnsi="Palatino Linotype"/>
          <w:i/>
        </w:rPr>
      </w:pPr>
    </w:p>
    <w:p w:rsidR="00C45A9C" w:rsidRPr="00121BAE" w:rsidRDefault="00C45A9C" w:rsidP="00C45A9C">
      <w:pPr>
        <w:pStyle w:val="Sinespaciado"/>
        <w:numPr>
          <w:ilvl w:val="0"/>
          <w:numId w:val="18"/>
        </w:numPr>
        <w:spacing w:line="360" w:lineRule="auto"/>
        <w:jc w:val="both"/>
        <w:rPr>
          <w:rFonts w:ascii="Palatino Linotype" w:eastAsia="Palatino Linotype" w:hAnsi="Palatino Linotype"/>
          <w:i/>
        </w:rPr>
      </w:pPr>
      <w:r w:rsidRPr="00121BAE">
        <w:rPr>
          <w:rFonts w:ascii="Palatino Linotype" w:eastAsia="Palatino Linotype" w:hAnsi="Palatino Linotype"/>
          <w:i/>
        </w:rPr>
        <w:t xml:space="preserve">El </w:t>
      </w:r>
      <w:r w:rsidRPr="00121BAE">
        <w:rPr>
          <w:rFonts w:ascii="Palatino Linotype" w:eastAsia="Palatino Linotype" w:hAnsi="Palatino Linotype"/>
          <w:b/>
          <w:i/>
        </w:rPr>
        <w:t>PARTE INFORMATIVO</w:t>
      </w:r>
      <w:r w:rsidRPr="00121BAE">
        <w:rPr>
          <w:rFonts w:ascii="Palatino Linotype" w:eastAsia="Palatino Linotype" w:hAnsi="Palatino Linotype"/>
          <w:i/>
        </w:rPr>
        <w:t xml:space="preserve"> es la presentación por escrito de una relación de los hechos involucrados en un hecho específico, como un accidente, una detención o cualquier otra intervención del policía en el ejercicio de sus funciones. El parte informativo normalmente forma parte del inicio de una acción legal y es leído por personas que no estuvieron en el lugar de los hechos</w:t>
      </w:r>
    </w:p>
    <w:p w:rsidR="00C45A9C" w:rsidRPr="00121BAE" w:rsidRDefault="00C45A9C" w:rsidP="00C45A9C">
      <w:pPr>
        <w:spacing w:line="360" w:lineRule="auto"/>
        <w:contextualSpacing/>
        <w:jc w:val="both"/>
        <w:rPr>
          <w:rFonts w:ascii="Palatino Linotype" w:eastAsia="Palatino Linotype" w:hAnsi="Palatino Linotype" w:cs="Palatino Linotype"/>
        </w:rPr>
      </w:pPr>
    </w:p>
    <w:p w:rsidR="00C45A9C" w:rsidRPr="00121BAE" w:rsidRDefault="00C45A9C" w:rsidP="00C45A9C">
      <w:pPr>
        <w:spacing w:line="360" w:lineRule="auto"/>
        <w:contextualSpacing/>
        <w:jc w:val="both"/>
        <w:rPr>
          <w:rFonts w:ascii="Palatino Linotype" w:eastAsia="Palatino Linotype" w:hAnsi="Palatino Linotype" w:cs="Palatino Linotype"/>
        </w:rPr>
      </w:pPr>
      <w:r w:rsidRPr="00121BAE">
        <w:rPr>
          <w:rFonts w:ascii="Palatino Linotype" w:eastAsia="Palatino Linotype" w:hAnsi="Palatino Linotype" w:cs="Palatino Linotype"/>
        </w:rPr>
        <w:t>En ese sentido, el parte de novedades es la presentación por escrito de los hechos relevantes del turno. Esto se realiza ante autoridades municipales, que en el caso de los Ayuntamientos, pudiesen ser, de manera enunciativa más no limitativa, el propio Ayuntamiento incluyendo al Presidente Municipal, el Director de Seguridad Pública Municipal; y los miembros del cuerpo preventivo de seguridad pública en ejercicio de sus funciones.</w:t>
      </w:r>
    </w:p>
    <w:p w:rsidR="00C45A9C" w:rsidRPr="00121BAE" w:rsidRDefault="00C45A9C" w:rsidP="00C45A9C">
      <w:pPr>
        <w:spacing w:line="360" w:lineRule="auto"/>
        <w:contextualSpacing/>
        <w:jc w:val="both"/>
        <w:rPr>
          <w:rFonts w:ascii="Palatino Linotype" w:eastAsia="Palatino Linotype" w:hAnsi="Palatino Linotype" w:cs="Palatino Linotype"/>
        </w:rPr>
      </w:pPr>
    </w:p>
    <w:p w:rsidR="00C45A9C" w:rsidRPr="00121BAE" w:rsidRDefault="00C45A9C" w:rsidP="00C45A9C">
      <w:pPr>
        <w:spacing w:line="360" w:lineRule="auto"/>
        <w:contextualSpacing/>
        <w:jc w:val="both"/>
        <w:rPr>
          <w:rFonts w:ascii="Palatino Linotype" w:eastAsia="Palatino Linotype" w:hAnsi="Palatino Linotype" w:cs="Palatino Linotype"/>
          <w:u w:val="single"/>
        </w:rPr>
      </w:pPr>
      <w:r w:rsidRPr="00121BAE">
        <w:rPr>
          <w:rFonts w:ascii="Palatino Linotype" w:eastAsia="Palatino Linotype" w:hAnsi="Palatino Linotype" w:cs="Palatino Linotype"/>
          <w:u w:val="single"/>
        </w:rPr>
        <w:t>De ese modo, se tiene que el parte de novedades</w:t>
      </w:r>
      <w:r w:rsidRPr="00121BAE">
        <w:rPr>
          <w:rFonts w:ascii="Palatino Linotype" w:eastAsia="Palatino Linotype" w:hAnsi="Palatino Linotype" w:cs="Palatino Linotype"/>
        </w:rPr>
        <w:t xml:space="preserve"> </w:t>
      </w:r>
      <w:r w:rsidRPr="00121BAE">
        <w:rPr>
          <w:rFonts w:ascii="Palatino Linotype" w:eastAsia="Palatino Linotype" w:hAnsi="Palatino Linotype" w:cs="Palatino Linotype"/>
          <w:u w:val="single"/>
        </w:rPr>
        <w:t xml:space="preserve">puede contener información relativa a los nombres de los policías que realizan el turno y la descripción de los hechos relevantes, entre los que se pueden incluir domicilios, nombres de tercero, situaciones relacionadas con hechos </w:t>
      </w:r>
      <w:r w:rsidRPr="00121BAE">
        <w:rPr>
          <w:rFonts w:ascii="Palatino Linotype" w:eastAsia="Palatino Linotype" w:hAnsi="Palatino Linotype" w:cs="Palatino Linotype"/>
          <w:u w:val="single"/>
        </w:rPr>
        <w:lastRenderedPageBreak/>
        <w:t>delictivos, etcétera</w:t>
      </w:r>
      <w:r w:rsidRPr="00121BAE">
        <w:rPr>
          <w:rFonts w:ascii="Palatino Linotype" w:eastAsia="Palatino Linotype" w:hAnsi="Palatino Linotype" w:cs="Palatino Linotype"/>
        </w:rPr>
        <w:t>, en virtud de lo anterior resulta procedente ordenar</w:t>
      </w:r>
      <w:r w:rsidRPr="00121BAE">
        <w:rPr>
          <w:rFonts w:ascii="Palatino Linotype" w:eastAsia="Palatino Linotype" w:hAnsi="Palatino Linotype" w:cs="Palatino Linotype"/>
          <w:u w:val="single"/>
        </w:rPr>
        <w:t xml:space="preserve"> </w:t>
      </w:r>
      <w:r w:rsidRPr="00121BAE">
        <w:rPr>
          <w:rFonts w:ascii="Palatino Linotype" w:hAnsi="Palatino Linotype"/>
          <w:sz w:val="24"/>
          <w:szCs w:val="24"/>
        </w:rPr>
        <w:t>el acuerdo de clasificación emitido por el Comité de Transparencia, en donde de manera fundada y motivada, a través de una prueba de daño, confirme la clasificación como reservada, en términos del artículo 140, fracción I, de la Ley de Transparencia y Acceso a la Información Pública del Estado de México y Municipios, del parte de novedades generado por la Policía Municipal de Tepotzotlán al trece de mayo de dos mil veintiséis.</w:t>
      </w:r>
    </w:p>
    <w:p w:rsidR="00C45A9C" w:rsidRPr="00121BAE" w:rsidRDefault="00C45A9C" w:rsidP="007B09D7">
      <w:pPr>
        <w:keepNext/>
        <w:keepLines/>
        <w:spacing w:line="360" w:lineRule="auto"/>
        <w:jc w:val="both"/>
        <w:outlineLvl w:val="2"/>
        <w:rPr>
          <w:rFonts w:ascii="Palatino Linotype" w:hAnsi="Palatino Linotype"/>
          <w:sz w:val="24"/>
          <w:szCs w:val="24"/>
        </w:rPr>
      </w:pPr>
    </w:p>
    <w:p w:rsidR="007B09D7" w:rsidRPr="00121BAE" w:rsidRDefault="007B09D7" w:rsidP="007B09D7">
      <w:pPr>
        <w:keepNext/>
        <w:keepLines/>
        <w:spacing w:line="360" w:lineRule="auto"/>
        <w:jc w:val="both"/>
        <w:outlineLvl w:val="2"/>
        <w:rPr>
          <w:rFonts w:ascii="Palatino Linotype" w:eastAsia="Palatino Linotype" w:hAnsi="Palatino Linotype" w:cstheme="majorBidi"/>
          <w:b/>
          <w:i/>
          <w:color w:val="000000" w:themeColor="text1"/>
          <w:u w:val="single"/>
          <w:lang w:val="es-ES_tradnl" w:eastAsia="es-MX"/>
        </w:rPr>
      </w:pPr>
      <w:r w:rsidRPr="00121BAE">
        <w:rPr>
          <w:rFonts w:ascii="Palatino Linotype" w:eastAsia="Palatino Linotype" w:hAnsi="Palatino Linotype" w:cstheme="majorBidi"/>
          <w:b/>
          <w:i/>
          <w:color w:val="000000" w:themeColor="text1"/>
          <w:u w:val="single"/>
          <w:lang w:val="es-ES_tradnl" w:eastAsia="es-MX"/>
        </w:rPr>
        <w:t>DE LA VERSIÓN PÚBLICA</w:t>
      </w:r>
    </w:p>
    <w:p w:rsidR="007B09D7" w:rsidRPr="00121BAE" w:rsidRDefault="007B09D7" w:rsidP="007B09D7">
      <w:pPr>
        <w:spacing w:line="360" w:lineRule="auto"/>
        <w:jc w:val="both"/>
        <w:rPr>
          <w:rFonts w:ascii="Palatino Linotype" w:eastAsia="Palatino Linotype" w:hAnsi="Palatino Linotype" w:cs="Palatino Linotype"/>
          <w:sz w:val="24"/>
          <w:szCs w:val="24"/>
          <w:lang w:val="es-ES_tradnl" w:eastAsia="es-MX"/>
        </w:rPr>
      </w:pPr>
      <w:r w:rsidRPr="00121BAE">
        <w:rPr>
          <w:rFonts w:ascii="Palatino Linotype" w:eastAsia="Palatino Linotype" w:hAnsi="Palatino Linotype" w:cs="Palatino Linotype"/>
          <w:sz w:val="24"/>
          <w:szCs w:val="24"/>
          <w:lang w:val="es-ES_tradnl" w:eastAsia="es-MX"/>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Artículo 3.</w:t>
      </w:r>
      <w:r w:rsidRPr="00121BAE">
        <w:rPr>
          <w:rFonts w:ascii="Palatino Linotype" w:eastAsia="Palatino Linotype" w:hAnsi="Palatino Linotype" w:cs="Palatino Linotype"/>
          <w:i/>
          <w:lang w:val="es-ES_tradnl" w:eastAsia="es-MX"/>
        </w:rPr>
        <w:t xml:space="preserve"> Para los efectos de la presente Ley se entenderá por:</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i/>
          <w:lang w:val="es-ES_tradnl" w:eastAsia="es-MX"/>
        </w:rPr>
        <w:t>[…]</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IX. Datos personales:</w:t>
      </w:r>
      <w:r w:rsidRPr="00121BAE">
        <w:rPr>
          <w:rFonts w:ascii="Palatino Linotype" w:eastAsia="Palatino Linotype" w:hAnsi="Palatino Linotype" w:cs="Palatino Linotype"/>
          <w:i/>
          <w:lang w:val="es-ES_tradnl" w:eastAsia="es-MX"/>
        </w:rPr>
        <w:t xml:space="preserve"> La información concerniente a una persona, identificada o identificable según lo dispuesto por la Ley de Protección de Datos Personales del Estado de México; </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XX.</w:t>
      </w:r>
      <w:r w:rsidRPr="00121BAE">
        <w:rPr>
          <w:rFonts w:ascii="Palatino Linotype" w:eastAsia="Palatino Linotype" w:hAnsi="Palatino Linotype" w:cs="Palatino Linotype"/>
          <w:i/>
          <w:lang w:val="es-ES_tradnl" w:eastAsia="es-MX"/>
        </w:rPr>
        <w:t xml:space="preserve"> </w:t>
      </w:r>
      <w:r w:rsidRPr="00121BAE">
        <w:rPr>
          <w:rFonts w:ascii="Palatino Linotype" w:eastAsia="Palatino Linotype" w:hAnsi="Palatino Linotype" w:cs="Palatino Linotype"/>
          <w:b/>
          <w:i/>
          <w:lang w:val="es-ES_tradnl" w:eastAsia="es-MX"/>
        </w:rPr>
        <w:t>Información clasificada:</w:t>
      </w:r>
      <w:r w:rsidRPr="00121BAE">
        <w:rPr>
          <w:rFonts w:ascii="Palatino Linotype" w:eastAsia="Palatino Linotype" w:hAnsi="Palatino Linotype" w:cs="Palatino Linotype"/>
          <w:i/>
          <w:lang w:val="es-ES_tradnl" w:eastAsia="es-MX"/>
        </w:rPr>
        <w:t xml:space="preserve"> Aquella considerada por la presente Ley como reservada o confidencial;</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XXI.</w:t>
      </w:r>
      <w:r w:rsidRPr="00121BAE">
        <w:rPr>
          <w:rFonts w:ascii="Palatino Linotype" w:eastAsia="Palatino Linotype" w:hAnsi="Palatino Linotype" w:cs="Palatino Linotype"/>
          <w:i/>
          <w:lang w:val="es-ES_tradnl" w:eastAsia="es-MX"/>
        </w:rPr>
        <w:t xml:space="preserve"> </w:t>
      </w:r>
      <w:r w:rsidRPr="00121BAE">
        <w:rPr>
          <w:rFonts w:ascii="Palatino Linotype" w:eastAsia="Palatino Linotype" w:hAnsi="Palatino Linotype" w:cs="Palatino Linotype"/>
          <w:b/>
          <w:i/>
          <w:lang w:val="es-ES_tradnl" w:eastAsia="es-MX"/>
        </w:rPr>
        <w:t>Información confidencial:</w:t>
      </w:r>
      <w:r w:rsidRPr="00121BAE">
        <w:rPr>
          <w:rFonts w:ascii="Palatino Linotype" w:eastAsia="Palatino Linotype" w:hAnsi="Palatino Linotype" w:cs="Palatino Linotype"/>
          <w:i/>
          <w:lang w:val="es-ES_tradnl"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lastRenderedPageBreak/>
        <w:t>XLV.</w:t>
      </w:r>
      <w:r w:rsidRPr="00121BAE">
        <w:rPr>
          <w:rFonts w:ascii="Palatino Linotype" w:eastAsia="Palatino Linotype" w:hAnsi="Palatino Linotype" w:cs="Palatino Linotype"/>
          <w:i/>
          <w:lang w:val="es-ES_tradnl" w:eastAsia="es-MX"/>
        </w:rPr>
        <w:t xml:space="preserve"> </w:t>
      </w:r>
      <w:r w:rsidRPr="00121BAE">
        <w:rPr>
          <w:rFonts w:ascii="Palatino Linotype" w:eastAsia="Palatino Linotype" w:hAnsi="Palatino Linotype" w:cs="Palatino Linotype"/>
          <w:b/>
          <w:i/>
          <w:lang w:val="es-ES_tradnl" w:eastAsia="es-MX"/>
        </w:rPr>
        <w:t>Versión pública:</w:t>
      </w:r>
      <w:r w:rsidRPr="00121BAE">
        <w:rPr>
          <w:rFonts w:ascii="Palatino Linotype" w:eastAsia="Palatino Linotype" w:hAnsi="Palatino Linotype" w:cs="Palatino Linotype"/>
          <w:i/>
          <w:lang w:val="es-ES_tradnl" w:eastAsia="es-MX"/>
        </w:rPr>
        <w:t xml:space="preserve"> Documento en el que se elimine, suprime o borra la información clasificada como reservada o confidencial para permitir su acceso.</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i/>
          <w:lang w:val="es-ES_tradnl" w:eastAsia="es-MX"/>
        </w:rPr>
        <w:t>[…]</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 xml:space="preserve">Artículo 91. </w:t>
      </w:r>
      <w:r w:rsidRPr="00121BAE">
        <w:rPr>
          <w:rFonts w:ascii="Palatino Linotype" w:eastAsia="Palatino Linotype" w:hAnsi="Palatino Linotype" w:cs="Palatino Linotype"/>
          <w:i/>
          <w:lang w:val="es-ES_tradnl" w:eastAsia="es-MX"/>
        </w:rPr>
        <w:t>El acceso a la información pública será restringido excepcionalmente, cuando ésta sea clasificada como reservada o confidencial.</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Artículo 132.</w:t>
      </w:r>
      <w:r w:rsidRPr="00121BAE">
        <w:rPr>
          <w:rFonts w:ascii="Palatino Linotype" w:eastAsia="Palatino Linotype" w:hAnsi="Palatino Linotype" w:cs="Palatino Linotype"/>
          <w:i/>
          <w:lang w:val="es-ES_tradnl" w:eastAsia="es-MX"/>
        </w:rPr>
        <w:t xml:space="preserve"> </w:t>
      </w:r>
      <w:r w:rsidRPr="00121BAE">
        <w:rPr>
          <w:rFonts w:ascii="Palatino Linotype" w:eastAsia="Palatino Linotype" w:hAnsi="Palatino Linotype" w:cs="Palatino Linotype"/>
          <w:i/>
          <w:u w:val="single"/>
          <w:lang w:val="es-ES_tradnl" w:eastAsia="es-MX"/>
        </w:rPr>
        <w:t>La clasificación de la información se llevará a cabo en el momento en que</w:t>
      </w:r>
      <w:r w:rsidRPr="00121BAE">
        <w:rPr>
          <w:rFonts w:ascii="Palatino Linotype" w:eastAsia="Palatino Linotype" w:hAnsi="Palatino Linotype" w:cs="Palatino Linotype"/>
          <w:i/>
          <w:lang w:val="es-ES_tradnl" w:eastAsia="es-MX"/>
        </w:rPr>
        <w:t>:</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I.</w:t>
      </w:r>
      <w:r w:rsidRPr="00121BAE">
        <w:rPr>
          <w:rFonts w:ascii="Palatino Linotype" w:eastAsia="Palatino Linotype" w:hAnsi="Palatino Linotype" w:cs="Palatino Linotype"/>
          <w:i/>
          <w:lang w:val="es-ES_tradnl" w:eastAsia="es-MX"/>
        </w:rPr>
        <w:t xml:space="preserve"> Se reciba una solicitud de acceso a la información;</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II.</w:t>
      </w:r>
      <w:r w:rsidRPr="00121BAE">
        <w:rPr>
          <w:rFonts w:ascii="Palatino Linotype" w:eastAsia="Palatino Linotype" w:hAnsi="Palatino Linotype" w:cs="Palatino Linotype"/>
          <w:i/>
          <w:lang w:val="es-ES_tradnl" w:eastAsia="es-MX"/>
        </w:rPr>
        <w:t xml:space="preserve"> </w:t>
      </w:r>
      <w:r w:rsidRPr="00121BAE">
        <w:rPr>
          <w:rFonts w:ascii="Palatino Linotype" w:eastAsia="Palatino Linotype" w:hAnsi="Palatino Linotype" w:cs="Palatino Linotype"/>
          <w:i/>
          <w:u w:val="single"/>
          <w:lang w:val="es-ES_tradnl" w:eastAsia="es-MX"/>
        </w:rPr>
        <w:t>Se determine mediante resolución de autoridad competente; o</w:t>
      </w:r>
    </w:p>
    <w:p w:rsidR="007B09D7" w:rsidRPr="00121BAE" w:rsidRDefault="007B09D7" w:rsidP="007B09D7">
      <w:pPr>
        <w:ind w:left="567" w:right="567"/>
        <w:jc w:val="both"/>
        <w:rPr>
          <w:rFonts w:ascii="Palatino Linotype" w:eastAsia="Palatino Linotype" w:hAnsi="Palatino Linotype" w:cs="Palatino Linotype"/>
          <w:i/>
          <w:u w:val="single"/>
          <w:lang w:val="es-ES_tradnl" w:eastAsia="es-MX"/>
        </w:rPr>
      </w:pPr>
      <w:r w:rsidRPr="00121BAE">
        <w:rPr>
          <w:rFonts w:ascii="Palatino Linotype" w:eastAsia="Palatino Linotype" w:hAnsi="Palatino Linotype" w:cs="Palatino Linotype"/>
          <w:b/>
          <w:i/>
          <w:lang w:val="es-ES_tradnl" w:eastAsia="es-MX"/>
        </w:rPr>
        <w:t>III.</w:t>
      </w:r>
      <w:r w:rsidRPr="00121BAE">
        <w:rPr>
          <w:rFonts w:ascii="Palatino Linotype" w:eastAsia="Palatino Linotype" w:hAnsi="Palatino Linotype" w:cs="Palatino Linotype"/>
          <w:i/>
          <w:lang w:val="es-ES_tradnl" w:eastAsia="es-MX"/>
        </w:rPr>
        <w:t xml:space="preserve"> </w:t>
      </w:r>
      <w:r w:rsidRPr="00121BAE">
        <w:rPr>
          <w:rFonts w:ascii="Palatino Linotype" w:eastAsia="Palatino Linotype" w:hAnsi="Palatino Linotype" w:cs="Palatino Linotype"/>
          <w:i/>
          <w:u w:val="single"/>
          <w:lang w:val="es-ES_tradnl" w:eastAsia="es-MX"/>
        </w:rPr>
        <w:t>Se generen versiones públicas para dar cumplimiento a las obligaciones de transparencia previstas en esta Ley.</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i/>
          <w:lang w:val="es-ES_tradnl" w:eastAsia="es-MX"/>
        </w:rPr>
        <w:t>[…]</w:t>
      </w:r>
    </w:p>
    <w:p w:rsidR="007B09D7" w:rsidRPr="00121BAE" w:rsidRDefault="007B09D7" w:rsidP="007B09D7">
      <w:pPr>
        <w:spacing w:line="360" w:lineRule="auto"/>
        <w:jc w:val="both"/>
        <w:rPr>
          <w:rFonts w:ascii="Palatino Linotype" w:eastAsia="Palatino Linotype" w:hAnsi="Palatino Linotype" w:cs="Palatino Linotype"/>
          <w:i/>
          <w:lang w:val="es-ES_tradnl" w:eastAsia="es-MX"/>
        </w:rPr>
      </w:pPr>
    </w:p>
    <w:p w:rsidR="007B09D7" w:rsidRPr="00121BAE" w:rsidRDefault="007B09D7" w:rsidP="007B09D7">
      <w:pPr>
        <w:spacing w:line="360" w:lineRule="auto"/>
        <w:jc w:val="both"/>
        <w:rPr>
          <w:rFonts w:ascii="Palatino Linotype" w:eastAsia="Palatino Linotype" w:hAnsi="Palatino Linotype" w:cs="Palatino Linotype"/>
          <w:sz w:val="24"/>
          <w:szCs w:val="24"/>
          <w:lang w:val="es-ES_tradnl" w:eastAsia="es-MX"/>
        </w:rPr>
      </w:pPr>
      <w:r w:rsidRPr="00121BAE">
        <w:rPr>
          <w:rFonts w:ascii="Palatino Linotype" w:eastAsia="Palatino Linotype" w:hAnsi="Palatino Linotype" w:cs="Palatino Linotype"/>
          <w:sz w:val="24"/>
          <w:szCs w:val="24"/>
          <w:lang w:val="es-ES_tradnl" w:eastAsia="es-MX"/>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r w:rsidR="00845352" w:rsidRPr="00121BAE">
        <w:rPr>
          <w:rFonts w:ascii="Palatino Linotype" w:eastAsia="Palatino Linotype" w:hAnsi="Palatino Linotype" w:cs="Palatino Linotype"/>
          <w:sz w:val="24"/>
          <w:szCs w:val="24"/>
          <w:lang w:val="es-ES_tradnl" w:eastAsia="es-MX"/>
        </w:rPr>
        <w:t xml:space="preserve"> </w:t>
      </w:r>
      <w:r w:rsidRPr="00121BAE">
        <w:rPr>
          <w:rFonts w:ascii="Palatino Linotype" w:eastAsia="Palatino Linotype" w:hAnsi="Palatino Linotype" w:cs="Palatino Linotype"/>
          <w:sz w:val="24"/>
          <w:szCs w:val="24"/>
          <w:lang w:val="es-ES_tradnl" w:eastAsia="es-MX"/>
        </w:rPr>
        <w:t xml:space="preserve">Por otro lado, los </w:t>
      </w:r>
      <w:r w:rsidRPr="00121BAE">
        <w:rPr>
          <w:rFonts w:ascii="Palatino Linotype" w:eastAsia="Palatino Linotype" w:hAnsi="Palatino Linotype" w:cs="Palatino Linotype"/>
          <w:iCs/>
          <w:sz w:val="24"/>
          <w:szCs w:val="24"/>
          <w:lang w:val="es-ES_tradnl" w:eastAsia="es-MX"/>
        </w:rPr>
        <w:t>Lineamientos Generales en Materia de Clasificación y Desclasificación de la Información, así como para la elaboración de Versiones Públicas</w:t>
      </w:r>
      <w:r w:rsidRPr="00121BAE">
        <w:rPr>
          <w:rFonts w:ascii="Palatino Linotype" w:eastAsia="Palatino Linotype" w:hAnsi="Palatino Linotype" w:cs="Palatino Linotype"/>
          <w:sz w:val="24"/>
          <w:szCs w:val="24"/>
          <w:lang w:val="es-ES_tradnl" w:eastAsia="es-MX"/>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w:t>
      </w:r>
      <w:r w:rsidRPr="00121BAE">
        <w:rPr>
          <w:rFonts w:ascii="Palatino Linotype" w:eastAsia="Palatino Linotype" w:hAnsi="Palatino Linotype" w:cs="Palatino Linotype"/>
          <w:sz w:val="24"/>
          <w:szCs w:val="24"/>
          <w:lang w:val="es-ES_tradnl" w:eastAsia="es-MX"/>
        </w:rPr>
        <w:lastRenderedPageBreak/>
        <w:t>en su caso, versiones públicas de expedientes o documentos que contengan partes o secciones clasificadas.</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Cabe precisar que la información que se ordena puede tener datos personales confidenciales e incluso información que sea reservada, por tanto, para la elaboración de las versiones públicas, se deberá tomar en consideración la posibilidad de testar parcialmente la información, conforme al análisis a los siguientes:</w:t>
      </w:r>
    </w:p>
    <w:p w:rsidR="007B09D7" w:rsidRPr="00121BAE" w:rsidRDefault="007B09D7" w:rsidP="007B09D7">
      <w:pPr>
        <w:numPr>
          <w:ilvl w:val="0"/>
          <w:numId w:val="9"/>
        </w:numPr>
        <w:spacing w:after="0" w:line="360" w:lineRule="auto"/>
        <w:ind w:left="714" w:hanging="357"/>
        <w:jc w:val="both"/>
        <w:rPr>
          <w:rFonts w:ascii="Palatino Linotype" w:hAnsi="Palatino Linotype"/>
          <w:b/>
          <w:bCs/>
          <w:color w:val="000000"/>
          <w:sz w:val="24"/>
          <w:szCs w:val="24"/>
        </w:rPr>
      </w:pPr>
      <w:bookmarkStart w:id="1" w:name="_heading=h.c7th8vnlnine" w:colFirst="0" w:colLast="0"/>
      <w:bookmarkEnd w:id="1"/>
      <w:r w:rsidRPr="00121BAE">
        <w:rPr>
          <w:rFonts w:ascii="Palatino Linotype" w:hAnsi="Palatino Linotype"/>
          <w:b/>
          <w:bCs/>
          <w:color w:val="000000"/>
          <w:sz w:val="24"/>
          <w:szCs w:val="24"/>
        </w:rPr>
        <w:t>Clave Única de Registro de Población (CURP);</w:t>
      </w:r>
    </w:p>
    <w:p w:rsidR="007B09D7" w:rsidRPr="00121BAE" w:rsidRDefault="007B09D7" w:rsidP="007B09D7">
      <w:pPr>
        <w:numPr>
          <w:ilvl w:val="0"/>
          <w:numId w:val="9"/>
        </w:numPr>
        <w:spacing w:after="0" w:line="360" w:lineRule="auto"/>
        <w:ind w:left="714" w:hanging="357"/>
        <w:jc w:val="both"/>
        <w:rPr>
          <w:rFonts w:ascii="Palatino Linotype" w:hAnsi="Palatino Linotype"/>
          <w:b/>
          <w:bCs/>
          <w:color w:val="000000"/>
          <w:sz w:val="24"/>
          <w:szCs w:val="24"/>
        </w:rPr>
      </w:pPr>
      <w:r w:rsidRPr="00121BAE">
        <w:rPr>
          <w:rFonts w:ascii="Palatino Linotype" w:hAnsi="Palatino Linotype"/>
          <w:b/>
          <w:bCs/>
          <w:color w:val="000000"/>
          <w:sz w:val="24"/>
          <w:szCs w:val="24"/>
        </w:rPr>
        <w:t>Registro Federal de Contribuyentes del servidor público (RFC); y de proveedores</w:t>
      </w:r>
    </w:p>
    <w:p w:rsidR="007B09D7" w:rsidRPr="00121BAE" w:rsidRDefault="007B09D7" w:rsidP="007B09D7">
      <w:pPr>
        <w:numPr>
          <w:ilvl w:val="0"/>
          <w:numId w:val="9"/>
        </w:numPr>
        <w:pBdr>
          <w:top w:val="nil"/>
          <w:left w:val="nil"/>
          <w:bottom w:val="nil"/>
          <w:right w:val="nil"/>
          <w:between w:val="nil"/>
        </w:pBdr>
        <w:spacing w:after="0" w:line="360" w:lineRule="auto"/>
        <w:ind w:left="714" w:hanging="357"/>
        <w:jc w:val="both"/>
        <w:rPr>
          <w:rFonts w:ascii="Palatino Linotype" w:hAnsi="Palatino Linotype"/>
          <w:b/>
          <w:bCs/>
          <w:color w:val="000000"/>
          <w:sz w:val="24"/>
          <w:szCs w:val="24"/>
        </w:rPr>
      </w:pPr>
      <w:r w:rsidRPr="00121BAE">
        <w:rPr>
          <w:rFonts w:ascii="Palatino Linotype" w:hAnsi="Palatino Linotype"/>
          <w:b/>
          <w:bCs/>
          <w:color w:val="000000"/>
          <w:sz w:val="24"/>
          <w:szCs w:val="24"/>
        </w:rPr>
        <w:t>Sellos digitales del emisor y del Servicio de Administración Tributaria, y</w:t>
      </w:r>
    </w:p>
    <w:p w:rsidR="007B09D7" w:rsidRPr="00121BAE" w:rsidRDefault="007B09D7" w:rsidP="007B09D7">
      <w:pPr>
        <w:numPr>
          <w:ilvl w:val="0"/>
          <w:numId w:val="9"/>
        </w:numPr>
        <w:spacing w:after="0" w:line="360" w:lineRule="auto"/>
        <w:ind w:left="714" w:hanging="357"/>
        <w:jc w:val="both"/>
        <w:rPr>
          <w:rFonts w:ascii="Palatino Linotype" w:hAnsi="Palatino Linotype"/>
          <w:color w:val="000000"/>
          <w:sz w:val="24"/>
          <w:szCs w:val="24"/>
        </w:rPr>
      </w:pPr>
      <w:r w:rsidRPr="00121BAE">
        <w:rPr>
          <w:rFonts w:ascii="Palatino Linotype" w:hAnsi="Palatino Linotype"/>
          <w:b/>
          <w:bCs/>
          <w:color w:val="000000"/>
          <w:sz w:val="24"/>
          <w:szCs w:val="24"/>
        </w:rPr>
        <w:t>Datos Bancarios de Particulares.</w:t>
      </w:r>
    </w:p>
    <w:p w:rsidR="007B09D7" w:rsidRPr="00121BAE" w:rsidRDefault="007B09D7" w:rsidP="007B09D7">
      <w:pPr>
        <w:spacing w:after="0" w:line="360" w:lineRule="auto"/>
        <w:ind w:right="-28"/>
        <w:jc w:val="both"/>
        <w:rPr>
          <w:rFonts w:ascii="Palatino Linotype" w:hAnsi="Palatino Linotype"/>
          <w:color w:val="000000"/>
          <w:sz w:val="24"/>
          <w:szCs w:val="24"/>
        </w:rPr>
      </w:pPr>
    </w:p>
    <w:p w:rsidR="007B09D7" w:rsidRPr="00121BAE" w:rsidRDefault="007B09D7" w:rsidP="007B09D7">
      <w:pPr>
        <w:spacing w:after="0" w:line="360" w:lineRule="auto"/>
        <w:ind w:right="-28"/>
        <w:jc w:val="both"/>
        <w:rPr>
          <w:rFonts w:ascii="Palatino Linotype" w:hAnsi="Palatino Linotype"/>
          <w:color w:val="000000"/>
          <w:sz w:val="24"/>
          <w:szCs w:val="24"/>
        </w:rPr>
      </w:pPr>
      <w:r w:rsidRPr="00121BAE">
        <w:rPr>
          <w:rFonts w:ascii="Palatino Linotype" w:hAnsi="Palatino Linotype"/>
          <w:color w:val="000000"/>
          <w:sz w:val="24"/>
          <w:szCs w:val="24"/>
        </w:rPr>
        <w:t>De lo anterior, resulta procedente analizar si dichos datos son públicos o privados; en principio, cabe mencionar que el artículo 143, fracción I, de la Ley previamente citada, establece que la información privada y los datos personales, concernientes a una persona física o jurídica colectiva identificada o identificable son confidenciales.</w:t>
      </w:r>
    </w:p>
    <w:p w:rsidR="007B09D7" w:rsidRPr="00121BAE" w:rsidRDefault="007B09D7" w:rsidP="007B09D7">
      <w:pPr>
        <w:spacing w:after="0" w:line="360" w:lineRule="auto"/>
        <w:ind w:right="-28"/>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w:t>
      </w:r>
      <w:r w:rsidRPr="00121BAE">
        <w:rPr>
          <w:rFonts w:ascii="Palatino Linotype" w:hAnsi="Palatino Linotype"/>
          <w:color w:val="000000"/>
          <w:sz w:val="24"/>
          <w:szCs w:val="24"/>
        </w:rPr>
        <w:lastRenderedPageBreak/>
        <w:t>salubridad general o v) para proteger los derechos de terceros o cuando se transmita entre sujetos obligados en términos de los tratados y los acuerdos interinstitucionales.</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En este sentido, un dato personal es cualquier información que pueda hacer a una persona física o jurídica colectiva identificada e identificable; por lo que, bajo dicha circunstancia, se analizarán si los datos mencionados, deben ser considerados confidenciales, en términos del artículo 143, fracción I, de la Ley de Transparencia y Acceso a la Información Pública del Estado de México y Municipios, o públicos.</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numPr>
          <w:ilvl w:val="0"/>
          <w:numId w:val="4"/>
        </w:numPr>
        <w:pBdr>
          <w:top w:val="nil"/>
          <w:left w:val="nil"/>
          <w:bottom w:val="nil"/>
          <w:right w:val="nil"/>
          <w:between w:val="nil"/>
        </w:pBdr>
        <w:spacing w:after="0" w:line="360" w:lineRule="auto"/>
        <w:jc w:val="both"/>
        <w:rPr>
          <w:rFonts w:ascii="Palatino Linotype" w:hAnsi="Palatino Linotype"/>
          <w:b/>
          <w:bCs/>
          <w:color w:val="000000"/>
          <w:sz w:val="24"/>
          <w:szCs w:val="24"/>
        </w:rPr>
      </w:pPr>
      <w:r w:rsidRPr="00121BAE">
        <w:rPr>
          <w:rFonts w:ascii="Palatino Linotype" w:hAnsi="Palatino Linotype"/>
          <w:b/>
          <w:bCs/>
          <w:color w:val="000000"/>
          <w:sz w:val="24"/>
          <w:szCs w:val="24"/>
        </w:rPr>
        <w:t>Clave Única de Registro de Población (CURP)</w:t>
      </w:r>
    </w:p>
    <w:p w:rsidR="00845352"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lastRenderedPageBreak/>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En ese orden de ideas, la Secretaría de Gobernación en las direcciones </w:t>
      </w:r>
      <w:hyperlink r:id="rId8">
        <w:r w:rsidRPr="00121BAE">
          <w:rPr>
            <w:rFonts w:ascii="Palatino Linotype" w:hAnsi="Palatino Linotype"/>
            <w:color w:val="0563C1"/>
            <w:sz w:val="24"/>
            <w:szCs w:val="24"/>
            <w:u w:val="single"/>
          </w:rPr>
          <w:t>https://consultas.curp.gob.mx/CurpSP/html/informacionecurpPS.html</w:t>
        </w:r>
      </w:hyperlink>
      <w:r w:rsidRPr="00121BAE">
        <w:rPr>
          <w:rFonts w:ascii="Palatino Linotype" w:hAnsi="Palatino Linotype"/>
          <w:color w:val="000000"/>
          <w:sz w:val="24"/>
          <w:szCs w:val="24"/>
        </w:rPr>
        <w:t xml:space="preserve"> y </w:t>
      </w:r>
      <w:hyperlink r:id="rId9">
        <w:r w:rsidRPr="00121BAE">
          <w:rPr>
            <w:rFonts w:ascii="Palatino Linotype" w:hAnsi="Palatino Linotype"/>
            <w:color w:val="0563C1"/>
            <w:sz w:val="24"/>
            <w:szCs w:val="24"/>
            <w:u w:val="single"/>
          </w:rPr>
          <w:t>https://www.gob.mx/segob/renapo/acciones-y-programas/clave-unica-de-registro-de-poblacion-curp-142226</w:t>
        </w:r>
      </w:hyperlink>
      <w:r w:rsidRPr="00121BAE">
        <w:rPr>
          <w:rFonts w:ascii="Palatino Linotype" w:hAnsi="Palatino Linotype"/>
          <w:color w:val="000000"/>
          <w:sz w:val="24"/>
          <w:szCs w:val="24"/>
        </w:rPr>
        <w:t xml:space="preserve"> (consultadas el seis de junio de dos mil veintidós), estableció que la Clave Única del Registro de Población, es un instrumento de registro que se asigna a todas las personas que viven en el territorio nacional, así como a los mexicanos que residen en el extranjero y se compone de dieciocho elementos, representados por letras y números, que </w:t>
      </w:r>
      <w:r w:rsidRPr="00121BAE">
        <w:rPr>
          <w:rFonts w:ascii="Palatino Linotype" w:hAnsi="Palatino Linotype"/>
          <w:b/>
          <w:bCs/>
          <w:color w:val="000000"/>
          <w:sz w:val="24"/>
          <w:szCs w:val="24"/>
        </w:rPr>
        <w:t>se generan a partir de los datos contenidos en el documento probatorio de la identidad</w:t>
      </w:r>
      <w:r w:rsidRPr="00121BAE">
        <w:rPr>
          <w:rFonts w:ascii="Palatino Linotype" w:hAnsi="Palatino Linotype"/>
          <w:color w:val="000000"/>
          <w:sz w:val="24"/>
          <w:szCs w:val="24"/>
        </w:rPr>
        <w:t xml:space="preserve"> </w:t>
      </w:r>
      <w:r w:rsidRPr="00121BAE">
        <w:rPr>
          <w:rFonts w:ascii="Palatino Linotype" w:hAnsi="Palatino Linotype"/>
          <w:b/>
          <w:bCs/>
          <w:color w:val="000000"/>
          <w:sz w:val="24"/>
          <w:szCs w:val="24"/>
        </w:rPr>
        <w:t xml:space="preserve">del interesado </w:t>
      </w:r>
      <w:r w:rsidRPr="00121BAE">
        <w:rPr>
          <w:rFonts w:ascii="Palatino Linotype" w:hAnsi="Palatino Linotype"/>
          <w:color w:val="000000"/>
          <w:sz w:val="24"/>
          <w:szCs w:val="24"/>
        </w:rPr>
        <w:t>(acta de nacimiento, carta de naturalización o documento migratorio) de la siguiente forma:</w:t>
      </w:r>
    </w:p>
    <w:p w:rsidR="007B09D7" w:rsidRPr="00121BAE" w:rsidRDefault="007B09D7" w:rsidP="007B09D7">
      <w:pPr>
        <w:numPr>
          <w:ilvl w:val="0"/>
          <w:numId w:val="3"/>
        </w:num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El primero y segundo apellidos, así como al nombre de pila;</w:t>
      </w:r>
    </w:p>
    <w:p w:rsidR="007B09D7" w:rsidRPr="00121BAE" w:rsidRDefault="007B09D7" w:rsidP="007B09D7">
      <w:pPr>
        <w:numPr>
          <w:ilvl w:val="0"/>
          <w:numId w:val="3"/>
        </w:num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La fecha de nacimiento;</w:t>
      </w:r>
    </w:p>
    <w:p w:rsidR="007B09D7" w:rsidRPr="00121BAE" w:rsidRDefault="007B09D7" w:rsidP="007B09D7">
      <w:pPr>
        <w:numPr>
          <w:ilvl w:val="0"/>
          <w:numId w:val="3"/>
        </w:num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El sexo, y</w:t>
      </w:r>
    </w:p>
    <w:p w:rsidR="007B09D7" w:rsidRPr="00121BAE" w:rsidRDefault="007B09D7" w:rsidP="007B09D7">
      <w:pPr>
        <w:numPr>
          <w:ilvl w:val="0"/>
          <w:numId w:val="3"/>
        </w:num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La entidad federativa de nacimiento.</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Los dos últimos elementos de la Clave Única de Registro de Población evitan la duplicidad de la Clave y garantizan su correcta integración. Como se desprende de lo anterior, la Clave Única de Registro de Población es un dato personal confidencial, ya </w:t>
      </w:r>
      <w:r w:rsidRPr="00121BAE">
        <w:rPr>
          <w:rFonts w:ascii="Palatino Linotype" w:hAnsi="Palatino Linotype"/>
          <w:color w:val="000000"/>
          <w:sz w:val="24"/>
          <w:szCs w:val="24"/>
        </w:rPr>
        <w:lastRenderedPageBreak/>
        <w:t>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Situación que se robustece, con el Criterio Orientador, de la Segunda Época, con número de registro SO/018/2017, emitido por el Instituto Nacional de Transparencia, Acceso a la Información y Protección de Datos Personales, vigente a la fecha de la solicitud, que establece lo siguiente:</w:t>
      </w:r>
    </w:p>
    <w:p w:rsidR="007B09D7" w:rsidRPr="00121BAE" w:rsidRDefault="007B09D7" w:rsidP="007B09D7">
      <w:pPr>
        <w:spacing w:after="0" w:line="360" w:lineRule="auto"/>
        <w:ind w:left="567" w:right="567"/>
        <w:jc w:val="both"/>
        <w:rPr>
          <w:rFonts w:ascii="Palatino Linotype" w:hAnsi="Palatino Linotype"/>
          <w:i/>
          <w:iCs/>
          <w:color w:val="000000"/>
        </w:rPr>
      </w:pPr>
      <w:r w:rsidRPr="00121BAE">
        <w:rPr>
          <w:rFonts w:ascii="Palatino Linotype" w:hAnsi="Palatino Linotype"/>
          <w:b/>
          <w:bCs/>
          <w:i/>
          <w:iCs/>
          <w:color w:val="000000"/>
        </w:rPr>
        <w:t xml:space="preserve">“Clave Única de Registro de Población (CURP). </w:t>
      </w:r>
      <w:r w:rsidRPr="00121BAE">
        <w:rPr>
          <w:rFonts w:ascii="Palatino Linotype" w:hAnsi="Palatino Linotype"/>
          <w:i/>
          <w:iCs/>
          <w:color w:val="000000"/>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rsidR="007B09D7" w:rsidRPr="00121BAE" w:rsidRDefault="007B09D7" w:rsidP="007B09D7">
      <w:pPr>
        <w:spacing w:after="0" w:line="360" w:lineRule="auto"/>
        <w:jc w:val="both"/>
        <w:rPr>
          <w:rFonts w:ascii="Palatino Linotype" w:hAnsi="Palatino Linotype"/>
          <w:color w:val="000000"/>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 </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numPr>
          <w:ilvl w:val="0"/>
          <w:numId w:val="5"/>
        </w:numPr>
        <w:spacing w:after="0" w:line="360" w:lineRule="auto"/>
        <w:jc w:val="both"/>
        <w:rPr>
          <w:rFonts w:ascii="Palatino Linotype" w:hAnsi="Palatino Linotype"/>
          <w:b/>
          <w:bCs/>
          <w:color w:val="000000"/>
          <w:sz w:val="24"/>
          <w:szCs w:val="24"/>
        </w:rPr>
      </w:pPr>
      <w:r w:rsidRPr="00121BAE">
        <w:rPr>
          <w:rFonts w:ascii="Palatino Linotype" w:hAnsi="Palatino Linotype"/>
          <w:b/>
          <w:bCs/>
          <w:color w:val="000000"/>
          <w:sz w:val="24"/>
          <w:szCs w:val="24"/>
        </w:rPr>
        <w:t>Registro Federal de Contribuyentes (RFC) y de Proveedores</w:t>
      </w: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Al respecto, cabe precisar que las personas físicas que deban presentar declaraciones periódicas o que están obligadas a expedir comprobantes fiscales, tienen que solicitar </w:t>
      </w:r>
      <w:r w:rsidRPr="00121BAE">
        <w:rPr>
          <w:rFonts w:ascii="Palatino Linotype" w:hAnsi="Palatino Linotype"/>
          <w:color w:val="000000"/>
          <w:sz w:val="24"/>
          <w:szCs w:val="24"/>
        </w:rPr>
        <w:lastRenderedPageBreak/>
        <w:t>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De acuerdo a lo establecido en el artículo en comento, esta clave se compone de trece caracteres alfanuméricos, con datos obtenidos de los apellidos, nombre(s), fecha de nacimiento del titular, más una homoclave que establece el sistema automático del Servicio de Administración Tributaria.</w:t>
      </w:r>
    </w:p>
    <w:p w:rsidR="00845352" w:rsidRPr="00121BAE" w:rsidRDefault="00845352"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Así, el Registro Federal de Contribuyentes, es un dato personal, ya que hace a las personas físicas </w:t>
      </w:r>
      <w:r w:rsidRPr="00121BAE">
        <w:rPr>
          <w:rFonts w:ascii="Palatino Linotype" w:hAnsi="Palatino Linotype"/>
          <w:sz w:val="24"/>
          <w:szCs w:val="24"/>
        </w:rPr>
        <w:t>identificadas</w:t>
      </w:r>
      <w:r w:rsidRPr="00121BAE">
        <w:rPr>
          <w:rFonts w:ascii="Palatino Linotype" w:hAnsi="Palatino Linotype"/>
          <w:color w:val="000000"/>
          <w:sz w:val="24"/>
          <w:szCs w:val="24"/>
        </w:rPr>
        <w:t xml:space="preserve"> e identificables, además de que las relaciona como contribuyentes de las autoridades fiscales. Es de destacar que dicho dato únicamente sirve para efectos fiscales y pago de contribuciones, por lo que se trata de un dato relevante únicamente para las personas </w:t>
      </w:r>
      <w:r w:rsidRPr="00121BAE">
        <w:rPr>
          <w:rFonts w:ascii="Palatino Linotype" w:hAnsi="Palatino Linotype"/>
          <w:sz w:val="24"/>
          <w:szCs w:val="24"/>
        </w:rPr>
        <w:t>involucradas</w:t>
      </w:r>
      <w:r w:rsidRPr="00121BAE">
        <w:rPr>
          <w:rFonts w:ascii="Palatino Linotype" w:hAnsi="Palatino Linotype"/>
          <w:color w:val="000000"/>
          <w:sz w:val="24"/>
          <w:szCs w:val="24"/>
        </w:rPr>
        <w:t xml:space="preserve">, en el pago de estos, en el presente caso, del pago del Impuesto Sobre el Producto del Trabajo. </w:t>
      </w: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lastRenderedPageBreak/>
        <w:t>Lo anterior, resulta congruente con el Criterio Orientador, de la Segunda Época, con número de registro SO/019/2017, emitido por el entonces Instituto Nacional de Transparencia, Acceso a la Información y Protección de Datos Personales, vigente a la fecha de la solicitud, en el cual se señala lo siguiente:</w:t>
      </w:r>
    </w:p>
    <w:p w:rsidR="007B09D7" w:rsidRPr="00121BAE" w:rsidRDefault="007B09D7" w:rsidP="007B09D7">
      <w:pPr>
        <w:spacing w:after="0" w:line="360" w:lineRule="auto"/>
        <w:ind w:left="567" w:right="567"/>
        <w:jc w:val="both"/>
        <w:rPr>
          <w:rFonts w:ascii="Palatino Linotype" w:hAnsi="Palatino Linotype"/>
          <w:i/>
          <w:iCs/>
          <w:color w:val="000000"/>
        </w:rPr>
      </w:pPr>
      <w:r w:rsidRPr="00121BAE">
        <w:rPr>
          <w:rFonts w:ascii="Palatino Linotype" w:hAnsi="Palatino Linotype"/>
          <w:b/>
          <w:bCs/>
          <w:i/>
          <w:iCs/>
          <w:color w:val="000000"/>
        </w:rPr>
        <w:t>“Registro Federal de Contribuyentes (RFC) de personas físicas.</w:t>
      </w:r>
      <w:r w:rsidRPr="00121BAE">
        <w:rPr>
          <w:rFonts w:ascii="Palatino Linotype" w:hAnsi="Palatino Linotype"/>
          <w:i/>
          <w:iCs/>
          <w:color w:val="000000"/>
        </w:rPr>
        <w:t xml:space="preserve"> El RFC es una clave de carácter fiscal, única e irrepetible, que permite identificar al titular, su edad y fecha de nacimiento, por lo que es un dato personal de carácter confidencial.”</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No debe dejarse de lado, que cualquier persona que pretenda tener cualquier tipo de relación, laboral, empresarial, de trámites, servicios o comercial, para el caso que nos ocupa, debe en cierta medida ceder información relacionada con su vida, en aras de obtener el beneficio pretendido, como formar parte de los proveedores gubernamentales, al respecto, la información sobre la que se debe conceder publicidad sólo es aquella relacionada con el ejercicio de recursos públicos o de funciones y las facturas de pagos de sujetos obligados están vinculadas directamente con el ejercicio de recursos públicos.</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lastRenderedPageBreak/>
        <w:t>Ahora bien, si fuera el caso de que el Código QR diera cuenta del RFC de una persona jurídico-colectiva proveedor de una institución pública y el pago de los conceptos se realizó con recursos públicos; lo anterior se respalda con el Criterio 1/2014, del entonces Instituto Nacional de Transparencia, Acceso a la Información y Protección de Datos Personales (INAI).</w:t>
      </w:r>
    </w:p>
    <w:p w:rsidR="007B09D7" w:rsidRPr="00121BAE" w:rsidRDefault="007B09D7" w:rsidP="007B09D7">
      <w:pPr>
        <w:spacing w:after="0" w:line="360" w:lineRule="auto"/>
        <w:ind w:left="567" w:right="709"/>
        <w:jc w:val="both"/>
        <w:rPr>
          <w:rFonts w:ascii="Palatino Linotype" w:hAnsi="Palatino Linotype"/>
          <w:i/>
          <w:iCs/>
          <w:color w:val="000000"/>
        </w:rPr>
      </w:pPr>
      <w:r w:rsidRPr="00121BAE">
        <w:rPr>
          <w:rFonts w:ascii="Palatino Linotype" w:hAnsi="Palatino Linotype"/>
          <w:b/>
          <w:bCs/>
          <w:i/>
          <w:iCs/>
          <w:color w:val="000000"/>
        </w:rPr>
        <w:t xml:space="preserve">“Denominación o razón social, y Registro Federal de Contribuyentes de personas morales, no constituyen información confidencial. </w:t>
      </w:r>
      <w:r w:rsidRPr="00121BAE">
        <w:rPr>
          <w:rFonts w:ascii="Palatino Linotype" w:hAnsi="Palatino Linotype"/>
          <w:i/>
          <w:iCs/>
          <w:color w:val="000000"/>
        </w:rPr>
        <w:t>La denominación o razón social de personas morales es pública, por encontrarse inscritas en el Registro Público de Comercio. Por lo que respecta a su Registro Federal de Contribuyentes (RFC), en principio, también es público, ya que no se refiere a hechos o actos de carácter económico, contable, jurídico o administrativo que sean útiles o representen una ventaja a sus competidores, en términos de lo dispuesto en el artículo 18, fracción I de la Ley Federal de Transparencia y Acceso a la Información Pública Gubernamental y en el Trigésimo Sexto de los Lineamientos Generales para la clasificación y desclasificación de la información de las dependencias y entidades de la Administración Pública Federal; aunado al hecho de que tampoco se trata de información concerniente a personas físicas, por lo que no puede considerarse un dato personal, con fundamento en lo previsto en el artículo 18, fracción II de ese ordenamiento legal. Por lo anterior, la denominación o razón social, así como el RFC de personas morales, no constituye información confidencial.”</w:t>
      </w:r>
    </w:p>
    <w:p w:rsidR="007B09D7" w:rsidRPr="00121BAE" w:rsidRDefault="007B09D7" w:rsidP="007B09D7">
      <w:pPr>
        <w:spacing w:after="0" w:line="360" w:lineRule="auto"/>
        <w:jc w:val="both"/>
        <w:rPr>
          <w:rFonts w:ascii="Palatino Linotype" w:hAnsi="Palatino Linotype"/>
          <w:b/>
          <w:bCs/>
          <w:color w:val="000000"/>
          <w:sz w:val="24"/>
          <w:szCs w:val="24"/>
          <w:u w:val="single"/>
        </w:rPr>
      </w:pPr>
      <w:r w:rsidRPr="00121BAE">
        <w:rPr>
          <w:rFonts w:ascii="Palatino Linotype" w:hAnsi="Palatino Linotype"/>
          <w:color w:val="000000"/>
          <w:sz w:val="24"/>
          <w:szCs w:val="24"/>
        </w:rPr>
        <w:br/>
      </w:r>
      <w:r w:rsidRPr="00121BAE">
        <w:rPr>
          <w:rFonts w:ascii="Palatino Linotype" w:hAnsi="Palatino Linotype"/>
          <w:b/>
          <w:bCs/>
          <w:color w:val="000000"/>
          <w:sz w:val="24"/>
          <w:szCs w:val="24"/>
          <w:u w:val="single"/>
        </w:rPr>
        <w:t xml:space="preserve">Por lo que el RFC de los proveedores de algún servicio o producto, deberá ser público ya que no actualiza el supuesto jurídico. </w:t>
      </w:r>
    </w:p>
    <w:p w:rsidR="007B09D7" w:rsidRPr="00121BAE" w:rsidRDefault="007B09D7" w:rsidP="007B09D7">
      <w:pPr>
        <w:tabs>
          <w:tab w:val="center" w:pos="4522"/>
        </w:tabs>
        <w:spacing w:after="0" w:line="360" w:lineRule="auto"/>
        <w:jc w:val="both"/>
        <w:rPr>
          <w:rFonts w:ascii="Palatino Linotype" w:hAnsi="Palatino Linotype"/>
          <w:color w:val="000000"/>
          <w:sz w:val="24"/>
          <w:szCs w:val="24"/>
        </w:rPr>
      </w:pPr>
    </w:p>
    <w:p w:rsidR="007B09D7" w:rsidRPr="00121BAE" w:rsidRDefault="007B09D7" w:rsidP="007B09D7">
      <w:pPr>
        <w:numPr>
          <w:ilvl w:val="0"/>
          <w:numId w:val="6"/>
        </w:numPr>
        <w:spacing w:after="0" w:line="360" w:lineRule="auto"/>
        <w:jc w:val="both"/>
        <w:rPr>
          <w:rFonts w:ascii="Palatino Linotype" w:hAnsi="Palatino Linotype"/>
          <w:sz w:val="24"/>
          <w:szCs w:val="24"/>
        </w:rPr>
      </w:pPr>
      <w:r w:rsidRPr="00121BAE">
        <w:rPr>
          <w:rFonts w:ascii="Palatino Linotype" w:hAnsi="Palatino Linotype"/>
          <w:b/>
          <w:bCs/>
          <w:sz w:val="24"/>
          <w:szCs w:val="24"/>
        </w:rPr>
        <w:lastRenderedPageBreak/>
        <w:t>Sellos digitales del emisor y del Servicio de Administración Tributaria y cadena original del complemento de certificación digital del organismo previamente señalado</w:t>
      </w:r>
    </w:p>
    <w:p w:rsidR="007B09D7" w:rsidRPr="00121BAE" w:rsidRDefault="007B09D7" w:rsidP="007B09D7">
      <w:pPr>
        <w:spacing w:after="0" w:line="360" w:lineRule="auto"/>
        <w:ind w:left="720"/>
        <w:jc w:val="both"/>
        <w:rPr>
          <w:rFonts w:ascii="Palatino Linotype" w:hAnsi="Palatino Linotype"/>
          <w:b/>
          <w:bCs/>
          <w:sz w:val="24"/>
          <w:szCs w:val="24"/>
        </w:rPr>
      </w:pPr>
    </w:p>
    <w:p w:rsidR="007B09D7" w:rsidRPr="00121BAE" w:rsidRDefault="007B09D7" w:rsidP="007B09D7">
      <w:pPr>
        <w:spacing w:after="0" w:line="360" w:lineRule="auto"/>
        <w:jc w:val="both"/>
        <w:rPr>
          <w:rFonts w:ascii="Palatino Linotype" w:hAnsi="Palatino Linotype"/>
          <w:sz w:val="24"/>
          <w:szCs w:val="24"/>
        </w:rPr>
      </w:pPr>
      <w:r w:rsidRPr="00121BAE">
        <w:rPr>
          <w:rFonts w:ascii="Palatino Linotype" w:hAnsi="Palatino Linotype"/>
          <w:sz w:val="24"/>
          <w:szCs w:val="24"/>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bien, dichas cadenas sí derivan de la información personal de los contribuyentes, está se encuentra encriptada como se verá a continuación.</w:t>
      </w:r>
    </w:p>
    <w:p w:rsidR="007B09D7" w:rsidRPr="00121BAE" w:rsidRDefault="007B09D7" w:rsidP="007B09D7">
      <w:pPr>
        <w:spacing w:after="0" w:line="360" w:lineRule="auto"/>
        <w:jc w:val="both"/>
        <w:rPr>
          <w:rFonts w:ascii="Palatino Linotype" w:hAnsi="Palatino Linotype"/>
          <w:sz w:val="24"/>
          <w:szCs w:val="24"/>
        </w:rPr>
      </w:pPr>
      <w:r w:rsidRPr="00121BAE">
        <w:rPr>
          <w:rFonts w:ascii="Palatino Linotype" w:hAnsi="Palatino Linotype"/>
          <w:sz w:val="24"/>
          <w:szCs w:val="24"/>
        </w:rPr>
        <w:t> </w:t>
      </w:r>
    </w:p>
    <w:p w:rsidR="007B09D7" w:rsidRPr="00121BAE" w:rsidRDefault="007B09D7" w:rsidP="007B09D7">
      <w:pPr>
        <w:spacing w:after="0" w:line="360" w:lineRule="auto"/>
        <w:jc w:val="both"/>
        <w:rPr>
          <w:rFonts w:ascii="Palatino Linotype" w:hAnsi="Palatino Linotype"/>
          <w:sz w:val="24"/>
          <w:szCs w:val="24"/>
        </w:rPr>
      </w:pPr>
      <w:r w:rsidRPr="00121BAE">
        <w:rPr>
          <w:rFonts w:ascii="Palatino Linotype" w:hAnsi="Palatino Linotype"/>
          <w:sz w:val="24"/>
          <w:szCs w:val="24"/>
        </w:rPr>
        <w:t>Las cadenas originales y sellos que se agregan a las facturas</w:t>
      </w:r>
      <w:r w:rsidRPr="00121BAE">
        <w:rPr>
          <w:rFonts w:ascii="Palatino Linotype" w:hAnsi="Palatino Linotype"/>
          <w:b/>
          <w:bCs/>
          <w:sz w:val="24"/>
          <w:szCs w:val="24"/>
        </w:rPr>
        <w:t>,</w:t>
      </w:r>
      <w:r w:rsidRPr="00121BAE">
        <w:rPr>
          <w:rFonts w:ascii="Palatino Linotype" w:hAnsi="Palatino Linotype"/>
          <w:sz w:val="24"/>
          <w:szCs w:val="24"/>
        </w:rPr>
        <w:t xml:space="preserve"> tienen una secuencia de generación, determinados con base en el ANEXO 20 de la Segunda Resolución de modificaciones a la Resolución Miscelánea Fiscal,  que precisa los datos de los que se componen los elementos de seguridad y se puntualiza que dicha información está encriptada.</w:t>
      </w: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w:t>
      </w: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Elementos utilizados en la generación de Sellos Digitales:</w:t>
      </w:r>
    </w:p>
    <w:p w:rsidR="007B09D7" w:rsidRPr="00121BAE" w:rsidRDefault="007B09D7" w:rsidP="007B09D7">
      <w:pPr>
        <w:spacing w:after="0" w:line="360" w:lineRule="auto"/>
        <w:ind w:left="567" w:right="539"/>
        <w:jc w:val="both"/>
        <w:rPr>
          <w:rFonts w:ascii="Palatino Linotype" w:hAnsi="Palatino Linotype"/>
          <w:i/>
          <w:iCs/>
        </w:rPr>
      </w:pP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lastRenderedPageBreak/>
        <w:t>•</w:t>
      </w:r>
      <w:r w:rsidRPr="00121BAE">
        <w:rPr>
          <w:rFonts w:ascii="Palatino Linotype" w:hAnsi="Palatino Linotype"/>
          <w:i/>
          <w:iCs/>
        </w:rPr>
        <w:tab/>
        <w:t>Cadena Original, el elemento a sellar, en este caso de un comprobante fiscal digital a través de Internet.</w:t>
      </w: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w:t>
      </w:r>
      <w:r w:rsidRPr="00121BAE">
        <w:rPr>
          <w:rFonts w:ascii="Palatino Linotype" w:hAnsi="Palatino Linotype"/>
          <w:i/>
          <w:iCs/>
        </w:rPr>
        <w:tab/>
        <w:t>Certificado de Sello Digital y su correspondiente clave privada.</w:t>
      </w: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w:t>
      </w:r>
      <w:r w:rsidRPr="00121BAE">
        <w:rPr>
          <w:rFonts w:ascii="Palatino Linotype" w:hAnsi="Palatino Linotype"/>
          <w:i/>
          <w:iCs/>
        </w:rPr>
        <w:tab/>
        <w:t>Algoritmos de criptografía de clave pública para firma electrónica avanzada.</w:t>
      </w: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w:t>
      </w:r>
      <w:r w:rsidRPr="00121BAE">
        <w:rPr>
          <w:rFonts w:ascii="Palatino Linotype" w:hAnsi="Palatino Linotype"/>
          <w:i/>
          <w:iCs/>
        </w:rPr>
        <w:tab/>
        <w:t>Especificaciones de conversión de la firma electrónica avanzada a Base 64.</w:t>
      </w: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Para la generación de sellos digitales se utiliza criptografía de clave pública aplicada a una cadena original.</w:t>
      </w:r>
    </w:p>
    <w:p w:rsidR="007B09D7" w:rsidRPr="00121BAE" w:rsidRDefault="007B09D7" w:rsidP="007B09D7">
      <w:pPr>
        <w:spacing w:after="0" w:line="360" w:lineRule="auto"/>
        <w:ind w:left="567" w:right="539"/>
        <w:jc w:val="both"/>
        <w:rPr>
          <w:rFonts w:ascii="Palatino Linotype" w:hAnsi="Palatino Linotype"/>
          <w:i/>
          <w:iCs/>
        </w:rPr>
      </w:pP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Criptografía de la Clave Pública</w:t>
      </w:r>
    </w:p>
    <w:p w:rsidR="007B09D7" w:rsidRPr="00121BAE" w:rsidRDefault="007B09D7" w:rsidP="007B09D7">
      <w:pPr>
        <w:spacing w:after="0" w:line="360" w:lineRule="auto"/>
        <w:ind w:left="567" w:right="539"/>
        <w:jc w:val="both"/>
        <w:rPr>
          <w:rFonts w:ascii="Palatino Linotype" w:hAnsi="Palatino Linotype"/>
          <w:i/>
          <w:iCs/>
        </w:rPr>
      </w:pP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rsidR="007B09D7" w:rsidRPr="00121BAE" w:rsidRDefault="007B09D7" w:rsidP="007B09D7">
      <w:pPr>
        <w:spacing w:after="0" w:line="360" w:lineRule="auto"/>
        <w:ind w:left="567" w:right="539"/>
        <w:jc w:val="both"/>
        <w:rPr>
          <w:rFonts w:ascii="Palatino Linotype" w:hAnsi="Palatino Linotype"/>
          <w:i/>
          <w:iCs/>
        </w:rPr>
      </w:pPr>
      <w:r w:rsidRPr="00121BAE">
        <w:rPr>
          <w:rFonts w:ascii="Palatino Linotype" w:hAnsi="Palatino Linotype"/>
          <w:i/>
          <w:iCs/>
        </w:rPr>
        <w:t>…”</w:t>
      </w:r>
    </w:p>
    <w:p w:rsidR="007B09D7" w:rsidRPr="00121BAE" w:rsidRDefault="007B09D7" w:rsidP="007B09D7">
      <w:pPr>
        <w:spacing w:after="0" w:line="360" w:lineRule="auto"/>
        <w:jc w:val="both"/>
        <w:rPr>
          <w:rFonts w:ascii="Palatino Linotype" w:hAnsi="Palatino Linotype"/>
          <w:sz w:val="24"/>
          <w:szCs w:val="24"/>
        </w:rPr>
      </w:pPr>
      <w:r w:rsidRPr="00121BAE">
        <w:rPr>
          <w:rFonts w:ascii="Palatino Linotype" w:hAnsi="Palatino Linotype"/>
          <w:sz w:val="24"/>
          <w:szCs w:val="24"/>
        </w:rPr>
        <w:t> </w:t>
      </w:r>
    </w:p>
    <w:p w:rsidR="007B09D7" w:rsidRPr="00121BAE" w:rsidRDefault="007B09D7" w:rsidP="007B09D7">
      <w:pPr>
        <w:spacing w:after="0" w:line="360" w:lineRule="auto"/>
        <w:jc w:val="both"/>
        <w:rPr>
          <w:rFonts w:ascii="Palatino Linotype" w:hAnsi="Palatino Linotype"/>
          <w:sz w:val="24"/>
          <w:szCs w:val="24"/>
        </w:rPr>
      </w:pPr>
      <w:r w:rsidRPr="00121BAE">
        <w:rPr>
          <w:rFonts w:ascii="Palatino Linotype" w:hAnsi="Palatino Linotype"/>
          <w:sz w:val="24"/>
          <w:szCs w:val="24"/>
        </w:rPr>
        <w:t>Es decir, por sí solos las cadenas originales y los sellos originales no contienen datos personales confidenciales, por lo que se considera que no actualizan el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7B09D7" w:rsidRPr="00121BAE" w:rsidRDefault="007B09D7" w:rsidP="007B09D7">
      <w:pPr>
        <w:spacing w:after="0" w:line="360" w:lineRule="auto"/>
        <w:jc w:val="both"/>
        <w:rPr>
          <w:rFonts w:ascii="Palatino Linotype" w:hAnsi="Palatino Linotype"/>
          <w:sz w:val="24"/>
          <w:szCs w:val="24"/>
        </w:rPr>
      </w:pPr>
    </w:p>
    <w:p w:rsidR="007B09D7" w:rsidRPr="00121BAE" w:rsidRDefault="007B09D7" w:rsidP="007B09D7">
      <w:pPr>
        <w:spacing w:after="0" w:line="360" w:lineRule="auto"/>
        <w:jc w:val="both"/>
        <w:rPr>
          <w:rFonts w:ascii="Palatino Linotype" w:hAnsi="Palatino Linotype"/>
          <w:sz w:val="24"/>
          <w:szCs w:val="24"/>
        </w:rPr>
      </w:pPr>
      <w:r w:rsidRPr="00121BAE">
        <w:rPr>
          <w:rFonts w:ascii="Palatino Linotype" w:hAnsi="Palatino Linotype"/>
          <w:sz w:val="24"/>
          <w:szCs w:val="24"/>
        </w:rPr>
        <w:lastRenderedPageBreak/>
        <w:t>Sin embargo, existen ocasiones que las cadenas y sellos se conforman de datos personales, tales como, la Clave Única de Registro de Población, el Registro Federal de Contribuyentes o el número de seguridad social, por lo que, en el caso de que alguno de los datos analizados se conforme de información confidencial, deberá clasificarlo en términos del artículo referido.</w:t>
      </w:r>
    </w:p>
    <w:p w:rsidR="007B09D7" w:rsidRPr="00121BAE" w:rsidRDefault="007B09D7" w:rsidP="007B09D7">
      <w:pPr>
        <w:spacing w:after="0" w:line="360" w:lineRule="auto"/>
        <w:jc w:val="both"/>
        <w:rPr>
          <w:rFonts w:ascii="Palatino Linotype" w:hAnsi="Palatino Linotype"/>
          <w:b/>
          <w:bCs/>
          <w:sz w:val="24"/>
          <w:szCs w:val="24"/>
        </w:rPr>
      </w:pPr>
    </w:p>
    <w:p w:rsidR="007B09D7" w:rsidRPr="00121BAE" w:rsidRDefault="007B09D7" w:rsidP="007B09D7">
      <w:pPr>
        <w:numPr>
          <w:ilvl w:val="0"/>
          <w:numId w:val="7"/>
        </w:numPr>
        <w:spacing w:after="0" w:line="360" w:lineRule="auto"/>
        <w:jc w:val="both"/>
        <w:rPr>
          <w:rFonts w:ascii="Palatino Linotype" w:hAnsi="Palatino Linotype"/>
          <w:color w:val="000000"/>
          <w:sz w:val="24"/>
          <w:szCs w:val="24"/>
        </w:rPr>
      </w:pPr>
      <w:r w:rsidRPr="00121BAE">
        <w:rPr>
          <w:rFonts w:ascii="Palatino Linotype" w:hAnsi="Palatino Linotype"/>
          <w:b/>
          <w:bCs/>
          <w:color w:val="000000"/>
          <w:sz w:val="24"/>
          <w:szCs w:val="24"/>
        </w:rPr>
        <w:t>Datos Bancarios de Particulares.</w:t>
      </w: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Al respecto, se estima que dichos datos se relacionan con hechos y actos de carácter económico, pues los mismos darían cuenta, de la relación que tiene una institución financiero con un particular, inclusive dichos datos pudieran conformarse de las cuentas bancarias con las que cuenta un Particular, o bien, la clabe interbancaria; además, que con dicha información se podría obtener los recursos enviados a las órdenes de cargo, pago de nómina o a las transferencias electrónicas </w:t>
      </w:r>
      <w:r w:rsidRPr="00121BAE">
        <w:rPr>
          <w:rFonts w:ascii="Palatino Linotype" w:hAnsi="Palatino Linotype"/>
          <w:sz w:val="24"/>
          <w:szCs w:val="24"/>
        </w:rPr>
        <w:t>de fondos</w:t>
      </w:r>
      <w:r w:rsidRPr="00121BAE">
        <w:rPr>
          <w:rFonts w:ascii="Palatino Linotype" w:hAnsi="Palatino Linotype"/>
          <w:color w:val="000000"/>
          <w:sz w:val="24"/>
          <w:szCs w:val="24"/>
        </w:rPr>
        <w:t xml:space="preserve"> interbancarios, entre otros movimientos que sean utilizados exclusivamente en la cuenta señalada por el cliente y por lo tanto, los datos bancarios corresponden a información que se encuentra relacionada con el patrimonio de la persona titular de la cuenta.</w:t>
      </w: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 </w:t>
      </w: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A mayor abundamiento, resulta necesario traer a colación el Criterio 10/17 emitido por el Instituto Nacional de Transparencia, Acceso a la Información y Protección de Datos Personales, mismo que establece lo siguiente:</w:t>
      </w:r>
    </w:p>
    <w:p w:rsidR="007B09D7" w:rsidRPr="00121BAE" w:rsidRDefault="007B09D7" w:rsidP="007B09D7">
      <w:pPr>
        <w:spacing w:after="0" w:line="360" w:lineRule="auto"/>
        <w:ind w:left="567" w:right="709"/>
        <w:jc w:val="both"/>
        <w:rPr>
          <w:rFonts w:ascii="Palatino Linotype" w:hAnsi="Palatino Linotype"/>
          <w:i/>
          <w:iCs/>
          <w:color w:val="000000"/>
        </w:rPr>
      </w:pPr>
      <w:r w:rsidRPr="00121BAE">
        <w:rPr>
          <w:rFonts w:ascii="Palatino Linotype" w:hAnsi="Palatino Linotype"/>
          <w:i/>
          <w:iCs/>
          <w:color w:val="000000"/>
        </w:rPr>
        <w:t>“</w:t>
      </w:r>
      <w:r w:rsidRPr="00121BAE">
        <w:rPr>
          <w:rFonts w:ascii="Palatino Linotype" w:hAnsi="Palatino Linotype"/>
          <w:b/>
          <w:bCs/>
          <w:i/>
          <w:iCs/>
          <w:color w:val="000000"/>
        </w:rPr>
        <w:t>Cuentas bancarias y/o CLABE interbancaria de personas físicas y morales privadas.</w:t>
      </w:r>
      <w:r w:rsidRPr="00121BAE">
        <w:rPr>
          <w:rFonts w:ascii="Palatino Linotype" w:hAnsi="Palatino Linotype"/>
          <w:i/>
          <w:iCs/>
          <w:color w:val="000000"/>
        </w:rPr>
        <w:t xml:space="preserve"> El número de cuenta bancaria y/o CLABE interbancaria de particulares es información confidencial, al tratarse de un conjunto de caracteres numéricos utilizados </w:t>
      </w:r>
      <w:r w:rsidRPr="00121BAE">
        <w:rPr>
          <w:rFonts w:ascii="Palatino Linotype" w:hAnsi="Palatino Linotype"/>
          <w:i/>
          <w:iCs/>
          <w:color w:val="000000"/>
        </w:rPr>
        <w:lastRenderedPageBreak/>
        <w:t>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7B09D7" w:rsidRPr="00121BAE" w:rsidRDefault="007B09D7" w:rsidP="007B09D7">
      <w:pPr>
        <w:spacing w:after="0" w:line="360" w:lineRule="auto"/>
        <w:jc w:val="both"/>
        <w:rPr>
          <w:rFonts w:ascii="Palatino Linotype" w:hAnsi="Palatino Linotype"/>
          <w:color w:val="000000"/>
          <w:sz w:val="24"/>
          <w:szCs w:val="24"/>
        </w:rPr>
      </w:pPr>
    </w:p>
    <w:p w:rsidR="007B09D7" w:rsidRPr="00121BAE" w:rsidRDefault="007B09D7" w:rsidP="007B09D7">
      <w:pPr>
        <w:spacing w:after="0" w:line="360" w:lineRule="auto"/>
        <w:jc w:val="both"/>
        <w:rPr>
          <w:rFonts w:ascii="Palatino Linotype" w:hAnsi="Palatino Linotype"/>
          <w:color w:val="000000"/>
          <w:sz w:val="24"/>
          <w:szCs w:val="24"/>
        </w:rPr>
      </w:pPr>
      <w:r w:rsidRPr="00121BAE">
        <w:rPr>
          <w:rFonts w:ascii="Palatino Linotype" w:hAnsi="Palatino Linotype"/>
          <w:color w:val="000000"/>
          <w:sz w:val="24"/>
          <w:szCs w:val="24"/>
        </w:rPr>
        <w:t xml:space="preserve">Por lo cual, se puede colegir que dichos datos no guardan relación con el servicio público ni con los recursos públicos, pues </w:t>
      </w:r>
      <w:r w:rsidRPr="00121BAE">
        <w:rPr>
          <w:rFonts w:ascii="Palatino Linotype" w:hAnsi="Palatino Linotype"/>
          <w:sz w:val="24"/>
          <w:szCs w:val="24"/>
        </w:rPr>
        <w:t>sólo</w:t>
      </w:r>
      <w:r w:rsidRPr="00121BAE">
        <w:rPr>
          <w:rFonts w:ascii="Palatino Linotype" w:hAnsi="Palatino Linotype"/>
          <w:color w:val="000000"/>
          <w:sz w:val="24"/>
          <w:szCs w:val="24"/>
        </w:rPr>
        <w:t xml:space="preserve"> corresponde a información, que le atañe a la institución financiera y al cliente; por lo que este número constituye información confidencial al pertenecer exclusivamente al ámbito de la vida privada del Particular y procede su clasificación de conformidad con el artículo 143, fracción I, de la Ley de Transparencia y Acceso a la Información Pública del Estado de México y Municipios.</w:t>
      </w:r>
    </w:p>
    <w:p w:rsidR="007B09D7" w:rsidRPr="00121BAE" w:rsidRDefault="007B09D7" w:rsidP="007B09D7">
      <w:pPr>
        <w:spacing w:after="0" w:line="360" w:lineRule="auto"/>
        <w:ind w:right="-93"/>
        <w:jc w:val="both"/>
        <w:rPr>
          <w:rFonts w:ascii="Palatino Linotype" w:hAnsi="Palatino Linotype"/>
          <w:sz w:val="24"/>
          <w:szCs w:val="24"/>
        </w:rPr>
      </w:pPr>
    </w:p>
    <w:p w:rsidR="007B09D7" w:rsidRPr="00121BAE" w:rsidRDefault="007B09D7" w:rsidP="007B09D7">
      <w:pPr>
        <w:spacing w:after="0" w:line="360" w:lineRule="auto"/>
        <w:jc w:val="both"/>
        <w:rPr>
          <w:rFonts w:ascii="Palatino Linotype" w:hAnsi="Palatino Linotype"/>
          <w:sz w:val="24"/>
          <w:szCs w:val="24"/>
        </w:rPr>
      </w:pPr>
      <w:r w:rsidRPr="00121BAE">
        <w:rPr>
          <w:rFonts w:ascii="Palatino Linotype" w:hAnsi="Palatino Linotype"/>
          <w:sz w:val="24"/>
          <w:szCs w:val="24"/>
        </w:rPr>
        <w:t>Con base en lo anterior, procede su eliminación de las versiones públicas, pues actualiza el supuesto previsto en el artículo 143 fracción I de la Ley de Transparencia y Acceso a la Información Pública del Estado de México y Municipios. E</w:t>
      </w:r>
      <w:r w:rsidRPr="00121BAE">
        <w:rPr>
          <w:rFonts w:ascii="Palatino Linotype" w:eastAsia="Palatino Linotype" w:hAnsi="Palatino Linotype" w:cs="Palatino Linotype"/>
          <w:sz w:val="24"/>
          <w:szCs w:val="24"/>
          <w:lang w:val="es-ES_tradnl" w:eastAsia="es-MX"/>
        </w:rPr>
        <w:t>ntorno a lo que aquí nos interesa, los Lineamientos Quincuagésimo sexto, Quincuagésimo séptimo y Quincuagésimo octavo, establecen lo siguiente:</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Quincuagésimo sexto.</w:t>
      </w:r>
      <w:r w:rsidRPr="00121BAE">
        <w:rPr>
          <w:rFonts w:ascii="Palatino Linotype" w:eastAsia="Palatino Linotype" w:hAnsi="Palatino Linotype" w:cs="Palatino Linotype"/>
          <w:i/>
          <w:lang w:val="es-ES_tradnl" w:eastAsia="es-MX"/>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Quincuagésimo séptimo.</w:t>
      </w:r>
      <w:r w:rsidRPr="00121BAE">
        <w:rPr>
          <w:rFonts w:ascii="Palatino Linotype" w:eastAsia="Palatino Linotype" w:hAnsi="Palatino Linotype" w:cs="Palatino Linotype"/>
          <w:i/>
          <w:lang w:val="es-ES_tradnl" w:eastAsia="es-MX"/>
        </w:rPr>
        <w:t xml:space="preserve"> Se considera, en principio, como información pública y no podrá omitirse de las versiones públicas la siguiente:</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i/>
          <w:lang w:val="es-ES_tradnl" w:eastAsia="es-MX"/>
        </w:rPr>
        <w:t xml:space="preserve"> </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i/>
          <w:lang w:val="es-ES_tradnl" w:eastAsia="es-MX"/>
        </w:rPr>
        <w:lastRenderedPageBreak/>
        <w:t xml:space="preserve">I. La relativa a las Obligaciones de Transparencia que contempla el Título V de la Ley General y las demás disposiciones legales aplicables; </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i/>
          <w:lang w:val="es-ES_tradnl" w:eastAsia="es-MX"/>
        </w:rPr>
        <w:t xml:space="preserve">II. El nombre de los integrantes de los sujetos obligados en los documentos, y sus firmas autógrafas o digitales, cuando sean utilizados en el ejercicio de las facultades conferidas para el desempeño del servicio público, y </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i/>
          <w:lang w:val="es-ES_tradnl" w:eastAsia="es-MX"/>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i/>
          <w:lang w:val="es-ES_tradnl" w:eastAsia="es-MX"/>
        </w:rPr>
        <w:t xml:space="preserve">Lo anterior, siempre y cuando no se acredite alguna causal de clasificación, prevista en las leyes o en los tratados internacionales suscritos por el Estado mexicano. </w:t>
      </w:r>
    </w:p>
    <w:p w:rsidR="007B09D7" w:rsidRPr="00121BAE" w:rsidRDefault="007B09D7" w:rsidP="007B09D7">
      <w:pPr>
        <w:ind w:left="567" w:right="567"/>
        <w:jc w:val="both"/>
        <w:rPr>
          <w:rFonts w:ascii="Palatino Linotype" w:eastAsia="Palatino Linotype" w:hAnsi="Palatino Linotype" w:cs="Palatino Linotype"/>
          <w:i/>
          <w:lang w:val="es-ES_tradnl" w:eastAsia="es-MX"/>
        </w:rPr>
      </w:pPr>
    </w:p>
    <w:p w:rsidR="007B09D7" w:rsidRPr="00121BAE" w:rsidRDefault="007B09D7" w:rsidP="007B09D7">
      <w:pPr>
        <w:ind w:left="567" w:right="567"/>
        <w:jc w:val="both"/>
        <w:rPr>
          <w:rFonts w:ascii="Palatino Linotype" w:eastAsia="Palatino Linotype" w:hAnsi="Palatino Linotype" w:cs="Palatino Linotype"/>
          <w:i/>
          <w:lang w:val="es-ES_tradnl" w:eastAsia="es-MX"/>
        </w:rPr>
      </w:pPr>
      <w:r w:rsidRPr="00121BAE">
        <w:rPr>
          <w:rFonts w:ascii="Palatino Linotype" w:eastAsia="Palatino Linotype" w:hAnsi="Palatino Linotype" w:cs="Palatino Linotype"/>
          <w:b/>
          <w:i/>
          <w:lang w:val="es-ES_tradnl" w:eastAsia="es-MX"/>
        </w:rPr>
        <w:t>Quincuagésimo octavo.</w:t>
      </w:r>
      <w:r w:rsidRPr="00121BAE">
        <w:rPr>
          <w:rFonts w:ascii="Palatino Linotype" w:eastAsia="Palatino Linotype" w:hAnsi="Palatino Linotype" w:cs="Palatino Linotype"/>
          <w:i/>
          <w:lang w:val="es-ES_tradnl" w:eastAsia="es-MX"/>
        </w:rPr>
        <w:t xml:space="preserve"> Los sujetos obligados garantizarán que los sistemas o medios empleados para eliminar la información en las versiones públicas sean irreversibles, de tal forma que no permitan la recuperación o la visualización de la misma.</w:t>
      </w:r>
    </w:p>
    <w:p w:rsidR="007B09D7" w:rsidRPr="00121BAE" w:rsidRDefault="007B09D7" w:rsidP="007B09D7">
      <w:pPr>
        <w:spacing w:line="360" w:lineRule="auto"/>
        <w:jc w:val="both"/>
        <w:rPr>
          <w:rFonts w:ascii="Palatino Linotype" w:eastAsia="Palatino Linotype" w:hAnsi="Palatino Linotype" w:cs="Palatino Linotype"/>
          <w:i/>
          <w:sz w:val="24"/>
          <w:szCs w:val="24"/>
          <w:lang w:val="es-ES_tradnl" w:eastAsia="es-MX"/>
        </w:rPr>
      </w:pPr>
    </w:p>
    <w:p w:rsidR="007B09D7" w:rsidRPr="00121BAE" w:rsidRDefault="007B09D7" w:rsidP="007B09D7">
      <w:pPr>
        <w:spacing w:line="360" w:lineRule="auto"/>
        <w:jc w:val="both"/>
        <w:rPr>
          <w:rFonts w:ascii="Palatino Linotype" w:eastAsia="Palatino Linotype" w:hAnsi="Palatino Linotype" w:cs="Palatino Linotype"/>
          <w:sz w:val="24"/>
          <w:szCs w:val="24"/>
          <w:lang w:val="es-ES_tradnl" w:eastAsia="es-MX"/>
        </w:rPr>
      </w:pPr>
      <w:r w:rsidRPr="00121BAE">
        <w:rPr>
          <w:rFonts w:ascii="Palatino Linotype" w:eastAsia="Palatino Linotype" w:hAnsi="Palatino Linotype" w:cs="Palatino Linotype"/>
          <w:sz w:val="24"/>
          <w:szCs w:val="24"/>
          <w:lang w:val="es-ES_tradnl" w:eastAsia="es-MX"/>
        </w:rPr>
        <w:t xml:space="preserve">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w:t>
      </w:r>
      <w:r w:rsidRPr="00121BAE">
        <w:rPr>
          <w:rFonts w:ascii="Palatino Linotype" w:eastAsia="Palatino Linotype" w:hAnsi="Palatino Linotype" w:cs="Palatino Linotype"/>
          <w:sz w:val="24"/>
          <w:szCs w:val="24"/>
          <w:lang w:val="es-ES_tradnl" w:eastAsia="es-MX"/>
        </w:rPr>
        <w:lastRenderedPageBreak/>
        <w:t>del Comité de Transparencia que sustente la versión pública de la documentación a entregar, deberá ser notificado mediante el SAIMEX.</w:t>
      </w:r>
    </w:p>
    <w:p w:rsidR="00845352" w:rsidRPr="00121BAE" w:rsidRDefault="00845352" w:rsidP="007B09D7">
      <w:pPr>
        <w:spacing w:line="360" w:lineRule="auto"/>
        <w:jc w:val="both"/>
        <w:rPr>
          <w:rFonts w:ascii="Palatino Linotype" w:eastAsia="Palatino Linotype" w:hAnsi="Palatino Linotype" w:cs="Palatino Linotype"/>
          <w:sz w:val="24"/>
          <w:szCs w:val="24"/>
          <w:lang w:val="es-ES_tradnl" w:eastAsia="es-MX"/>
        </w:rPr>
      </w:pPr>
    </w:p>
    <w:p w:rsidR="007B09D7" w:rsidRPr="00121BAE" w:rsidRDefault="007B09D7" w:rsidP="007B09D7">
      <w:pPr>
        <w:spacing w:line="360" w:lineRule="auto"/>
        <w:jc w:val="both"/>
        <w:rPr>
          <w:rFonts w:ascii="Palatino Linotype" w:hAnsi="Palatino Linotype" w:cs="Arial"/>
          <w:sz w:val="24"/>
          <w:szCs w:val="24"/>
        </w:rPr>
      </w:pPr>
      <w:r w:rsidRPr="00121BAE">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rsidR="009F79A4" w:rsidRPr="00121BAE" w:rsidRDefault="009F79A4" w:rsidP="007B09D7">
      <w:pPr>
        <w:spacing w:line="360" w:lineRule="auto"/>
        <w:jc w:val="both"/>
        <w:rPr>
          <w:rFonts w:ascii="Palatino Linotype" w:hAnsi="Palatino Linotype" w:cs="Arial"/>
          <w:sz w:val="24"/>
          <w:szCs w:val="24"/>
        </w:rPr>
      </w:pPr>
    </w:p>
    <w:p w:rsidR="007B09D7" w:rsidRPr="00121BAE" w:rsidRDefault="007B09D7" w:rsidP="007B09D7">
      <w:pPr>
        <w:spacing w:line="360" w:lineRule="auto"/>
        <w:jc w:val="both"/>
        <w:rPr>
          <w:rFonts w:ascii="Palatino Linotype" w:hAnsi="Palatino Linotype" w:cs="Arial"/>
          <w:sz w:val="24"/>
          <w:szCs w:val="24"/>
        </w:rPr>
      </w:pPr>
      <w:r w:rsidRPr="00121BAE">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rsidR="007B09D7" w:rsidRPr="00121BAE" w:rsidRDefault="007B09D7" w:rsidP="007B09D7">
      <w:pPr>
        <w:spacing w:line="360" w:lineRule="auto"/>
        <w:ind w:left="567" w:right="567"/>
        <w:jc w:val="both"/>
        <w:rPr>
          <w:rFonts w:ascii="Palatino Linotype" w:hAnsi="Palatino Linotype" w:cs="Arial"/>
          <w:i/>
        </w:rPr>
      </w:pPr>
      <w:r w:rsidRPr="00121BAE">
        <w:rPr>
          <w:rFonts w:ascii="Palatino Linotype" w:hAnsi="Palatino Linotype" w:cs="Arial"/>
          <w:b/>
          <w:i/>
        </w:rPr>
        <w:t>FUNDAMENTACIÓN Y MOTIVACIÓN</w:t>
      </w:r>
      <w:r w:rsidRPr="00121BAE">
        <w:rPr>
          <w:rFonts w:ascii="Palatino Linotype" w:hAnsi="Palatino Linotype" w:cs="Arial"/>
          <w:i/>
        </w:rPr>
        <w:t xml:space="preserve">. La debida fundamentación y motivación legal, deben entenderse, por lo primero, la cita del precepto legal aplicable al caso, y por lo segundo, las razones, motivos o circunstancias especiales que llevaron a la autoridad a </w:t>
      </w:r>
      <w:r w:rsidRPr="00121BAE">
        <w:rPr>
          <w:rFonts w:ascii="Palatino Linotype" w:hAnsi="Palatino Linotype" w:cs="Arial"/>
          <w:i/>
        </w:rPr>
        <w:lastRenderedPageBreak/>
        <w:t>concluir que el caso particular encuadra en el supuesto previsto por la norma legal invocada como fundamento.</w:t>
      </w:r>
    </w:p>
    <w:p w:rsidR="007B09D7" w:rsidRPr="00121BAE" w:rsidRDefault="007B09D7" w:rsidP="007B09D7">
      <w:pPr>
        <w:spacing w:line="360" w:lineRule="auto"/>
        <w:jc w:val="both"/>
        <w:rPr>
          <w:rFonts w:ascii="Palatino Linotype" w:hAnsi="Palatino Linotype" w:cs="Arial"/>
          <w:sz w:val="24"/>
          <w:szCs w:val="24"/>
        </w:rPr>
      </w:pPr>
      <w:r w:rsidRPr="00121BAE">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rsidR="007B09D7" w:rsidRPr="00121BAE" w:rsidRDefault="007B09D7" w:rsidP="007B09D7">
      <w:pPr>
        <w:spacing w:line="360" w:lineRule="auto"/>
        <w:jc w:val="both"/>
        <w:rPr>
          <w:rFonts w:ascii="Palatino Linotype" w:hAnsi="Palatino Linotype" w:cs="Arial"/>
          <w:sz w:val="24"/>
          <w:szCs w:val="24"/>
        </w:rPr>
      </w:pPr>
    </w:p>
    <w:p w:rsidR="007B09D7" w:rsidRPr="00121BAE" w:rsidRDefault="007B09D7" w:rsidP="007B09D7">
      <w:pPr>
        <w:spacing w:line="360" w:lineRule="auto"/>
        <w:jc w:val="both"/>
        <w:rPr>
          <w:rFonts w:ascii="Palatino Linotype" w:hAnsi="Palatino Linotype" w:cs="Arial"/>
          <w:sz w:val="24"/>
          <w:szCs w:val="24"/>
        </w:rPr>
      </w:pPr>
      <w:r w:rsidRPr="00121BAE">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rsidR="007B09D7" w:rsidRPr="00121BAE" w:rsidRDefault="007B09D7" w:rsidP="007B09D7">
      <w:pPr>
        <w:spacing w:line="360" w:lineRule="auto"/>
        <w:ind w:left="567" w:right="567"/>
        <w:jc w:val="both"/>
        <w:rPr>
          <w:rFonts w:ascii="Palatino Linotype" w:hAnsi="Palatino Linotype" w:cs="Arial"/>
          <w:i/>
        </w:rPr>
      </w:pPr>
      <w:r w:rsidRPr="00121BAE">
        <w:rPr>
          <w:rFonts w:ascii="Palatino Linotype" w:hAnsi="Palatino Linotype" w:cs="Arial"/>
          <w:b/>
          <w:i/>
        </w:rPr>
        <w:t>FUNDAMENTACIÓN Y MOTIVACIÓN. EL ASPECTO FORMAL DE LA GARANTÍA Y SU FINALIDAD SE TRADUCEN EN EXPLICAR, JUSTIFICAR, POSIBILITAR LA DEFENSA Y COMUNICAR LA DECISIÓN.</w:t>
      </w:r>
      <w:r w:rsidRPr="00121BAE">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w:t>
      </w:r>
      <w:r w:rsidRPr="00121BAE">
        <w:rPr>
          <w:rFonts w:ascii="Palatino Linotype" w:hAnsi="Palatino Linotype" w:cs="Arial"/>
          <w:i/>
        </w:rPr>
        <w:lastRenderedPageBreak/>
        <w:t>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7B09D7" w:rsidRPr="00121BAE" w:rsidRDefault="007B09D7" w:rsidP="007B09D7">
      <w:pPr>
        <w:spacing w:line="360" w:lineRule="auto"/>
        <w:jc w:val="both"/>
        <w:rPr>
          <w:rFonts w:ascii="Palatino Linotype" w:hAnsi="Palatino Linotype" w:cs="Arial"/>
        </w:rPr>
      </w:pPr>
    </w:p>
    <w:p w:rsidR="007B09D7" w:rsidRPr="00121BAE" w:rsidRDefault="007B09D7" w:rsidP="007B09D7">
      <w:pPr>
        <w:spacing w:line="360" w:lineRule="auto"/>
        <w:jc w:val="both"/>
        <w:rPr>
          <w:rFonts w:ascii="Palatino Linotype" w:hAnsi="Palatino Linotype" w:cs="Arial"/>
          <w:sz w:val="24"/>
          <w:szCs w:val="24"/>
        </w:rPr>
      </w:pPr>
      <w:r w:rsidRPr="00121BAE">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rsidR="007B09D7" w:rsidRPr="00121BAE" w:rsidRDefault="007B09D7" w:rsidP="007B09D7">
      <w:pPr>
        <w:spacing w:line="360" w:lineRule="auto"/>
        <w:jc w:val="both"/>
        <w:rPr>
          <w:rFonts w:ascii="Palatino Linotype" w:hAnsi="Palatino Linotype" w:cs="Arial"/>
          <w:sz w:val="24"/>
          <w:szCs w:val="24"/>
        </w:rPr>
      </w:pPr>
    </w:p>
    <w:p w:rsidR="007B09D7" w:rsidRPr="00121BAE" w:rsidRDefault="007B09D7" w:rsidP="007B09D7">
      <w:pPr>
        <w:spacing w:line="360" w:lineRule="auto"/>
        <w:jc w:val="both"/>
        <w:rPr>
          <w:rFonts w:ascii="Palatino Linotype" w:hAnsi="Palatino Linotype" w:cs="Arial"/>
          <w:sz w:val="24"/>
          <w:szCs w:val="24"/>
        </w:rPr>
      </w:pPr>
      <w:r w:rsidRPr="00121BAE">
        <w:rPr>
          <w:rFonts w:ascii="Palatino Linotype" w:hAnsi="Palatino Linotype" w:cs="Arial"/>
          <w:sz w:val="24"/>
          <w:szCs w:val="24"/>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7B09D7" w:rsidRPr="00121BAE" w:rsidRDefault="007B09D7" w:rsidP="007B09D7">
      <w:pPr>
        <w:spacing w:line="360" w:lineRule="auto"/>
        <w:jc w:val="both"/>
        <w:rPr>
          <w:rFonts w:ascii="Palatino Linotype" w:hAnsi="Palatino Linotype"/>
          <w:sz w:val="24"/>
          <w:szCs w:val="24"/>
        </w:rPr>
      </w:pPr>
    </w:p>
    <w:p w:rsidR="007B09D7" w:rsidRPr="00121BAE" w:rsidRDefault="007B09D7" w:rsidP="007B09D7">
      <w:pPr>
        <w:rPr>
          <w:rFonts w:ascii="Palatino Linotype" w:hAnsi="Palatino Linotype"/>
          <w:b/>
          <w:sz w:val="24"/>
          <w:szCs w:val="24"/>
        </w:rPr>
      </w:pPr>
      <w:r w:rsidRPr="00121BAE">
        <w:rPr>
          <w:rFonts w:ascii="Palatino Linotype" w:hAnsi="Palatino Linotype"/>
          <w:b/>
          <w:sz w:val="24"/>
          <w:szCs w:val="24"/>
        </w:rPr>
        <w:lastRenderedPageBreak/>
        <w:t>De la vista a los órganos internos de control competentes.</w:t>
      </w:r>
    </w:p>
    <w:p w:rsidR="007B09D7" w:rsidRPr="00121BAE" w:rsidRDefault="007B09D7" w:rsidP="007B09D7">
      <w:pPr>
        <w:pBdr>
          <w:top w:val="nil"/>
          <w:left w:val="nil"/>
          <w:bottom w:val="nil"/>
          <w:right w:val="nil"/>
          <w:between w:val="nil"/>
        </w:pBdr>
        <w:spacing w:line="360" w:lineRule="auto"/>
        <w:contextualSpacing/>
        <w:jc w:val="both"/>
        <w:rPr>
          <w:rFonts w:ascii="Palatino Linotype" w:eastAsia="Palatino Linotype" w:hAnsi="Palatino Linotype" w:cs="Palatino Linotype"/>
          <w:sz w:val="24"/>
          <w:szCs w:val="24"/>
        </w:rPr>
      </w:pPr>
      <w:r w:rsidRPr="00121BAE">
        <w:rPr>
          <w:rFonts w:ascii="Palatino Linotype" w:eastAsia="Palatino Linotype" w:hAnsi="Palatino Linotype" w:cs="Palatino Linotype"/>
          <w:sz w:val="24"/>
          <w:szCs w:val="24"/>
        </w:rPr>
        <w:t>Como ya se mencionó, el Sujeto Obligado no proporcionó respuesta a la solicitud de acceso a la información pública en el término previsto en el artículo 163 de la Ley de Transparencia estatal por lo que ordena dar vista 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B09D7" w:rsidRPr="00121BAE" w:rsidRDefault="007B09D7" w:rsidP="007B09D7">
      <w:pPr>
        <w:spacing w:line="360" w:lineRule="auto"/>
        <w:jc w:val="both"/>
        <w:rPr>
          <w:rFonts w:ascii="Palatino Linotype" w:hAnsi="Palatino Linotype"/>
          <w:sz w:val="24"/>
          <w:szCs w:val="24"/>
        </w:rPr>
      </w:pPr>
    </w:p>
    <w:p w:rsidR="007B09D7" w:rsidRPr="00121BAE" w:rsidRDefault="007B09D7" w:rsidP="007B09D7">
      <w:pPr>
        <w:autoSpaceDE w:val="0"/>
        <w:autoSpaceDN w:val="0"/>
        <w:adjustRightInd w:val="0"/>
        <w:spacing w:line="360" w:lineRule="auto"/>
        <w:jc w:val="both"/>
        <w:rPr>
          <w:rFonts w:ascii="Palatino Linotype" w:hAnsi="Palatino Linotype" w:cs="Arial"/>
          <w:sz w:val="24"/>
          <w:szCs w:val="24"/>
        </w:rPr>
      </w:pPr>
      <w:r w:rsidRPr="00121BAE">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121BAE">
        <w:rPr>
          <w:rFonts w:ascii="Palatino Linotype" w:hAnsi="Palatino Linotype" w:cs="Arial"/>
          <w:b/>
          <w:sz w:val="24"/>
          <w:szCs w:val="24"/>
        </w:rPr>
        <w:t>ORDENA</w:t>
      </w:r>
      <w:r w:rsidRPr="00121BAE">
        <w:rPr>
          <w:rFonts w:ascii="Palatino Linotype" w:hAnsi="Palatino Linotype" w:cs="Arial"/>
          <w:sz w:val="24"/>
          <w:szCs w:val="24"/>
        </w:rPr>
        <w:t xml:space="preserve"> al </w:t>
      </w:r>
      <w:r w:rsidRPr="00121BAE">
        <w:rPr>
          <w:rFonts w:ascii="Palatino Linotype" w:hAnsi="Palatino Linotype" w:cs="Arial"/>
          <w:b/>
          <w:sz w:val="24"/>
          <w:szCs w:val="24"/>
        </w:rPr>
        <w:t>Sujeto Obligado</w:t>
      </w:r>
      <w:r w:rsidRPr="00121BAE">
        <w:rPr>
          <w:rFonts w:ascii="Palatino Linotype" w:hAnsi="Palatino Linotype" w:cs="Arial"/>
          <w:sz w:val="24"/>
          <w:szCs w:val="24"/>
        </w:rPr>
        <w:t>, atienda la solicitud de información</w:t>
      </w:r>
      <w:r w:rsidRPr="00121BAE">
        <w:rPr>
          <w:rFonts w:ascii="Palatino Linotype" w:eastAsia="Times New Roman" w:hAnsi="Palatino Linotype" w:cs="Times New Roman"/>
          <w:b/>
          <w:bCs/>
          <w:sz w:val="24"/>
          <w:szCs w:val="24"/>
          <w:lang w:val="es-ES" w:eastAsia="es-ES"/>
        </w:rPr>
        <w:t>,</w:t>
      </w:r>
      <w:r w:rsidRPr="00121BAE">
        <w:rPr>
          <w:rFonts w:ascii="Palatino Linotype" w:hAnsi="Palatino Linotype" w:cs="Arial"/>
          <w:sz w:val="24"/>
          <w:szCs w:val="24"/>
        </w:rPr>
        <w:t xml:space="preserve"> que ha sido materia del presente fallo.</w:t>
      </w:r>
    </w:p>
    <w:p w:rsidR="007B09D7" w:rsidRPr="00121BAE" w:rsidRDefault="007B09D7" w:rsidP="007B09D7">
      <w:pPr>
        <w:pStyle w:val="Prrafodelista"/>
        <w:spacing w:before="240" w:after="240"/>
        <w:ind w:left="0"/>
        <w:rPr>
          <w:rFonts w:ascii="Palatino Linotype" w:hAnsi="Palatino Linotype"/>
        </w:rPr>
      </w:pPr>
      <w:r w:rsidRPr="00121BAE">
        <w:rPr>
          <w:rFonts w:ascii="Palatino Linotype" w:hAnsi="Palatino Linotype"/>
        </w:rPr>
        <w:t xml:space="preserve">Por lo antes expuesto y fundado es de resolverse y, </w:t>
      </w:r>
    </w:p>
    <w:p w:rsidR="007B09D7" w:rsidRPr="00121BAE" w:rsidRDefault="007B09D7" w:rsidP="007B09D7">
      <w:pPr>
        <w:pStyle w:val="Prrafodelista"/>
        <w:spacing w:before="240" w:after="240"/>
        <w:ind w:left="0"/>
        <w:rPr>
          <w:rFonts w:ascii="Palatino Linotype" w:hAnsi="Palatino Linotype"/>
        </w:rPr>
      </w:pPr>
    </w:p>
    <w:p w:rsidR="007B09D7" w:rsidRPr="00121BAE" w:rsidRDefault="007B09D7" w:rsidP="007B09D7">
      <w:pPr>
        <w:pStyle w:val="Prrafodelista"/>
        <w:spacing w:before="240" w:after="240"/>
        <w:ind w:left="0"/>
        <w:rPr>
          <w:rFonts w:ascii="Palatino Linotype" w:hAnsi="Palatino Linotype"/>
        </w:rPr>
      </w:pPr>
    </w:p>
    <w:p w:rsidR="007B09D7" w:rsidRPr="00121BAE" w:rsidRDefault="007B09D7" w:rsidP="007B09D7">
      <w:pPr>
        <w:spacing w:before="240" w:line="360" w:lineRule="auto"/>
        <w:jc w:val="center"/>
        <w:rPr>
          <w:rFonts w:ascii="Palatino Linotype" w:hAnsi="Palatino Linotype"/>
          <w:b/>
          <w:bCs/>
          <w:spacing w:val="60"/>
          <w:sz w:val="28"/>
          <w:szCs w:val="28"/>
          <w:lang w:val="es-ES_tradnl"/>
        </w:rPr>
      </w:pPr>
      <w:r w:rsidRPr="00121BAE">
        <w:rPr>
          <w:rFonts w:ascii="Palatino Linotype" w:hAnsi="Palatino Linotype"/>
          <w:b/>
          <w:bCs/>
          <w:spacing w:val="60"/>
          <w:sz w:val="28"/>
          <w:szCs w:val="28"/>
          <w:lang w:val="es-ES_tradnl"/>
        </w:rPr>
        <w:t>SE    RESUELVE</w:t>
      </w:r>
    </w:p>
    <w:p w:rsidR="007B09D7" w:rsidRPr="00121BAE" w:rsidRDefault="007B09D7" w:rsidP="007B09D7">
      <w:pPr>
        <w:spacing w:before="240" w:line="360" w:lineRule="auto"/>
        <w:rPr>
          <w:rFonts w:ascii="Palatino Linotype" w:hAnsi="Palatino Linotype"/>
          <w:b/>
          <w:bCs/>
          <w:spacing w:val="60"/>
          <w:sz w:val="28"/>
          <w:szCs w:val="28"/>
          <w:lang w:val="es-ES_tradnl"/>
        </w:rPr>
      </w:pPr>
    </w:p>
    <w:p w:rsidR="007B09D7" w:rsidRPr="00121BAE" w:rsidRDefault="007B09D7" w:rsidP="007B09D7">
      <w:pPr>
        <w:pBdr>
          <w:top w:val="nil"/>
          <w:left w:val="nil"/>
          <w:bottom w:val="nil"/>
          <w:right w:val="nil"/>
          <w:between w:val="nil"/>
        </w:pBdr>
        <w:spacing w:line="360" w:lineRule="auto"/>
        <w:jc w:val="both"/>
        <w:rPr>
          <w:rFonts w:ascii="Palatino Linotype" w:hAnsi="Palatino Linotype"/>
          <w:color w:val="000000"/>
          <w:sz w:val="24"/>
          <w:szCs w:val="24"/>
        </w:rPr>
      </w:pPr>
      <w:r w:rsidRPr="00121BAE">
        <w:rPr>
          <w:rFonts w:ascii="Palatino Linotype" w:eastAsia="Palatino Linotype" w:hAnsi="Palatino Linotype" w:cs="Palatino Linotype"/>
          <w:b/>
          <w:sz w:val="24"/>
          <w:szCs w:val="24"/>
        </w:rPr>
        <w:t>PRIMERO.</w:t>
      </w:r>
      <w:r w:rsidRPr="00121BAE">
        <w:rPr>
          <w:rFonts w:ascii="Palatino Linotype" w:eastAsia="Palatino Linotype" w:hAnsi="Palatino Linotype" w:cs="Palatino Linotype"/>
          <w:sz w:val="24"/>
          <w:szCs w:val="24"/>
        </w:rPr>
        <w:t xml:space="preserve"> Se </w:t>
      </w:r>
      <w:r w:rsidRPr="00121BAE">
        <w:rPr>
          <w:rFonts w:ascii="Palatino Linotype" w:eastAsia="Palatino Linotype" w:hAnsi="Palatino Linotype" w:cs="Palatino Linotype"/>
          <w:b/>
          <w:sz w:val="24"/>
          <w:szCs w:val="24"/>
        </w:rPr>
        <w:t>ORDENA</w:t>
      </w:r>
      <w:r w:rsidRPr="00121BAE">
        <w:rPr>
          <w:rFonts w:ascii="Palatino Linotype" w:eastAsia="Palatino Linotype" w:hAnsi="Palatino Linotype" w:cs="Palatino Linotype"/>
          <w:sz w:val="24"/>
          <w:szCs w:val="24"/>
        </w:rPr>
        <w:t xml:space="preserve"> al </w:t>
      </w:r>
      <w:r w:rsidRPr="00121BAE">
        <w:rPr>
          <w:rFonts w:ascii="Palatino Linotype" w:eastAsia="Palatino Linotype" w:hAnsi="Palatino Linotype" w:cs="Palatino Linotype"/>
          <w:b/>
          <w:sz w:val="24"/>
          <w:szCs w:val="24"/>
        </w:rPr>
        <w:t>Sujeto Obligado</w:t>
      </w:r>
      <w:r w:rsidRPr="00121BAE">
        <w:rPr>
          <w:rFonts w:ascii="Palatino Linotype" w:eastAsia="Palatino Linotype" w:hAnsi="Palatino Linotype" w:cs="Palatino Linotype"/>
          <w:sz w:val="24"/>
          <w:szCs w:val="24"/>
        </w:rPr>
        <w:t xml:space="preserve"> que, haga entrega a la parte </w:t>
      </w:r>
      <w:r w:rsidRPr="00121BAE">
        <w:rPr>
          <w:rFonts w:ascii="Palatino Linotype" w:eastAsia="Palatino Linotype" w:hAnsi="Palatino Linotype" w:cs="Palatino Linotype"/>
          <w:b/>
          <w:sz w:val="24"/>
          <w:szCs w:val="24"/>
        </w:rPr>
        <w:t>Recurrente</w:t>
      </w:r>
      <w:r w:rsidRPr="00121BAE">
        <w:rPr>
          <w:rFonts w:ascii="Palatino Linotype" w:eastAsia="Palatino Linotype" w:hAnsi="Palatino Linotype" w:cs="Palatino Linotype"/>
          <w:sz w:val="24"/>
          <w:szCs w:val="24"/>
        </w:rPr>
        <w:t xml:space="preserve"> mediante el Sistema de Acceso a la Información Mexiquense (</w:t>
      </w:r>
      <w:r w:rsidRPr="00121BAE">
        <w:rPr>
          <w:rFonts w:ascii="Palatino Linotype" w:eastAsia="Palatino Linotype" w:hAnsi="Palatino Linotype" w:cs="Palatino Linotype"/>
          <w:b/>
          <w:sz w:val="24"/>
          <w:szCs w:val="24"/>
        </w:rPr>
        <w:t>SAIMEX</w:t>
      </w:r>
      <w:r w:rsidRPr="00121BAE">
        <w:rPr>
          <w:rFonts w:ascii="Palatino Linotype" w:eastAsia="Palatino Linotype" w:hAnsi="Palatino Linotype" w:cs="Palatino Linotype"/>
          <w:sz w:val="24"/>
          <w:szCs w:val="24"/>
        </w:rPr>
        <w:t xml:space="preserve">), por resultar fundados los motivos de inconformidad argüidos por la parte Recurrente en la </w:t>
      </w:r>
      <w:r w:rsidRPr="00121BAE">
        <w:rPr>
          <w:rFonts w:ascii="Palatino Linotype" w:eastAsia="Palatino Linotype" w:hAnsi="Palatino Linotype" w:cs="Palatino Linotype"/>
          <w:sz w:val="24"/>
          <w:szCs w:val="24"/>
        </w:rPr>
        <w:lastRenderedPageBreak/>
        <w:t xml:space="preserve">solicitud de información </w:t>
      </w:r>
      <w:r w:rsidR="00845352" w:rsidRPr="00121BAE">
        <w:rPr>
          <w:rFonts w:ascii="Verdana" w:hAnsi="Verdana"/>
          <w:b/>
          <w:bCs/>
          <w:color w:val="FF0000"/>
        </w:rPr>
        <w:t> </w:t>
      </w:r>
      <w:r w:rsidR="00845352" w:rsidRPr="00121BAE">
        <w:rPr>
          <w:rFonts w:ascii="Palatino Linotype" w:hAnsi="Palatino Linotype"/>
          <w:b/>
          <w:bCs/>
          <w:sz w:val="24"/>
          <w:szCs w:val="24"/>
        </w:rPr>
        <w:t>01061/TEPOTZOT/IP/2026</w:t>
      </w:r>
      <w:r w:rsidR="00845352" w:rsidRPr="00121BAE">
        <w:rPr>
          <w:rFonts w:ascii="Verdana" w:hAnsi="Verdana"/>
          <w:b/>
          <w:bCs/>
        </w:rPr>
        <w:t xml:space="preserve"> </w:t>
      </w:r>
      <w:r w:rsidRPr="00121BAE">
        <w:rPr>
          <w:rFonts w:ascii="Palatino Linotype" w:eastAsia="Palatino Linotype" w:hAnsi="Palatino Linotype" w:cs="Palatino Linotype"/>
          <w:sz w:val="24"/>
          <w:szCs w:val="24"/>
        </w:rPr>
        <w:t>en términos del Considerando</w:t>
      </w:r>
      <w:r w:rsidRPr="00121BAE">
        <w:rPr>
          <w:rFonts w:ascii="Palatino Linotype" w:eastAsia="Palatino Linotype" w:hAnsi="Palatino Linotype" w:cs="Palatino Linotype"/>
          <w:b/>
          <w:sz w:val="24"/>
          <w:szCs w:val="24"/>
        </w:rPr>
        <w:t xml:space="preserve"> TERCERO</w:t>
      </w:r>
      <w:r w:rsidRPr="00121BAE">
        <w:rPr>
          <w:rFonts w:ascii="Palatino Linotype" w:eastAsia="Palatino Linotype" w:hAnsi="Palatino Linotype" w:cs="Palatino Linotype"/>
          <w:sz w:val="24"/>
          <w:szCs w:val="24"/>
        </w:rPr>
        <w:t xml:space="preserve">  de ser procedente en versión pública </w:t>
      </w:r>
      <w:r w:rsidR="00043FF3" w:rsidRPr="00121BAE">
        <w:rPr>
          <w:rFonts w:ascii="Palatino Linotype" w:hAnsi="Palatino Linotype"/>
          <w:color w:val="000000"/>
          <w:sz w:val="24"/>
          <w:szCs w:val="24"/>
        </w:rPr>
        <w:t>respecto</w:t>
      </w:r>
      <w:r w:rsidRPr="00121BAE">
        <w:rPr>
          <w:rFonts w:ascii="Palatino Linotype" w:hAnsi="Palatino Linotype"/>
          <w:color w:val="000000"/>
          <w:sz w:val="24"/>
          <w:szCs w:val="24"/>
        </w:rPr>
        <w:t xml:space="preserve"> </w:t>
      </w:r>
      <w:r w:rsidR="00043FF3" w:rsidRPr="00121BAE">
        <w:rPr>
          <w:rFonts w:ascii="Palatino Linotype" w:hAnsi="Palatino Linotype"/>
          <w:color w:val="000000"/>
          <w:sz w:val="24"/>
          <w:szCs w:val="24"/>
        </w:rPr>
        <w:t>la “Feria de Artesanos, productores y prestadores de servicios de Tepotzotlán” al trece de mayo de dos mil veintiséis</w:t>
      </w:r>
      <w:r w:rsidR="00043FF3" w:rsidRPr="00121BAE">
        <w:rPr>
          <w:rFonts w:ascii="Palatino Linotype" w:eastAsia="Palatino Linotype" w:hAnsi="Palatino Linotype" w:cs="Palatino Linotype"/>
          <w:sz w:val="24"/>
          <w:szCs w:val="24"/>
        </w:rPr>
        <w:t xml:space="preserve"> de</w:t>
      </w:r>
      <w:r w:rsidRPr="00121BAE">
        <w:rPr>
          <w:rFonts w:ascii="Palatino Linotype" w:eastAsia="Palatino Linotype" w:hAnsi="Palatino Linotype" w:cs="Palatino Linotype"/>
          <w:sz w:val="24"/>
          <w:szCs w:val="24"/>
        </w:rPr>
        <w:t xml:space="preserve"> lo siguiente:</w:t>
      </w:r>
    </w:p>
    <w:p w:rsidR="00043FF3" w:rsidRPr="00121BAE" w:rsidRDefault="00801451" w:rsidP="00043FF3">
      <w:pPr>
        <w:pStyle w:val="Prrafodelista"/>
        <w:numPr>
          <w:ilvl w:val="0"/>
          <w:numId w:val="17"/>
        </w:numPr>
        <w:autoSpaceDE w:val="0"/>
        <w:autoSpaceDN w:val="0"/>
        <w:adjustRightInd w:val="0"/>
        <w:spacing w:after="0" w:line="360" w:lineRule="auto"/>
        <w:ind w:left="851" w:hanging="142"/>
        <w:jc w:val="both"/>
        <w:rPr>
          <w:rFonts w:ascii="Palatino Linotype" w:hAnsi="Palatino Linotype" w:cs="Arial"/>
        </w:rPr>
      </w:pPr>
      <w:r w:rsidRPr="00121BAE">
        <w:rPr>
          <w:rFonts w:ascii="Palatino Linotype" w:hAnsi="Palatino Linotype"/>
          <w:color w:val="000000"/>
          <w:sz w:val="24"/>
          <w:szCs w:val="24"/>
        </w:rPr>
        <w:t>Soporte documental que de cuenta de la a</w:t>
      </w:r>
      <w:r w:rsidR="00043FF3" w:rsidRPr="00121BAE">
        <w:rPr>
          <w:rFonts w:ascii="Palatino Linotype" w:hAnsi="Palatino Linotype"/>
          <w:color w:val="000000"/>
          <w:sz w:val="24"/>
          <w:szCs w:val="24"/>
        </w:rPr>
        <w:t>utorización y uso de Plaza de la Cruz</w:t>
      </w:r>
      <w:r w:rsidR="001368F6" w:rsidRPr="00121BAE">
        <w:rPr>
          <w:rFonts w:ascii="Palatino Linotype" w:hAnsi="Palatino Linotype"/>
          <w:color w:val="000000"/>
          <w:sz w:val="24"/>
          <w:szCs w:val="24"/>
        </w:rPr>
        <w:t>.</w:t>
      </w:r>
    </w:p>
    <w:p w:rsidR="00043FF3" w:rsidRPr="00121BAE" w:rsidRDefault="00043FF3" w:rsidP="00043FF3">
      <w:pPr>
        <w:pStyle w:val="Prrafodelista"/>
        <w:numPr>
          <w:ilvl w:val="0"/>
          <w:numId w:val="17"/>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S</w:t>
      </w:r>
      <w:r w:rsidR="00801451" w:rsidRPr="00121BAE">
        <w:rPr>
          <w:rFonts w:ascii="Palatino Linotype" w:hAnsi="Palatino Linotype"/>
          <w:color w:val="000000"/>
          <w:sz w:val="24"/>
          <w:szCs w:val="24"/>
        </w:rPr>
        <w:t>oporte documental que de cuenta de la s</w:t>
      </w:r>
      <w:r w:rsidRPr="00121BAE">
        <w:rPr>
          <w:rFonts w:ascii="Palatino Linotype" w:hAnsi="Palatino Linotype"/>
          <w:color w:val="000000"/>
          <w:sz w:val="24"/>
          <w:szCs w:val="24"/>
        </w:rPr>
        <w:t>eguridad y logística del evento</w:t>
      </w:r>
      <w:r w:rsidR="001368F6" w:rsidRPr="00121BAE">
        <w:rPr>
          <w:rFonts w:ascii="Palatino Linotype" w:hAnsi="Palatino Linotype"/>
          <w:color w:val="000000"/>
          <w:sz w:val="24"/>
          <w:szCs w:val="24"/>
        </w:rPr>
        <w:t>.</w:t>
      </w:r>
    </w:p>
    <w:p w:rsidR="00043FF3" w:rsidRPr="00121BAE" w:rsidRDefault="00801451" w:rsidP="00043FF3">
      <w:pPr>
        <w:pStyle w:val="Prrafodelista"/>
        <w:numPr>
          <w:ilvl w:val="0"/>
          <w:numId w:val="17"/>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Soporte documental que de cuenta de p</w:t>
      </w:r>
      <w:r w:rsidR="00043FF3" w:rsidRPr="00121BAE">
        <w:rPr>
          <w:rFonts w:ascii="Palatino Linotype" w:hAnsi="Palatino Linotype"/>
          <w:color w:val="000000"/>
          <w:sz w:val="24"/>
          <w:szCs w:val="24"/>
        </w:rPr>
        <w:t>resentaciones artísticas o entretenimiento</w:t>
      </w:r>
      <w:r w:rsidR="001368F6" w:rsidRPr="00121BAE">
        <w:rPr>
          <w:rFonts w:ascii="Palatino Linotype" w:hAnsi="Palatino Linotype"/>
          <w:color w:val="000000"/>
          <w:sz w:val="24"/>
          <w:szCs w:val="24"/>
        </w:rPr>
        <w:t>.</w:t>
      </w:r>
      <w:r w:rsidR="00043FF3" w:rsidRPr="00121BAE">
        <w:rPr>
          <w:rFonts w:ascii="Palatino Linotype" w:hAnsi="Palatino Linotype"/>
          <w:color w:val="000000"/>
          <w:sz w:val="24"/>
          <w:szCs w:val="24"/>
        </w:rPr>
        <w:t xml:space="preserve"> </w:t>
      </w:r>
    </w:p>
    <w:p w:rsidR="00043FF3" w:rsidRPr="00121BAE" w:rsidRDefault="00801451" w:rsidP="00043FF3">
      <w:pPr>
        <w:pStyle w:val="Prrafodelista"/>
        <w:numPr>
          <w:ilvl w:val="0"/>
          <w:numId w:val="17"/>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Soporte documental que de cuenta del g</w:t>
      </w:r>
      <w:r w:rsidR="00043FF3" w:rsidRPr="00121BAE">
        <w:rPr>
          <w:rFonts w:ascii="Palatino Linotype" w:hAnsi="Palatino Linotype"/>
          <w:color w:val="000000"/>
          <w:sz w:val="24"/>
          <w:szCs w:val="24"/>
        </w:rPr>
        <w:t>asto en publicidad y difusión, limpieza, mantenimiento y posibles daños derivados del evento</w:t>
      </w:r>
      <w:r w:rsidR="001368F6" w:rsidRPr="00121BAE">
        <w:rPr>
          <w:rFonts w:ascii="Palatino Linotype" w:hAnsi="Palatino Linotype"/>
          <w:color w:val="000000"/>
          <w:sz w:val="24"/>
          <w:szCs w:val="24"/>
        </w:rPr>
        <w:t>.</w:t>
      </w:r>
      <w:r w:rsidR="00043FF3" w:rsidRPr="00121BAE">
        <w:rPr>
          <w:rFonts w:ascii="Palatino Linotype" w:hAnsi="Palatino Linotype"/>
          <w:color w:val="000000"/>
          <w:sz w:val="24"/>
          <w:szCs w:val="24"/>
        </w:rPr>
        <w:t xml:space="preserve"> </w:t>
      </w:r>
    </w:p>
    <w:p w:rsidR="00043FF3" w:rsidRPr="00121BAE" w:rsidRDefault="00801451" w:rsidP="00043FF3">
      <w:pPr>
        <w:pStyle w:val="Prrafodelista"/>
        <w:numPr>
          <w:ilvl w:val="0"/>
          <w:numId w:val="17"/>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Soporte documental que de cuenta de los dictámenes de Protección Civil, p</w:t>
      </w:r>
      <w:r w:rsidR="00043FF3" w:rsidRPr="00121BAE">
        <w:rPr>
          <w:rFonts w:ascii="Palatino Linotype" w:hAnsi="Palatino Linotype"/>
          <w:color w:val="000000"/>
          <w:sz w:val="24"/>
          <w:szCs w:val="24"/>
        </w:rPr>
        <w:t>ermisos para instalación de estructur</w:t>
      </w:r>
      <w:r w:rsidRPr="00121BAE">
        <w:rPr>
          <w:rFonts w:ascii="Palatino Linotype" w:hAnsi="Palatino Linotype"/>
          <w:color w:val="000000"/>
          <w:sz w:val="24"/>
          <w:szCs w:val="24"/>
        </w:rPr>
        <w:t>as, sonido o energía eléctrica, p</w:t>
      </w:r>
      <w:r w:rsidR="00043FF3" w:rsidRPr="00121BAE">
        <w:rPr>
          <w:rFonts w:ascii="Palatino Linotype" w:hAnsi="Palatino Linotype"/>
          <w:color w:val="000000"/>
          <w:sz w:val="24"/>
          <w:szCs w:val="24"/>
        </w:rPr>
        <w:t>ermisos para comercio temporal o venta durante el evento</w:t>
      </w:r>
      <w:r w:rsidR="001368F6" w:rsidRPr="00121BAE">
        <w:rPr>
          <w:rFonts w:ascii="Palatino Linotype" w:hAnsi="Palatino Linotype"/>
          <w:color w:val="000000"/>
          <w:sz w:val="24"/>
          <w:szCs w:val="24"/>
        </w:rPr>
        <w:t>.</w:t>
      </w:r>
      <w:r w:rsidR="00043FF3" w:rsidRPr="00121BAE">
        <w:rPr>
          <w:rFonts w:ascii="Palatino Linotype" w:hAnsi="Palatino Linotype"/>
          <w:color w:val="000000"/>
          <w:sz w:val="24"/>
          <w:szCs w:val="24"/>
        </w:rPr>
        <w:t xml:space="preserve"> </w:t>
      </w:r>
    </w:p>
    <w:p w:rsidR="00043FF3" w:rsidRPr="00121BAE" w:rsidRDefault="00043FF3" w:rsidP="00043FF3">
      <w:pPr>
        <w:pStyle w:val="Prrafodelista"/>
        <w:numPr>
          <w:ilvl w:val="0"/>
          <w:numId w:val="17"/>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Relación de artistas, grupos musicales, animadores o conductores participantes</w:t>
      </w:r>
      <w:r w:rsidR="001368F6" w:rsidRPr="00121BAE">
        <w:rPr>
          <w:rFonts w:ascii="Palatino Linotype" w:hAnsi="Palatino Linotype"/>
          <w:color w:val="000000"/>
          <w:sz w:val="24"/>
          <w:szCs w:val="24"/>
        </w:rPr>
        <w:t>.</w:t>
      </w:r>
      <w:r w:rsidRPr="00121BAE">
        <w:rPr>
          <w:rFonts w:ascii="Palatino Linotype" w:hAnsi="Palatino Linotype"/>
          <w:color w:val="000000"/>
          <w:sz w:val="24"/>
          <w:szCs w:val="24"/>
        </w:rPr>
        <w:t xml:space="preserve"> </w:t>
      </w:r>
    </w:p>
    <w:p w:rsidR="00043FF3" w:rsidRPr="00121BAE" w:rsidRDefault="00801451" w:rsidP="00043FF3">
      <w:pPr>
        <w:pStyle w:val="Prrafodelista"/>
        <w:numPr>
          <w:ilvl w:val="0"/>
          <w:numId w:val="17"/>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Soporte documental que de cuenta del t</w:t>
      </w:r>
      <w:r w:rsidR="00043FF3" w:rsidRPr="00121BAE">
        <w:rPr>
          <w:rFonts w:ascii="Palatino Linotype" w:hAnsi="Palatino Linotype"/>
          <w:color w:val="000000"/>
          <w:sz w:val="24"/>
          <w:szCs w:val="24"/>
        </w:rPr>
        <w:t>ipo de contratación, monto pagado, proveedor o representante contratado, ordenes de servicio, pólizas contables, reportes operativos, dictámenes y permisos, evidencia fotográfica de lo anterior.</w:t>
      </w:r>
    </w:p>
    <w:p w:rsidR="00043FF3" w:rsidRPr="00121BAE" w:rsidRDefault="00043FF3" w:rsidP="00043FF3">
      <w:pPr>
        <w:pStyle w:val="Prrafodelista"/>
        <w:numPr>
          <w:ilvl w:val="0"/>
          <w:numId w:val="17"/>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Gasto ejercido en publicidad y difusión</w:t>
      </w:r>
      <w:r w:rsidR="001368F6" w:rsidRPr="00121BAE">
        <w:rPr>
          <w:rFonts w:ascii="Palatino Linotype" w:hAnsi="Palatino Linotype"/>
          <w:color w:val="000000"/>
          <w:sz w:val="24"/>
          <w:szCs w:val="24"/>
        </w:rPr>
        <w:t>.</w:t>
      </w:r>
      <w:r w:rsidRPr="00121BAE">
        <w:rPr>
          <w:rFonts w:ascii="Palatino Linotype" w:hAnsi="Palatino Linotype"/>
          <w:color w:val="000000"/>
          <w:sz w:val="24"/>
          <w:szCs w:val="24"/>
        </w:rPr>
        <w:t xml:space="preserve"> </w:t>
      </w:r>
    </w:p>
    <w:p w:rsidR="007B09D7" w:rsidRPr="00121BAE" w:rsidRDefault="00043FF3" w:rsidP="00801451">
      <w:pPr>
        <w:pStyle w:val="Prrafodelista"/>
        <w:numPr>
          <w:ilvl w:val="0"/>
          <w:numId w:val="17"/>
        </w:numPr>
        <w:autoSpaceDE w:val="0"/>
        <w:autoSpaceDN w:val="0"/>
        <w:adjustRightInd w:val="0"/>
        <w:spacing w:after="0" w:line="360" w:lineRule="auto"/>
        <w:ind w:left="993"/>
        <w:jc w:val="both"/>
        <w:rPr>
          <w:rFonts w:ascii="Palatino Linotype" w:hAnsi="Palatino Linotype" w:cs="Arial"/>
        </w:rPr>
      </w:pPr>
      <w:r w:rsidRPr="00121BAE">
        <w:rPr>
          <w:rFonts w:ascii="Palatino Linotype" w:hAnsi="Palatino Linotype"/>
          <w:color w:val="000000"/>
          <w:sz w:val="24"/>
          <w:szCs w:val="24"/>
        </w:rPr>
        <w:t xml:space="preserve">Número de elementos de seguridad desplegados, </w:t>
      </w:r>
      <w:r w:rsidR="0011537A" w:rsidRPr="00121BAE">
        <w:rPr>
          <w:rFonts w:ascii="Palatino Linotype" w:hAnsi="Palatino Linotype"/>
          <w:color w:val="000000"/>
          <w:sz w:val="24"/>
          <w:szCs w:val="24"/>
        </w:rPr>
        <w:t xml:space="preserve">número de </w:t>
      </w:r>
      <w:r w:rsidRPr="00121BAE">
        <w:rPr>
          <w:rFonts w:ascii="Palatino Linotype" w:hAnsi="Palatino Linotype"/>
          <w:color w:val="000000"/>
          <w:sz w:val="24"/>
          <w:szCs w:val="24"/>
        </w:rPr>
        <w:t>operativos implementados</w:t>
      </w:r>
      <w:r w:rsidR="001368F6" w:rsidRPr="00121BAE">
        <w:rPr>
          <w:rFonts w:ascii="Palatino Linotype" w:hAnsi="Palatino Linotype"/>
          <w:color w:val="000000"/>
          <w:sz w:val="24"/>
          <w:szCs w:val="24"/>
        </w:rPr>
        <w:t>.</w:t>
      </w:r>
    </w:p>
    <w:p w:rsidR="000248B1" w:rsidRPr="00121BAE" w:rsidRDefault="000248B1" w:rsidP="00801451">
      <w:pPr>
        <w:pStyle w:val="Prrafodelista"/>
        <w:numPr>
          <w:ilvl w:val="0"/>
          <w:numId w:val="17"/>
        </w:numPr>
        <w:autoSpaceDE w:val="0"/>
        <w:autoSpaceDN w:val="0"/>
        <w:adjustRightInd w:val="0"/>
        <w:spacing w:after="0" w:line="360" w:lineRule="auto"/>
        <w:ind w:left="993"/>
        <w:jc w:val="both"/>
        <w:rPr>
          <w:rFonts w:ascii="Palatino Linotype" w:hAnsi="Palatino Linotype" w:cs="Arial"/>
          <w:sz w:val="24"/>
          <w:szCs w:val="24"/>
        </w:rPr>
      </w:pPr>
      <w:r w:rsidRPr="00121BAE">
        <w:rPr>
          <w:rFonts w:ascii="Palatino Linotype" w:hAnsi="Palatino Linotype"/>
          <w:sz w:val="24"/>
          <w:szCs w:val="24"/>
        </w:rPr>
        <w:lastRenderedPageBreak/>
        <w:t>El acuerdo de clasificación emitido por el Comité de Transparencia, en donde de manera fundada y motivada, a través de una prueba de daño, confirme la clasificación como reservada, en términos del artículo 140, fracción I, de la Ley de Transparencia y Acceso a la Información Pública del Estado de México y Municipios, del parte de novedades generado por la Policía Municipal de Tepotzotlán.</w:t>
      </w:r>
    </w:p>
    <w:p w:rsidR="000248B1" w:rsidRPr="00121BAE" w:rsidRDefault="000248B1" w:rsidP="000248B1">
      <w:pPr>
        <w:pStyle w:val="Prrafodelista"/>
        <w:autoSpaceDE w:val="0"/>
        <w:autoSpaceDN w:val="0"/>
        <w:adjustRightInd w:val="0"/>
        <w:spacing w:after="0" w:line="360" w:lineRule="auto"/>
        <w:ind w:left="993"/>
        <w:jc w:val="both"/>
        <w:rPr>
          <w:rFonts w:ascii="Palatino Linotype" w:hAnsi="Palatino Linotype" w:cs="Arial"/>
        </w:rPr>
      </w:pPr>
    </w:p>
    <w:p w:rsidR="007B09D7" w:rsidRPr="00121BAE" w:rsidRDefault="007B09D7" w:rsidP="007B09D7">
      <w:pPr>
        <w:pStyle w:val="Prrafodelista"/>
        <w:spacing w:line="360" w:lineRule="auto"/>
        <w:jc w:val="both"/>
        <w:rPr>
          <w:rFonts w:ascii="Palatino Linotype" w:hAnsi="Palatino Linotype"/>
          <w:i/>
        </w:rPr>
      </w:pPr>
      <w:r w:rsidRPr="00121BAE">
        <w:rPr>
          <w:rFonts w:ascii="Palatino Linotype" w:hAnsi="Palatino Linotype"/>
          <w:i/>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y se ponga a disposición de la parte </w:t>
      </w:r>
      <w:r w:rsidRPr="00121BAE">
        <w:rPr>
          <w:rFonts w:ascii="Palatino Linotype" w:hAnsi="Palatino Linotype"/>
          <w:b/>
          <w:i/>
        </w:rPr>
        <w:t>Recurrente</w:t>
      </w:r>
      <w:r w:rsidRPr="00121BAE">
        <w:rPr>
          <w:rFonts w:ascii="Palatino Linotype" w:hAnsi="Palatino Linotype"/>
          <w:i/>
        </w:rPr>
        <w:t>.</w:t>
      </w:r>
    </w:p>
    <w:p w:rsidR="007B09D7" w:rsidRPr="00121BAE" w:rsidRDefault="007B09D7" w:rsidP="007B09D7">
      <w:pPr>
        <w:pStyle w:val="Prrafodelista"/>
        <w:spacing w:line="360" w:lineRule="auto"/>
        <w:jc w:val="both"/>
        <w:rPr>
          <w:rFonts w:ascii="Palatino Linotype" w:hAnsi="Palatino Linotype"/>
          <w:i/>
        </w:rPr>
      </w:pPr>
    </w:p>
    <w:p w:rsidR="007B09D7" w:rsidRPr="00121BAE" w:rsidRDefault="007B09D7" w:rsidP="00801451">
      <w:pPr>
        <w:pStyle w:val="Prrafodelista"/>
        <w:spacing w:line="360" w:lineRule="auto"/>
        <w:jc w:val="both"/>
        <w:rPr>
          <w:rFonts w:ascii="Palatino Linotype" w:hAnsi="Palatino Linotype"/>
          <w:i/>
        </w:rPr>
      </w:pPr>
      <w:r w:rsidRPr="00121BAE">
        <w:rPr>
          <w:rFonts w:ascii="Palatino Linotype" w:hAnsi="Palatino Linotype"/>
          <w:i/>
        </w:rPr>
        <w:t xml:space="preserve">De ser el caso que el sujeto Obligado </w:t>
      </w:r>
      <w:r w:rsidRPr="00121BAE">
        <w:rPr>
          <w:rFonts w:ascii="Palatino Linotype" w:hAnsi="Palatino Linotype"/>
          <w:b/>
          <w:i/>
        </w:rPr>
        <w:t xml:space="preserve">no haya </w:t>
      </w:r>
      <w:r w:rsidR="00801451" w:rsidRPr="00121BAE">
        <w:rPr>
          <w:rFonts w:ascii="Palatino Linotype" w:hAnsi="Palatino Linotype"/>
          <w:b/>
          <w:i/>
        </w:rPr>
        <w:t>erogado gasto por concepto de daños derivados del evento referido en solicitud, que no hubiera contratado artistas, grupos musicales o animadores, que no cuente con evidenc</w:t>
      </w:r>
      <w:r w:rsidR="009F79A4" w:rsidRPr="00121BAE">
        <w:rPr>
          <w:rFonts w:ascii="Palatino Linotype" w:hAnsi="Palatino Linotype"/>
          <w:b/>
          <w:i/>
        </w:rPr>
        <w:t>ia fotográfica de lo requerido</w:t>
      </w:r>
      <w:r w:rsidR="00801451" w:rsidRPr="00121BAE">
        <w:rPr>
          <w:rFonts w:ascii="Palatino Linotype" w:hAnsi="Palatino Linotype"/>
          <w:b/>
          <w:i/>
        </w:rPr>
        <w:t xml:space="preserve">, </w:t>
      </w:r>
      <w:r w:rsidRPr="00121BAE">
        <w:rPr>
          <w:rFonts w:ascii="Palatino Linotype" w:hAnsi="Palatino Linotype"/>
          <w:i/>
        </w:rPr>
        <w:t>bastara con que así lo manifieste en términos de lo establecido por el segundo párrafo del artículo 19 de la Ley de Transparencia Local</w:t>
      </w:r>
      <w:r w:rsidR="0060542A" w:rsidRPr="00121BAE">
        <w:rPr>
          <w:rFonts w:ascii="Palatino Linotype" w:hAnsi="Palatino Linotype"/>
          <w:i/>
        </w:rPr>
        <w:t>.</w:t>
      </w:r>
    </w:p>
    <w:p w:rsidR="0060542A" w:rsidRPr="00121BAE" w:rsidRDefault="0060542A" w:rsidP="00801451">
      <w:pPr>
        <w:pStyle w:val="Prrafodelista"/>
        <w:spacing w:line="360" w:lineRule="auto"/>
        <w:jc w:val="both"/>
        <w:rPr>
          <w:rFonts w:ascii="Palatino Linotype" w:hAnsi="Palatino Linotype"/>
          <w:i/>
        </w:rPr>
      </w:pPr>
    </w:p>
    <w:p w:rsidR="007B09D7" w:rsidRPr="00121BAE" w:rsidRDefault="0060542A" w:rsidP="00C45A9C">
      <w:pPr>
        <w:pStyle w:val="Prrafodelista"/>
        <w:spacing w:line="360" w:lineRule="auto"/>
        <w:jc w:val="both"/>
        <w:rPr>
          <w:rFonts w:ascii="Palatino Linotype" w:hAnsi="Palatino Linotype"/>
          <w:i/>
        </w:rPr>
      </w:pPr>
      <w:r w:rsidRPr="00121BAE">
        <w:rPr>
          <w:rFonts w:ascii="Palatino Linotype" w:hAnsi="Palatino Linotype"/>
          <w:i/>
        </w:rPr>
        <w:t>De ser el caso que respecto el inciso b resulte aplicable una causal de reserva de la información en términos de lo establecido por el artículo 140 de la Ley de Transparencia Local el Sujeto Obligado deberá emitir su acuerdo de clasificación de reserva en el que se funde y motive la clasificación en los términos establecidos por la Ley en la Materia.</w:t>
      </w:r>
    </w:p>
    <w:p w:rsidR="00C45A9C" w:rsidRPr="00121BAE" w:rsidRDefault="00C45A9C" w:rsidP="00C45A9C">
      <w:pPr>
        <w:pStyle w:val="Prrafodelista"/>
        <w:spacing w:line="360" w:lineRule="auto"/>
        <w:jc w:val="both"/>
        <w:rPr>
          <w:rFonts w:ascii="Palatino Linotype" w:hAnsi="Palatino Linotype"/>
          <w:i/>
        </w:rPr>
      </w:pPr>
    </w:p>
    <w:p w:rsidR="007B09D7" w:rsidRPr="00121BAE" w:rsidRDefault="007B09D7" w:rsidP="007B09D7">
      <w:pPr>
        <w:spacing w:line="360" w:lineRule="auto"/>
        <w:jc w:val="both"/>
        <w:rPr>
          <w:rFonts w:ascii="Palatino Linotype" w:hAnsi="Palatino Linotype" w:cs="Tahoma"/>
          <w:sz w:val="24"/>
          <w:szCs w:val="24"/>
          <w:lang w:eastAsia="es-ES"/>
        </w:rPr>
      </w:pPr>
      <w:r w:rsidRPr="00121BAE">
        <w:rPr>
          <w:rFonts w:ascii="Palatino Linotype" w:eastAsia="Palatino Linotype" w:hAnsi="Palatino Linotype" w:cs="Palatino Linotype"/>
          <w:b/>
          <w:sz w:val="24"/>
          <w:szCs w:val="24"/>
        </w:rPr>
        <w:lastRenderedPageBreak/>
        <w:t xml:space="preserve">SEGUNDO. </w:t>
      </w:r>
      <w:r w:rsidRPr="00121BAE">
        <w:rPr>
          <w:rFonts w:ascii="Palatino Linotype" w:hAnsi="Palatino Linotype" w:cs="Tahoma"/>
          <w:b/>
          <w:sz w:val="24"/>
          <w:szCs w:val="24"/>
          <w:lang w:eastAsia="es-ES"/>
        </w:rPr>
        <w:t xml:space="preserve">NOTIFÍQUESE </w:t>
      </w:r>
      <w:r w:rsidRPr="00121BAE">
        <w:rPr>
          <w:rFonts w:ascii="Palatino Linotype" w:hAnsi="Palatino Linotype" w:cs="Tahoma"/>
          <w:sz w:val="24"/>
          <w:szCs w:val="24"/>
          <w:lang w:eastAsia="es-ES"/>
        </w:rPr>
        <w:t xml:space="preserve">la presente resolución al Titular de la Unidad de Transparencia del Sujeto Obligado, vía </w:t>
      </w:r>
      <w:r w:rsidRPr="00121BAE">
        <w:rPr>
          <w:rFonts w:ascii="Palatino Linotype" w:eastAsia="Palatino Linotype" w:hAnsi="Palatino Linotype" w:cs="Palatino Linotype"/>
          <w:sz w:val="24"/>
          <w:szCs w:val="24"/>
        </w:rPr>
        <w:t>Sistema de Acceso a la Información Mexiquense (</w:t>
      </w:r>
      <w:r w:rsidRPr="00121BAE">
        <w:rPr>
          <w:rFonts w:ascii="Palatino Linotype" w:eastAsia="Palatino Linotype" w:hAnsi="Palatino Linotype" w:cs="Palatino Linotype"/>
          <w:b/>
          <w:sz w:val="24"/>
          <w:szCs w:val="24"/>
        </w:rPr>
        <w:t>SAIMEX</w:t>
      </w:r>
      <w:r w:rsidRPr="00121BAE">
        <w:rPr>
          <w:rFonts w:ascii="Palatino Linotype" w:eastAsia="Palatino Linotype" w:hAnsi="Palatino Linotype" w:cs="Palatino Linotype"/>
          <w:sz w:val="24"/>
          <w:szCs w:val="24"/>
        </w:rPr>
        <w:t xml:space="preserve">) </w:t>
      </w:r>
      <w:r w:rsidRPr="00121BAE">
        <w:rPr>
          <w:rFonts w:ascii="Palatino Linotype" w:hAnsi="Palatino Linotype" w:cs="Tahoma"/>
          <w:sz w:val="24"/>
          <w:szCs w:val="24"/>
          <w:lang w:eastAsia="es-ES"/>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F79A4" w:rsidRPr="00121BAE" w:rsidRDefault="009F79A4" w:rsidP="007B09D7">
      <w:pPr>
        <w:spacing w:line="360" w:lineRule="auto"/>
        <w:jc w:val="both"/>
        <w:rPr>
          <w:rFonts w:ascii="Palatino Linotype" w:hAnsi="Palatino Linotype" w:cs="Tahoma"/>
          <w:sz w:val="24"/>
          <w:szCs w:val="24"/>
          <w:lang w:eastAsia="es-ES"/>
        </w:rPr>
      </w:pPr>
    </w:p>
    <w:p w:rsidR="007B09D7" w:rsidRPr="00121BAE" w:rsidRDefault="007B09D7" w:rsidP="007B09D7">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121BAE">
        <w:rPr>
          <w:rFonts w:ascii="Palatino Linotype" w:eastAsia="Palatino Linotype" w:hAnsi="Palatino Linotype" w:cs="Palatino Linotype"/>
          <w:b/>
          <w:sz w:val="24"/>
          <w:szCs w:val="24"/>
        </w:rPr>
        <w:t xml:space="preserve">TERCERO. </w:t>
      </w:r>
      <w:r w:rsidRPr="00121BAE">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7B09D7" w:rsidRPr="00121BAE" w:rsidRDefault="007B09D7" w:rsidP="007B09D7">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rsidR="007B09D7" w:rsidRPr="00121BAE" w:rsidRDefault="007B09D7" w:rsidP="009F191D">
      <w:pPr>
        <w:autoSpaceDE w:val="0"/>
        <w:autoSpaceDN w:val="0"/>
        <w:adjustRightInd w:val="0"/>
        <w:spacing w:line="360" w:lineRule="auto"/>
        <w:jc w:val="both"/>
        <w:rPr>
          <w:rFonts w:ascii="Palatino Linotype" w:hAnsi="Palatino Linotype"/>
          <w:b/>
          <w:sz w:val="24"/>
          <w:szCs w:val="24"/>
        </w:rPr>
      </w:pPr>
      <w:r w:rsidRPr="00121BAE">
        <w:rPr>
          <w:rFonts w:ascii="Palatino Linotype" w:hAnsi="Palatino Linotype"/>
          <w:b/>
          <w:sz w:val="24"/>
          <w:szCs w:val="24"/>
        </w:rPr>
        <w:t xml:space="preserve">CUARTO. </w:t>
      </w:r>
      <w:r w:rsidRPr="00121BAE">
        <w:rPr>
          <w:rFonts w:ascii="Palatino Linotype" w:hAnsi="Palatino Linotype" w:cstheme="minorHAnsi"/>
          <w:sz w:val="24"/>
          <w:szCs w:val="24"/>
          <w:lang w:eastAsia="es-ES_tradnl"/>
        </w:rPr>
        <w:t>Se hace del conocimiento de la parte Recurrente que, de conformidad con lo establecido en el segundo párrafo del artículo 179 de la Ley de Transparencia y Acceso a la Información Pública del Estado de México y Municipios, tiene derecho a interponer nuevamente Recurso de Revisión ante este Instituto, por la respuesta que proporcione el Sujeto Obligado en cumplimiento a esta Resolución</w:t>
      </w:r>
    </w:p>
    <w:p w:rsidR="007B09D7" w:rsidRPr="00121BAE" w:rsidRDefault="007B09D7" w:rsidP="007B09D7">
      <w:pPr>
        <w:pBdr>
          <w:top w:val="nil"/>
          <w:left w:val="nil"/>
          <w:bottom w:val="nil"/>
          <w:right w:val="nil"/>
          <w:between w:val="nil"/>
        </w:pBdr>
        <w:spacing w:line="360" w:lineRule="auto"/>
        <w:jc w:val="both"/>
        <w:rPr>
          <w:rFonts w:ascii="Palatino Linotype" w:eastAsia="Palatino Linotype" w:hAnsi="Palatino Linotype" w:cs="Palatino Linotype"/>
          <w:bCs/>
          <w:color w:val="000000"/>
          <w:sz w:val="24"/>
          <w:szCs w:val="24"/>
        </w:rPr>
      </w:pPr>
      <w:r w:rsidRPr="00121BAE">
        <w:rPr>
          <w:rFonts w:ascii="Palatino Linotype" w:eastAsia="Palatino Linotype" w:hAnsi="Palatino Linotype" w:cs="Palatino Linotype"/>
          <w:b/>
          <w:color w:val="000000"/>
          <w:sz w:val="24"/>
          <w:szCs w:val="24"/>
        </w:rPr>
        <w:lastRenderedPageBreak/>
        <w:t xml:space="preserve">QUINTO. </w:t>
      </w:r>
      <w:r w:rsidRPr="00121BAE">
        <w:rPr>
          <w:rFonts w:ascii="Palatino Linotype" w:hAnsi="Palatino Linotype" w:cs="Arial"/>
          <w:b/>
          <w:sz w:val="24"/>
          <w:szCs w:val="24"/>
        </w:rPr>
        <w:t>NOTIFÍQUESE</w:t>
      </w:r>
      <w:r w:rsidRPr="00121BAE">
        <w:rPr>
          <w:rFonts w:ascii="Palatino Linotype" w:hAnsi="Palatino Linotype" w:cs="Arial"/>
          <w:sz w:val="24"/>
          <w:szCs w:val="24"/>
        </w:rPr>
        <w:t xml:space="preserve"> a través del Sistema de Acceso a la Información Mexiquense (SAIMEX) a la </w:t>
      </w:r>
      <w:r w:rsidRPr="00121BAE">
        <w:rPr>
          <w:rFonts w:ascii="Palatino Linotype" w:hAnsi="Palatino Linotype" w:cs="Arial"/>
          <w:b/>
          <w:sz w:val="24"/>
          <w:szCs w:val="24"/>
        </w:rPr>
        <w:t>Recurrente</w:t>
      </w:r>
      <w:r w:rsidRPr="00121BAE">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7B09D7" w:rsidRPr="00121BAE" w:rsidRDefault="007B09D7" w:rsidP="007B09D7">
      <w:pPr>
        <w:autoSpaceDE w:val="0"/>
        <w:autoSpaceDN w:val="0"/>
        <w:adjustRightInd w:val="0"/>
        <w:spacing w:line="360" w:lineRule="auto"/>
        <w:jc w:val="both"/>
        <w:rPr>
          <w:rFonts w:ascii="Palatino Linotype" w:hAnsi="Palatino Linotype" w:cs="Arial"/>
          <w:sz w:val="24"/>
          <w:szCs w:val="24"/>
        </w:rPr>
      </w:pPr>
      <w:r w:rsidRPr="00121BAE">
        <w:rPr>
          <w:rFonts w:ascii="Palatino Linotype" w:hAnsi="Palatino Linotype" w:cs="Arial"/>
          <w:sz w:val="24"/>
          <w:szCs w:val="24"/>
        </w:rPr>
        <w:t xml:space="preserve">Antecedente </w:t>
      </w:r>
    </w:p>
    <w:p w:rsidR="00121BAE" w:rsidRPr="00121BAE" w:rsidRDefault="007B09D7" w:rsidP="00121BAE">
      <w:pPr>
        <w:tabs>
          <w:tab w:val="left" w:pos="284"/>
        </w:tabs>
        <w:spacing w:line="360" w:lineRule="auto"/>
        <w:jc w:val="both"/>
        <w:rPr>
          <w:rFonts w:ascii="Palatino Linotype" w:hAnsi="Palatino Linotype"/>
          <w:sz w:val="24"/>
          <w:szCs w:val="24"/>
          <w:lang w:eastAsia="es-ES_tradnl"/>
        </w:rPr>
      </w:pPr>
      <w:r w:rsidRPr="00121BAE">
        <w:rPr>
          <w:rFonts w:ascii="Palatino Linotype" w:eastAsia="Times New Roman" w:hAnsi="Palatino Linotype" w:cs="Arial"/>
          <w:b/>
          <w:sz w:val="24"/>
          <w:szCs w:val="24"/>
          <w:lang w:val="es-ES" w:eastAsia="es-ES"/>
        </w:rPr>
        <w:t xml:space="preserve">SEXTO. </w:t>
      </w:r>
      <w:r w:rsidRPr="00121BAE">
        <w:rPr>
          <w:rFonts w:ascii="Palatino Linotype" w:hAnsi="Palatino Linotype" w:cs="Times New Roman"/>
          <w:b/>
          <w:sz w:val="24"/>
          <w:szCs w:val="24"/>
          <w:lang w:eastAsia="es-ES_tradnl"/>
        </w:rPr>
        <w:t xml:space="preserve">- </w:t>
      </w:r>
      <w:r w:rsidRPr="00121BAE">
        <w:rPr>
          <w:rFonts w:ascii="Palatino Linotype" w:eastAsia="Palatino Linotype" w:hAnsi="Palatino Linotype" w:cs="Palatino Linotype"/>
          <w:b/>
          <w:sz w:val="24"/>
          <w:szCs w:val="24"/>
        </w:rPr>
        <w:t xml:space="preserve">Gírese </w:t>
      </w:r>
      <w:r w:rsidRPr="00121BAE">
        <w:rPr>
          <w:rFonts w:ascii="Palatino Linotype" w:eastAsia="Palatino Linotype" w:hAnsi="Palatino Linotype" w:cs="Palatino Linotype"/>
          <w:bCs/>
          <w:sz w:val="24"/>
          <w:szCs w:val="24"/>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w:t>
      </w:r>
      <w:r w:rsidRPr="00121BAE">
        <w:rPr>
          <w:rFonts w:ascii="Palatino Linotype" w:eastAsia="Palatino Linotype" w:hAnsi="Palatino Linotype" w:cs="Palatino Linotype"/>
          <w:b/>
          <w:sz w:val="24"/>
          <w:szCs w:val="24"/>
        </w:rPr>
        <w:t xml:space="preserve"> Considerando TERCERO </w:t>
      </w:r>
      <w:r w:rsidRPr="00121BAE">
        <w:rPr>
          <w:rFonts w:ascii="Palatino Linotype" w:eastAsia="Palatino Linotype" w:hAnsi="Palatino Linotype" w:cs="Palatino Linotype"/>
          <w:bCs/>
          <w:sz w:val="24"/>
          <w:szCs w:val="24"/>
        </w:rPr>
        <w:t>de la presente resolución</w:t>
      </w:r>
      <w:r w:rsidRPr="00121BAE">
        <w:rPr>
          <w:rFonts w:ascii="Palatino Linotype" w:hAnsi="Palatino Linotype"/>
          <w:sz w:val="24"/>
          <w:szCs w:val="24"/>
          <w:lang w:eastAsia="es-ES_tradnl"/>
        </w:rPr>
        <w:t>.</w:t>
      </w:r>
    </w:p>
    <w:p w:rsidR="007B09D7" w:rsidRPr="00121BAE" w:rsidRDefault="007B09D7" w:rsidP="007B09D7">
      <w:pPr>
        <w:autoSpaceDE w:val="0"/>
        <w:autoSpaceDN w:val="0"/>
        <w:adjustRightInd w:val="0"/>
        <w:spacing w:line="360" w:lineRule="auto"/>
        <w:jc w:val="both"/>
        <w:rPr>
          <w:rFonts w:ascii="Palatino Linotype" w:hAnsi="Palatino Linotype" w:cs="Arial"/>
        </w:rPr>
      </w:pPr>
      <w:r w:rsidRPr="00121BAE">
        <w:rPr>
          <w:rFonts w:ascii="Palatino Linotype" w:hAnsi="Palatino Linotype" w:cs="Arial"/>
          <w:sz w:val="24"/>
        </w:rPr>
        <w:t xml:space="preserve">ASÍ LO ACORDÓ, POR </w:t>
      </w:r>
      <w:r w:rsidRPr="00121BAE">
        <w:rPr>
          <w:rFonts w:ascii="Palatino Linotype" w:hAnsi="Palatino Linotype" w:cs="Arial"/>
          <w:b/>
          <w:sz w:val="24"/>
        </w:rPr>
        <w:t>UNANIMIDAD DE VOTOS</w:t>
      </w:r>
      <w:r w:rsidRPr="00121BAE">
        <w:rPr>
          <w:rFonts w:ascii="Palatino Linotype" w:hAnsi="Palatino Linotype" w:cs="Arial"/>
          <w:sz w:val="24"/>
        </w:rPr>
        <w:t>, EL PLENO DEL</w:t>
      </w:r>
      <w:r w:rsidRPr="00121BAE">
        <w:rPr>
          <w:rFonts w:ascii="Palatino Linotype" w:eastAsia="Arial Unicode MS" w:hAnsi="Palatino Linotype" w:cs="Arial"/>
          <w:sz w:val="24"/>
        </w:rPr>
        <w:t xml:space="preserve"> INSTITUTO DE TRANSPARENCIA, ACCESO A LA INFORMACIÓN PÚBLICA Y PROTECCIÓN DE DATOS PERSONALES DEL ESTADO DE MÉXICO Y MUNICIPIOS</w:t>
      </w:r>
      <w:r w:rsidRPr="00121BAE">
        <w:rPr>
          <w:rFonts w:ascii="Palatino Linotype" w:hAnsi="Palatino Linotype" w:cs="Arial"/>
          <w:sz w:val="24"/>
        </w:rPr>
        <w:t>, CONFORMADO POR LOS COMISIONADOS JOSÉ MARTÍNEZ VILCHIS, MARÍA DEL ROSARIO MEJÍA AYALA</w:t>
      </w:r>
      <w:r w:rsidR="003E1DDA" w:rsidRPr="00121BAE">
        <w:rPr>
          <w:rFonts w:ascii="Palatino Linotype" w:hAnsi="Palatino Linotype" w:cs="Arial"/>
          <w:sz w:val="24"/>
        </w:rPr>
        <w:t xml:space="preserve"> (</w:t>
      </w:r>
      <w:r w:rsidR="003E1DDA" w:rsidRPr="00121BAE">
        <w:rPr>
          <w:rFonts w:ascii="Palatino Linotype" w:hAnsi="Palatino Linotype" w:cs="Arial"/>
          <w:sz w:val="24"/>
          <w:u w:val="single"/>
        </w:rPr>
        <w:t>VOTO PARTICULAR)</w:t>
      </w:r>
      <w:r w:rsidRPr="00121BAE">
        <w:rPr>
          <w:rFonts w:ascii="Palatino Linotype" w:hAnsi="Palatino Linotype" w:cs="Arial"/>
          <w:sz w:val="24"/>
        </w:rPr>
        <w:t>, SHARON CRISTINA MORALES MARTÍNEZ, LUIS GUSTAVO PARRA NORIEGA</w:t>
      </w:r>
      <w:r w:rsidR="00E43D34" w:rsidRPr="00121BAE">
        <w:rPr>
          <w:rFonts w:ascii="Palatino Linotype" w:hAnsi="Palatino Linotype" w:cs="Arial"/>
          <w:sz w:val="24"/>
        </w:rPr>
        <w:t xml:space="preserve"> (</w:t>
      </w:r>
      <w:r w:rsidR="00E43D34" w:rsidRPr="00121BAE">
        <w:rPr>
          <w:rFonts w:ascii="Palatino Linotype" w:hAnsi="Palatino Linotype" w:cs="Arial"/>
          <w:sz w:val="24"/>
          <w:u w:val="single"/>
        </w:rPr>
        <w:t>VOTO PARTICULAR)</w:t>
      </w:r>
      <w:r w:rsidR="00E43D34" w:rsidRPr="00121BAE">
        <w:rPr>
          <w:rFonts w:ascii="Palatino Linotype" w:hAnsi="Palatino Linotype" w:cs="Arial"/>
          <w:sz w:val="24"/>
        </w:rPr>
        <w:t xml:space="preserve">, </w:t>
      </w:r>
      <w:r w:rsidRPr="00121BAE">
        <w:rPr>
          <w:rFonts w:ascii="Palatino Linotype" w:hAnsi="Palatino Linotype" w:cs="Arial"/>
          <w:sz w:val="24"/>
        </w:rPr>
        <w:t xml:space="preserve"> Y GUADALUPE RAMÍREZ PEÑA EN LA </w:t>
      </w:r>
      <w:r w:rsidR="00E43D34" w:rsidRPr="00121BAE">
        <w:rPr>
          <w:rFonts w:ascii="Palatino Linotype" w:hAnsi="Palatino Linotype" w:cs="Arial"/>
          <w:b/>
          <w:sz w:val="24"/>
        </w:rPr>
        <w:t xml:space="preserve">VIGÉSIMA NOVENA </w:t>
      </w:r>
      <w:r w:rsidRPr="00121BAE">
        <w:rPr>
          <w:rFonts w:ascii="Palatino Linotype" w:hAnsi="Palatino Linotype" w:cs="Arial"/>
          <w:b/>
          <w:sz w:val="24"/>
        </w:rPr>
        <w:t xml:space="preserve">SESIÓN ORDINARIA CELEBRADA EL </w:t>
      </w:r>
      <w:r w:rsidR="00E43D34" w:rsidRPr="00121BAE">
        <w:rPr>
          <w:rFonts w:ascii="Palatino Linotype" w:hAnsi="Palatino Linotype" w:cs="Arial"/>
          <w:b/>
          <w:sz w:val="24"/>
        </w:rPr>
        <w:t>DIECINUEVE DE AGOSTO</w:t>
      </w:r>
      <w:r w:rsidRPr="00121BAE">
        <w:rPr>
          <w:rFonts w:ascii="Palatino Linotype" w:hAnsi="Palatino Linotype" w:cs="Arial"/>
          <w:b/>
          <w:sz w:val="24"/>
        </w:rPr>
        <w:t xml:space="preserve"> DE DOS MIL VEINTISÉIS</w:t>
      </w:r>
      <w:r w:rsidRPr="00121BAE">
        <w:rPr>
          <w:rFonts w:ascii="Palatino Linotype" w:hAnsi="Palatino Linotype" w:cs="Arial"/>
          <w:sz w:val="24"/>
        </w:rPr>
        <w:t>, ANTE EL SECRETARIO TÉCNICO DEL PLENO, ALEXIS TAPIA RAMÍREZ. ----------------------------------------------------------------------------------------</w:t>
      </w:r>
      <w:r w:rsidRPr="00121BAE">
        <w:rPr>
          <w:rFonts w:ascii="Palatino Linotype" w:hAnsi="Palatino Linotype" w:cs="Arial"/>
        </w:rPr>
        <w:t>-----------</w:t>
      </w:r>
    </w:p>
    <w:p w:rsidR="007B09D7" w:rsidRPr="00ED3150" w:rsidRDefault="007B09D7" w:rsidP="007B09D7">
      <w:pPr>
        <w:autoSpaceDE w:val="0"/>
        <w:autoSpaceDN w:val="0"/>
        <w:adjustRightInd w:val="0"/>
        <w:spacing w:line="360" w:lineRule="auto"/>
        <w:jc w:val="both"/>
        <w:rPr>
          <w:rFonts w:ascii="Palatino Linotype" w:hAnsi="Palatino Linotype"/>
          <w:sz w:val="20"/>
        </w:rPr>
      </w:pPr>
      <w:r w:rsidRPr="00121BAE">
        <w:rPr>
          <w:rFonts w:ascii="Palatino Linotype" w:hAnsi="Palatino Linotype"/>
          <w:bCs/>
          <w:sz w:val="16"/>
          <w:szCs w:val="18"/>
        </w:rPr>
        <w:t>JMV/CCR/ NJMB</w:t>
      </w:r>
    </w:p>
    <w:tbl>
      <w:tblPr>
        <w:tblW w:w="9284" w:type="dxa"/>
        <w:tblLayout w:type="fixed"/>
        <w:tblLook w:val="0400" w:firstRow="0" w:lastRow="0" w:firstColumn="0" w:lastColumn="0" w:noHBand="0" w:noVBand="1"/>
      </w:tblPr>
      <w:tblGrid>
        <w:gridCol w:w="4282"/>
        <w:gridCol w:w="5002"/>
      </w:tblGrid>
      <w:tr w:rsidR="0092012C" w:rsidRPr="00473A89" w:rsidTr="00CC3CB0">
        <w:trPr>
          <w:trHeight w:val="2342"/>
        </w:trPr>
        <w:tc>
          <w:tcPr>
            <w:tcW w:w="9284" w:type="dxa"/>
            <w:gridSpan w:val="2"/>
          </w:tcPr>
          <w:p w:rsidR="0092012C" w:rsidRDefault="0092012C" w:rsidP="00CC3CB0">
            <w:pPr>
              <w:pStyle w:val="Sinespaciado"/>
              <w:jc w:val="center"/>
              <w:rPr>
                <w:rFonts w:ascii="Palatino Linotype" w:eastAsia="Palatino Linotype" w:hAnsi="Palatino Linotype"/>
                <w:sz w:val="23"/>
                <w:szCs w:val="23"/>
              </w:rPr>
            </w:pPr>
          </w:p>
          <w:p w:rsidR="0092012C" w:rsidRPr="00473A89" w:rsidRDefault="0092012C" w:rsidP="00CC3CB0">
            <w:pPr>
              <w:pStyle w:val="Sinespaciado"/>
              <w:jc w:val="center"/>
              <w:rPr>
                <w:rFonts w:ascii="Palatino Linotype" w:eastAsia="Palatino Linotype" w:hAnsi="Palatino Linotype"/>
                <w:sz w:val="23"/>
                <w:szCs w:val="23"/>
              </w:rPr>
            </w:pPr>
          </w:p>
          <w:p w:rsidR="0092012C" w:rsidRPr="00473A89" w:rsidRDefault="0092012C" w:rsidP="00CC3CB0">
            <w:pPr>
              <w:pStyle w:val="Sinespaciado"/>
              <w:jc w:val="center"/>
              <w:rPr>
                <w:rFonts w:ascii="Palatino Linotype" w:eastAsia="Palatino Linotype" w:hAnsi="Palatino Linotype"/>
                <w:sz w:val="23"/>
                <w:szCs w:val="23"/>
              </w:rPr>
            </w:pPr>
          </w:p>
          <w:p w:rsidR="0092012C" w:rsidRPr="00473A89" w:rsidRDefault="0092012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92012C" w:rsidRDefault="0092012C" w:rsidP="00CC3CB0">
            <w:pPr>
              <w:pStyle w:val="Sinespaciado"/>
              <w:jc w:val="center"/>
              <w:rPr>
                <w:rFonts w:ascii="Palatino Linotype" w:eastAsia="Palatino Linotype" w:hAnsi="Palatino Linotype"/>
                <w:sz w:val="23"/>
                <w:szCs w:val="23"/>
              </w:rPr>
            </w:pPr>
          </w:p>
          <w:p w:rsidR="0092012C" w:rsidRDefault="0092012C" w:rsidP="00CC3CB0">
            <w:pPr>
              <w:pStyle w:val="Sinespaciado"/>
              <w:jc w:val="center"/>
              <w:rPr>
                <w:rFonts w:ascii="Palatino Linotype" w:eastAsia="Palatino Linotype" w:hAnsi="Palatino Linotype"/>
                <w:sz w:val="23"/>
                <w:szCs w:val="23"/>
              </w:rPr>
            </w:pPr>
          </w:p>
          <w:p w:rsidR="0092012C" w:rsidRDefault="0092012C" w:rsidP="00CC3CB0">
            <w:pPr>
              <w:pStyle w:val="Sinespaciado"/>
              <w:jc w:val="center"/>
              <w:rPr>
                <w:rFonts w:ascii="Palatino Linotype" w:eastAsia="Palatino Linotype" w:hAnsi="Palatino Linotype"/>
                <w:sz w:val="23"/>
                <w:szCs w:val="23"/>
              </w:rPr>
            </w:pPr>
          </w:p>
          <w:p w:rsidR="0092012C" w:rsidRDefault="0092012C" w:rsidP="00CC3CB0">
            <w:pPr>
              <w:pStyle w:val="Sinespaciado"/>
              <w:jc w:val="center"/>
              <w:rPr>
                <w:rFonts w:ascii="Palatino Linotype" w:eastAsia="Palatino Linotype" w:hAnsi="Palatino Linotype"/>
                <w:sz w:val="23"/>
                <w:szCs w:val="23"/>
              </w:rPr>
            </w:pPr>
          </w:p>
          <w:p w:rsidR="0092012C" w:rsidRPr="00473A89" w:rsidRDefault="0092012C" w:rsidP="00CC3CB0">
            <w:pPr>
              <w:pStyle w:val="Sinespaciado"/>
              <w:jc w:val="center"/>
              <w:rPr>
                <w:rFonts w:ascii="Palatino Linotype" w:eastAsia="Palatino Linotype" w:hAnsi="Palatino Linotype"/>
                <w:sz w:val="23"/>
                <w:szCs w:val="23"/>
              </w:rPr>
            </w:pPr>
          </w:p>
        </w:tc>
      </w:tr>
      <w:tr w:rsidR="0092012C" w:rsidRPr="00473A89" w:rsidTr="00CC3CB0">
        <w:trPr>
          <w:trHeight w:val="422"/>
        </w:trPr>
        <w:tc>
          <w:tcPr>
            <w:tcW w:w="4282" w:type="dxa"/>
          </w:tcPr>
          <w:p w:rsidR="0092012C" w:rsidRPr="00473A89" w:rsidRDefault="0092012C" w:rsidP="00CC3CB0">
            <w:pPr>
              <w:pStyle w:val="Sinespaciado"/>
              <w:jc w:val="center"/>
              <w:rPr>
                <w:rFonts w:ascii="Palatino Linotype" w:eastAsia="Palatino Linotype" w:hAnsi="Palatino Linotype"/>
                <w:b/>
                <w:sz w:val="23"/>
                <w:szCs w:val="23"/>
              </w:rPr>
            </w:pPr>
          </w:p>
          <w:p w:rsidR="0092012C" w:rsidRPr="00473A89" w:rsidRDefault="0092012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92012C" w:rsidRPr="00473A89" w:rsidRDefault="0092012C" w:rsidP="00CC3CB0">
            <w:pPr>
              <w:pStyle w:val="Sinespaciado"/>
              <w:jc w:val="center"/>
              <w:rPr>
                <w:rFonts w:ascii="Palatino Linotype" w:eastAsia="Palatino Linotype" w:hAnsi="Palatino Linotype"/>
                <w:sz w:val="23"/>
                <w:szCs w:val="23"/>
              </w:rPr>
            </w:pPr>
          </w:p>
          <w:p w:rsidR="0092012C" w:rsidRPr="00473A89" w:rsidRDefault="0092012C" w:rsidP="00CC3CB0">
            <w:pPr>
              <w:pStyle w:val="Sinespaciado"/>
              <w:jc w:val="center"/>
              <w:rPr>
                <w:rFonts w:ascii="Palatino Linotype" w:eastAsia="Palatino Linotype" w:hAnsi="Palatino Linotype"/>
                <w:sz w:val="23"/>
                <w:szCs w:val="23"/>
              </w:rPr>
            </w:pPr>
          </w:p>
        </w:tc>
        <w:tc>
          <w:tcPr>
            <w:tcW w:w="5002" w:type="dxa"/>
            <w:vAlign w:val="bottom"/>
          </w:tcPr>
          <w:p w:rsidR="0092012C" w:rsidRPr="00473A89" w:rsidRDefault="0092012C" w:rsidP="00CC3CB0">
            <w:pPr>
              <w:pStyle w:val="Sinespaciado"/>
              <w:jc w:val="center"/>
              <w:rPr>
                <w:rFonts w:ascii="Palatino Linotype" w:eastAsia="Palatino Linotype" w:hAnsi="Palatino Linotype"/>
                <w:sz w:val="23"/>
                <w:szCs w:val="23"/>
              </w:rPr>
            </w:pPr>
          </w:p>
          <w:p w:rsidR="0092012C" w:rsidRPr="00473A89" w:rsidRDefault="0092012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92012C" w:rsidRPr="00473A89" w:rsidRDefault="0092012C" w:rsidP="00CC3CB0">
            <w:pPr>
              <w:pStyle w:val="Sinespaciado"/>
              <w:jc w:val="center"/>
              <w:rPr>
                <w:rFonts w:ascii="Palatino Linotype" w:eastAsia="Palatino Linotype" w:hAnsi="Palatino Linotype"/>
                <w:sz w:val="23"/>
                <w:szCs w:val="23"/>
              </w:rPr>
            </w:pPr>
          </w:p>
          <w:p w:rsidR="0092012C" w:rsidRDefault="0092012C" w:rsidP="00CC3CB0">
            <w:pPr>
              <w:pStyle w:val="Sinespaciado"/>
              <w:jc w:val="center"/>
              <w:rPr>
                <w:rFonts w:ascii="Palatino Linotype" w:eastAsia="Palatino Linotype" w:hAnsi="Palatino Linotype"/>
                <w:sz w:val="23"/>
                <w:szCs w:val="23"/>
              </w:rPr>
            </w:pPr>
          </w:p>
          <w:p w:rsidR="0092012C" w:rsidRDefault="0092012C" w:rsidP="00CC3CB0">
            <w:pPr>
              <w:pStyle w:val="Sinespaciado"/>
              <w:rPr>
                <w:rFonts w:ascii="Palatino Linotype" w:eastAsia="Palatino Linotype" w:hAnsi="Palatino Linotype"/>
                <w:sz w:val="23"/>
                <w:szCs w:val="23"/>
              </w:rPr>
            </w:pPr>
          </w:p>
          <w:p w:rsidR="0092012C" w:rsidRDefault="0092012C" w:rsidP="00CC3CB0">
            <w:pPr>
              <w:pStyle w:val="Sinespaciado"/>
              <w:jc w:val="center"/>
              <w:rPr>
                <w:rFonts w:ascii="Palatino Linotype" w:eastAsia="Palatino Linotype" w:hAnsi="Palatino Linotype"/>
                <w:sz w:val="23"/>
                <w:szCs w:val="23"/>
              </w:rPr>
            </w:pPr>
          </w:p>
          <w:p w:rsidR="0092012C" w:rsidRDefault="0092012C" w:rsidP="00CC3CB0">
            <w:pPr>
              <w:pStyle w:val="Sinespaciado"/>
              <w:jc w:val="center"/>
              <w:rPr>
                <w:rFonts w:ascii="Palatino Linotype" w:eastAsia="Palatino Linotype" w:hAnsi="Palatino Linotype"/>
                <w:sz w:val="23"/>
                <w:szCs w:val="23"/>
              </w:rPr>
            </w:pPr>
          </w:p>
          <w:p w:rsidR="0092012C" w:rsidRPr="00473A89" w:rsidRDefault="0092012C" w:rsidP="00CC3CB0">
            <w:pPr>
              <w:pStyle w:val="Sinespaciado"/>
              <w:rPr>
                <w:rFonts w:ascii="Palatino Linotype" w:eastAsia="Palatino Linotype" w:hAnsi="Palatino Linotype"/>
                <w:sz w:val="23"/>
                <w:szCs w:val="23"/>
              </w:rPr>
            </w:pPr>
          </w:p>
          <w:p w:rsidR="0092012C" w:rsidRPr="00473A89" w:rsidRDefault="0092012C" w:rsidP="00CC3CB0">
            <w:pPr>
              <w:pStyle w:val="Sinespaciado"/>
              <w:jc w:val="center"/>
              <w:rPr>
                <w:rFonts w:ascii="Palatino Linotype" w:eastAsia="Palatino Linotype" w:hAnsi="Palatino Linotype"/>
                <w:sz w:val="23"/>
                <w:szCs w:val="23"/>
              </w:rPr>
            </w:pPr>
          </w:p>
        </w:tc>
      </w:tr>
      <w:tr w:rsidR="0092012C" w:rsidRPr="00473A89" w:rsidTr="00CC3CB0">
        <w:trPr>
          <w:trHeight w:val="281"/>
        </w:trPr>
        <w:tc>
          <w:tcPr>
            <w:tcW w:w="4282" w:type="dxa"/>
          </w:tcPr>
          <w:p w:rsidR="0092012C" w:rsidRPr="00473A89" w:rsidRDefault="0092012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92012C" w:rsidRPr="00473A89" w:rsidRDefault="0092012C" w:rsidP="00CC3CB0">
            <w:pPr>
              <w:pStyle w:val="Sinespaciado"/>
              <w:jc w:val="center"/>
              <w:rPr>
                <w:rFonts w:ascii="Palatino Linotype" w:eastAsia="Palatino Linotype" w:hAnsi="Palatino Linotype"/>
                <w:sz w:val="23"/>
                <w:szCs w:val="23"/>
              </w:rPr>
            </w:pPr>
          </w:p>
        </w:tc>
        <w:tc>
          <w:tcPr>
            <w:tcW w:w="5002" w:type="dxa"/>
          </w:tcPr>
          <w:p w:rsidR="0092012C" w:rsidRPr="00473A89" w:rsidRDefault="0092012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92012C" w:rsidRPr="00473A89" w:rsidRDefault="0092012C"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3CDDBF9A" wp14:editId="220C3A75">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rsidR="0092012C" w:rsidRDefault="0092012C" w:rsidP="00CC3CB0">
            <w:pPr>
              <w:pStyle w:val="Sinespaciado"/>
              <w:rPr>
                <w:rFonts w:ascii="Palatino Linotype" w:eastAsia="Palatino Linotype" w:hAnsi="Palatino Linotype"/>
                <w:sz w:val="23"/>
                <w:szCs w:val="23"/>
              </w:rPr>
            </w:pPr>
          </w:p>
          <w:p w:rsidR="0092012C" w:rsidRDefault="0092012C" w:rsidP="00CC3CB0">
            <w:pPr>
              <w:pStyle w:val="Sinespaciado"/>
              <w:jc w:val="center"/>
              <w:rPr>
                <w:rFonts w:ascii="Palatino Linotype" w:eastAsia="Palatino Linotype" w:hAnsi="Palatino Linotype"/>
                <w:sz w:val="23"/>
                <w:szCs w:val="23"/>
              </w:rPr>
            </w:pPr>
          </w:p>
          <w:p w:rsidR="0092012C" w:rsidRDefault="0092012C" w:rsidP="00CC3CB0">
            <w:pPr>
              <w:pStyle w:val="Sinespaciado"/>
              <w:jc w:val="center"/>
              <w:rPr>
                <w:rFonts w:ascii="Palatino Linotype" w:eastAsia="Palatino Linotype" w:hAnsi="Palatino Linotype"/>
                <w:sz w:val="23"/>
                <w:szCs w:val="23"/>
              </w:rPr>
            </w:pPr>
          </w:p>
          <w:p w:rsidR="0092012C" w:rsidRDefault="0092012C" w:rsidP="00CC3CB0">
            <w:pPr>
              <w:pStyle w:val="Sinespaciado"/>
              <w:rPr>
                <w:rFonts w:ascii="Palatino Linotype" w:eastAsia="Palatino Linotype" w:hAnsi="Palatino Linotype"/>
                <w:sz w:val="23"/>
                <w:szCs w:val="23"/>
              </w:rPr>
            </w:pPr>
          </w:p>
          <w:p w:rsidR="0092012C" w:rsidRPr="00473A89" w:rsidRDefault="0092012C" w:rsidP="00CC3CB0">
            <w:pPr>
              <w:pStyle w:val="Sinespaciado"/>
              <w:jc w:val="center"/>
              <w:rPr>
                <w:rFonts w:ascii="Palatino Linotype" w:eastAsia="Palatino Linotype" w:hAnsi="Palatino Linotype"/>
                <w:sz w:val="23"/>
                <w:szCs w:val="23"/>
              </w:rPr>
            </w:pPr>
          </w:p>
        </w:tc>
      </w:tr>
      <w:tr w:rsidR="0092012C" w:rsidRPr="00473A89" w:rsidTr="00CC3CB0">
        <w:trPr>
          <w:trHeight w:val="317"/>
        </w:trPr>
        <w:tc>
          <w:tcPr>
            <w:tcW w:w="9284" w:type="dxa"/>
            <w:gridSpan w:val="2"/>
            <w:hideMark/>
          </w:tcPr>
          <w:p w:rsidR="0092012C" w:rsidRPr="00473A89" w:rsidRDefault="0092012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rsidR="0092012C" w:rsidRPr="00473A89" w:rsidRDefault="0092012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rsidR="0092012C" w:rsidRPr="00473A89" w:rsidRDefault="0092012C" w:rsidP="00CC3CB0">
            <w:pPr>
              <w:pStyle w:val="Sinespaciado"/>
              <w:jc w:val="center"/>
              <w:rPr>
                <w:rFonts w:ascii="Palatino Linotype" w:eastAsia="Palatino Linotype" w:hAnsi="Palatino Linotype"/>
                <w:sz w:val="23"/>
                <w:szCs w:val="23"/>
              </w:rPr>
            </w:pPr>
          </w:p>
        </w:tc>
      </w:tr>
    </w:tbl>
    <w:p w:rsidR="000D3282" w:rsidRDefault="000D3282"/>
    <w:sectPr w:rsidR="000D3282" w:rsidSect="00236F55">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5FD" w:rsidRDefault="00B645FD" w:rsidP="007B09D7">
      <w:pPr>
        <w:spacing w:after="0" w:line="240" w:lineRule="auto"/>
      </w:pPr>
      <w:r>
        <w:separator/>
      </w:r>
    </w:p>
  </w:endnote>
  <w:endnote w:type="continuationSeparator" w:id="0">
    <w:p w:rsidR="00B645FD" w:rsidRDefault="00B645FD" w:rsidP="007B0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80A" w:rsidRPr="000B69FA" w:rsidRDefault="00C6580A" w:rsidP="00236F55">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86D6A">
      <w:rPr>
        <w:rFonts w:ascii="Palatino Linotype" w:hAnsi="Palatino Linotype"/>
        <w:bCs/>
        <w:noProof/>
        <w:sz w:val="20"/>
      </w:rPr>
      <w:t>21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86D6A">
      <w:rPr>
        <w:rFonts w:ascii="Palatino Linotype" w:hAnsi="Palatino Linotype"/>
        <w:bCs/>
        <w:noProof/>
        <w:sz w:val="20"/>
      </w:rPr>
      <w:t>57</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80A" w:rsidRPr="000B69FA" w:rsidRDefault="00C6580A" w:rsidP="00236F55">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86D6A">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386D6A">
      <w:rPr>
        <w:rFonts w:ascii="Palatino Linotype" w:hAnsi="Palatino Linotype"/>
        <w:bCs/>
        <w:noProof/>
        <w:sz w:val="20"/>
      </w:rPr>
      <w:t>57</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5FD" w:rsidRDefault="00B645FD" w:rsidP="007B09D7">
      <w:pPr>
        <w:spacing w:after="0" w:line="240" w:lineRule="auto"/>
      </w:pPr>
      <w:r>
        <w:separator/>
      </w:r>
    </w:p>
  </w:footnote>
  <w:footnote w:type="continuationSeparator" w:id="0">
    <w:p w:rsidR="00B645FD" w:rsidRDefault="00B645FD" w:rsidP="007B09D7">
      <w:pPr>
        <w:spacing w:after="0" w:line="240" w:lineRule="auto"/>
      </w:pPr>
      <w:r>
        <w:continuationSeparator/>
      </w:r>
    </w:p>
  </w:footnote>
  <w:footnote w:id="1">
    <w:p w:rsidR="00C6580A" w:rsidRDefault="00C6580A" w:rsidP="007B09D7">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Artículo 3, fracción XI, Ley de Transparencia y Acceso a la Información Pública del Estado de México y Municipios.</w:t>
      </w:r>
    </w:p>
  </w:footnote>
  <w:footnote w:id="2">
    <w:p w:rsidR="00C6580A" w:rsidRPr="00FA182C" w:rsidRDefault="00C6580A" w:rsidP="007B09D7">
      <w:pPr>
        <w:pStyle w:val="Textonotapie"/>
        <w:rPr>
          <w:rFonts w:ascii="Palatino Linotype" w:hAnsi="Palatino Linotype"/>
          <w:sz w:val="18"/>
          <w:szCs w:val="18"/>
        </w:rPr>
      </w:pPr>
      <w:r>
        <w:rPr>
          <w:rStyle w:val="Refdenotaalpie"/>
        </w:rPr>
        <w:footnoteRef/>
      </w:r>
      <w:r>
        <w:t xml:space="preserve"> </w:t>
      </w:r>
      <w:r w:rsidRPr="00FA182C">
        <w:rPr>
          <w:rFonts w:ascii="Palatino Linotype" w:hAnsi="Palatino Linotype"/>
          <w:sz w:val="18"/>
          <w:szCs w:val="18"/>
        </w:rPr>
        <w:t>Artículo 50, Ley de Transparencia y Acceso a la Información Pública del Estado de México y Municipios.</w:t>
      </w:r>
    </w:p>
  </w:footnote>
  <w:footnote w:id="3">
    <w:p w:rsidR="00C6580A" w:rsidRDefault="00C6580A" w:rsidP="007B09D7">
      <w:pPr>
        <w:pStyle w:val="Textonotapie"/>
      </w:pPr>
      <w:r w:rsidRPr="00FA182C">
        <w:rPr>
          <w:rStyle w:val="Refdenotaalpie"/>
          <w:rFonts w:ascii="Palatino Linotype" w:hAnsi="Palatino Linotype"/>
          <w:sz w:val="18"/>
          <w:szCs w:val="18"/>
        </w:rPr>
        <w:footnoteRef/>
      </w:r>
      <w:r w:rsidRPr="00FA182C">
        <w:rPr>
          <w:rFonts w:ascii="Palatino Linotype" w:hAnsi="Palatino Linotype"/>
          <w:sz w:val="18"/>
          <w:szCs w:val="18"/>
        </w:rPr>
        <w:t xml:space="preserve"> Artículo 51,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580A" w:rsidRDefault="00C6580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3F7128F" wp14:editId="388F9A44">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6580A" w:rsidTr="00236F55">
      <w:trPr>
        <w:trHeight w:val="227"/>
      </w:trPr>
      <w:tc>
        <w:tcPr>
          <w:tcW w:w="5529" w:type="dxa"/>
          <w:hideMark/>
        </w:tcPr>
        <w:p w:rsidR="00C6580A" w:rsidRDefault="00C6580A" w:rsidP="00236F55">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rsidR="00C6580A" w:rsidRPr="00B4142F" w:rsidRDefault="00C6580A" w:rsidP="00236F55">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06165/INFOEM/IP/RR/2026</w:t>
          </w:r>
        </w:p>
      </w:tc>
    </w:tr>
    <w:tr w:rsidR="00C6580A" w:rsidTr="00236F55">
      <w:trPr>
        <w:trHeight w:val="242"/>
      </w:trPr>
      <w:tc>
        <w:tcPr>
          <w:tcW w:w="5529" w:type="dxa"/>
          <w:hideMark/>
        </w:tcPr>
        <w:p w:rsidR="00C6580A" w:rsidRDefault="00C6580A" w:rsidP="00236F55">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rsidR="00C6580A" w:rsidRPr="004076B3" w:rsidRDefault="00C6580A" w:rsidP="00236F55">
          <w:pPr>
            <w:spacing w:after="120" w:line="256" w:lineRule="auto"/>
            <w:ind w:left="639" w:right="214"/>
            <w:jc w:val="both"/>
            <w:rPr>
              <w:rFonts w:ascii="Palatino Linotype" w:hAnsi="Palatino Linotype" w:cs="Arial"/>
              <w:sz w:val="24"/>
              <w:szCs w:val="24"/>
            </w:rPr>
          </w:pPr>
          <w:r w:rsidRPr="00187134">
            <w:rPr>
              <w:rFonts w:ascii="Palatino Linotype" w:hAnsi="Palatino Linotype"/>
              <w:b/>
              <w:bCs/>
              <w:color w:val="000000"/>
              <w:sz w:val="24"/>
              <w:szCs w:val="24"/>
            </w:rPr>
            <w:t>Ayuntamiento de Tepotzotlán</w:t>
          </w:r>
        </w:p>
      </w:tc>
    </w:tr>
    <w:tr w:rsidR="00C6580A" w:rsidTr="00236F55">
      <w:trPr>
        <w:trHeight w:val="342"/>
      </w:trPr>
      <w:tc>
        <w:tcPr>
          <w:tcW w:w="5529" w:type="dxa"/>
          <w:hideMark/>
        </w:tcPr>
        <w:p w:rsidR="00C6580A" w:rsidRDefault="00C6580A" w:rsidP="00236F55">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rsidR="00C6580A" w:rsidRDefault="00C6580A" w:rsidP="00236F55">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rsidR="00C6580A" w:rsidRDefault="00C6580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6580A" w:rsidTr="00236F55">
      <w:trPr>
        <w:trHeight w:val="227"/>
      </w:trPr>
      <w:tc>
        <w:tcPr>
          <w:tcW w:w="5529" w:type="dxa"/>
          <w:hideMark/>
        </w:tcPr>
        <w:p w:rsidR="00C6580A" w:rsidRDefault="00C6580A" w:rsidP="00236F55">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rsidR="00C6580A" w:rsidRPr="00B4142F" w:rsidRDefault="00C6580A" w:rsidP="00236F55">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06165/INFOEM/IP/RR/2026</w:t>
          </w:r>
        </w:p>
      </w:tc>
    </w:tr>
    <w:tr w:rsidR="00C6580A" w:rsidTr="00236F55">
      <w:trPr>
        <w:trHeight w:val="227"/>
      </w:trPr>
      <w:tc>
        <w:tcPr>
          <w:tcW w:w="5529" w:type="dxa"/>
        </w:tcPr>
        <w:p w:rsidR="00C6580A" w:rsidRDefault="00C6580A" w:rsidP="00236F55">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tcPr>
        <w:p w:rsidR="00C6580A" w:rsidRDefault="00386D6A" w:rsidP="00236F55">
          <w:pPr>
            <w:spacing w:after="120" w:line="256" w:lineRule="auto"/>
            <w:ind w:left="639" w:right="214"/>
            <w:jc w:val="both"/>
            <w:rPr>
              <w:rFonts w:ascii="Palatino Linotype" w:hAnsi="Palatino Linotype" w:cs="Arial"/>
              <w:bCs/>
              <w:sz w:val="24"/>
              <w:lang w:eastAsia="es-MX"/>
            </w:rPr>
          </w:pPr>
          <w:r>
            <w:rPr>
              <w:rFonts w:ascii="Palatino Linotype" w:hAnsi="Palatino Linotype" w:cs="Arial"/>
              <w:bCs/>
              <w:sz w:val="24"/>
              <w:lang w:eastAsia="es-MX"/>
            </w:rPr>
            <w:t>xxxxxxxxxxxxxxxxxxxxxxxxx</w:t>
          </w:r>
        </w:p>
      </w:tc>
    </w:tr>
    <w:tr w:rsidR="00C6580A" w:rsidTr="00236F55">
      <w:trPr>
        <w:trHeight w:val="242"/>
      </w:trPr>
      <w:tc>
        <w:tcPr>
          <w:tcW w:w="5529" w:type="dxa"/>
          <w:hideMark/>
        </w:tcPr>
        <w:p w:rsidR="00C6580A" w:rsidRDefault="00C6580A" w:rsidP="00236F55">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rsidR="00C6580A" w:rsidRPr="004076B3" w:rsidRDefault="00C6580A" w:rsidP="00236F55">
          <w:pPr>
            <w:spacing w:after="120" w:line="256" w:lineRule="auto"/>
            <w:ind w:left="639" w:right="214"/>
            <w:jc w:val="both"/>
            <w:rPr>
              <w:rFonts w:ascii="Palatino Linotype" w:hAnsi="Palatino Linotype" w:cs="Arial"/>
              <w:sz w:val="24"/>
              <w:szCs w:val="24"/>
            </w:rPr>
          </w:pPr>
          <w:r w:rsidRPr="00187134">
            <w:rPr>
              <w:rFonts w:ascii="Palatino Linotype" w:hAnsi="Palatino Linotype"/>
              <w:b/>
              <w:bCs/>
              <w:color w:val="000000"/>
              <w:sz w:val="24"/>
              <w:szCs w:val="24"/>
            </w:rPr>
            <w:t>Ayuntamiento de Tepotzotlán</w:t>
          </w:r>
        </w:p>
      </w:tc>
    </w:tr>
    <w:tr w:rsidR="00C6580A" w:rsidTr="00236F55">
      <w:trPr>
        <w:trHeight w:val="342"/>
      </w:trPr>
      <w:tc>
        <w:tcPr>
          <w:tcW w:w="5529" w:type="dxa"/>
          <w:hideMark/>
        </w:tcPr>
        <w:p w:rsidR="00C6580A" w:rsidRDefault="00C6580A" w:rsidP="00236F55">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rsidR="00C6580A" w:rsidRDefault="00C6580A" w:rsidP="00236F5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rsidR="00C6580A" w:rsidRDefault="00C6580A">
    <w:pPr>
      <w:pStyle w:val="Encabezado"/>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81E03E2" wp14:editId="3287E57F">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55728"/>
    <w:multiLevelType w:val="hybridMultilevel"/>
    <w:tmpl w:val="BDD2BC00"/>
    <w:lvl w:ilvl="0" w:tplc="7A50DD70">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BB72FF2"/>
    <w:multiLevelType w:val="hybridMultilevel"/>
    <w:tmpl w:val="36B0519A"/>
    <w:lvl w:ilvl="0" w:tplc="080A000F">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3F723A"/>
    <w:multiLevelType w:val="hybridMultilevel"/>
    <w:tmpl w:val="E1F86712"/>
    <w:lvl w:ilvl="0" w:tplc="080A0019">
      <w:start w:val="1"/>
      <w:numFmt w:val="lowerLetter"/>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4" w15:restartNumberingAfterBreak="0">
    <w:nsid w:val="1A695BDA"/>
    <w:multiLevelType w:val="hybridMultilevel"/>
    <w:tmpl w:val="E5D256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3A77C2"/>
    <w:multiLevelType w:val="multilevel"/>
    <w:tmpl w:val="407E713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E1F4C40"/>
    <w:multiLevelType w:val="multilevel"/>
    <w:tmpl w:val="DCA41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33141A"/>
    <w:multiLevelType w:val="hybridMultilevel"/>
    <w:tmpl w:val="E1F86712"/>
    <w:lvl w:ilvl="0" w:tplc="080A0019">
      <w:start w:val="1"/>
      <w:numFmt w:val="lowerLetter"/>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8" w15:restartNumberingAfterBreak="0">
    <w:nsid w:val="289339F4"/>
    <w:multiLevelType w:val="hybridMultilevel"/>
    <w:tmpl w:val="DDF6CCB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92E5AC8"/>
    <w:multiLevelType w:val="multilevel"/>
    <w:tmpl w:val="F01C13C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3F154260"/>
    <w:multiLevelType w:val="hybridMultilevel"/>
    <w:tmpl w:val="49A23F4A"/>
    <w:lvl w:ilvl="0" w:tplc="FFFFFFFF">
      <w:start w:val="1"/>
      <w:numFmt w:val="decimal"/>
      <w:lvlText w:val="%1."/>
      <w:lvlJc w:val="left"/>
      <w:pPr>
        <w:ind w:left="0" w:firstLine="0"/>
      </w:pPr>
      <w:rPr>
        <w:rFonts w:ascii="Palatino Linotype" w:hAnsi="Palatino Linotype" w:hint="default"/>
        <w:b/>
        <w:i w:val="0"/>
        <w:sz w:val="24"/>
      </w:rPr>
    </w:lvl>
    <w:lvl w:ilvl="1" w:tplc="70529978">
      <w:start w:val="1"/>
      <w:numFmt w:val="upperRoman"/>
      <w:lvlText w:val="%2."/>
      <w:lvlJc w:val="right"/>
      <w:pPr>
        <w:ind w:left="1440" w:hanging="360"/>
      </w:pPr>
      <w:rPr>
        <w:b/>
        <w:bCs/>
      </w:rPr>
    </w:lvl>
    <w:lvl w:ilvl="2" w:tplc="FFFFFFFF">
      <w:start w:val="1"/>
      <w:numFmt w:val="bullet"/>
      <w:lvlText w:val=""/>
      <w:lvlJc w:val="left"/>
      <w:pPr>
        <w:ind w:left="2340" w:hanging="360"/>
      </w:pPr>
      <w:rPr>
        <w:rFonts w:ascii="Wingdings" w:hAnsi="Wingdings" w:cs="Wingdings" w:hint="default"/>
        <w:strike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AE3519"/>
    <w:multiLevelType w:val="hybridMultilevel"/>
    <w:tmpl w:val="5BDC740C"/>
    <w:lvl w:ilvl="0" w:tplc="E9CAA4A2">
      <w:start w:val="1"/>
      <w:numFmt w:val="decimal"/>
      <w:lvlText w:val="%1."/>
      <w:lvlJc w:val="left"/>
      <w:pPr>
        <w:ind w:left="1080" w:hanging="360"/>
      </w:pPr>
      <w:rPr>
        <w:rFonts w:hint="default"/>
        <w:i w:val="0"/>
        <w:color w:val="000000"/>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6EF14FA"/>
    <w:multiLevelType w:val="multilevel"/>
    <w:tmpl w:val="EE865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7A81DDC"/>
    <w:multiLevelType w:val="hybridMultilevel"/>
    <w:tmpl w:val="9F949BDA"/>
    <w:lvl w:ilvl="0" w:tplc="208E5E8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6C5B1FFC"/>
    <w:multiLevelType w:val="hybridMultilevel"/>
    <w:tmpl w:val="3612C28E"/>
    <w:lvl w:ilvl="0" w:tplc="B9FEE83E">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ED41B5A"/>
    <w:multiLevelType w:val="multilevel"/>
    <w:tmpl w:val="056429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45650D4"/>
    <w:multiLevelType w:val="multilevel"/>
    <w:tmpl w:val="5A945C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B0C51AA"/>
    <w:multiLevelType w:val="multilevel"/>
    <w:tmpl w:val="4F8AC9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4"/>
  </w:num>
  <w:num w:numId="3">
    <w:abstractNumId w:val="12"/>
  </w:num>
  <w:num w:numId="4">
    <w:abstractNumId w:val="9"/>
  </w:num>
  <w:num w:numId="5">
    <w:abstractNumId w:val="15"/>
  </w:num>
  <w:num w:numId="6">
    <w:abstractNumId w:val="16"/>
  </w:num>
  <w:num w:numId="7">
    <w:abstractNumId w:val="17"/>
  </w:num>
  <w:num w:numId="8">
    <w:abstractNumId w:val="5"/>
  </w:num>
  <w:num w:numId="9">
    <w:abstractNumId w:val="6"/>
  </w:num>
  <w:num w:numId="10">
    <w:abstractNumId w:val="10"/>
  </w:num>
  <w:num w:numId="11">
    <w:abstractNumId w:val="11"/>
  </w:num>
  <w:num w:numId="12">
    <w:abstractNumId w:val="8"/>
  </w:num>
  <w:num w:numId="13">
    <w:abstractNumId w:val="1"/>
  </w:num>
  <w:num w:numId="14">
    <w:abstractNumId w:val="3"/>
  </w:num>
  <w:num w:numId="15">
    <w:abstractNumId w:val="0"/>
  </w:num>
  <w:num w:numId="16">
    <w:abstractNumId w:val="13"/>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9D7"/>
    <w:rsid w:val="000127B8"/>
    <w:rsid w:val="000248B1"/>
    <w:rsid w:val="00030C40"/>
    <w:rsid w:val="00043FF3"/>
    <w:rsid w:val="00081608"/>
    <w:rsid w:val="00092D55"/>
    <w:rsid w:val="000D3282"/>
    <w:rsid w:val="00110D95"/>
    <w:rsid w:val="0011537A"/>
    <w:rsid w:val="00121BAE"/>
    <w:rsid w:val="00136464"/>
    <w:rsid w:val="001368F6"/>
    <w:rsid w:val="00236F55"/>
    <w:rsid w:val="00284657"/>
    <w:rsid w:val="00296A31"/>
    <w:rsid w:val="00386D6A"/>
    <w:rsid w:val="003B2F31"/>
    <w:rsid w:val="003C30D8"/>
    <w:rsid w:val="003E1DDA"/>
    <w:rsid w:val="00402F39"/>
    <w:rsid w:val="0045382E"/>
    <w:rsid w:val="00486272"/>
    <w:rsid w:val="00491423"/>
    <w:rsid w:val="004A6CAB"/>
    <w:rsid w:val="005B56E3"/>
    <w:rsid w:val="0060542A"/>
    <w:rsid w:val="00607D41"/>
    <w:rsid w:val="00620DF6"/>
    <w:rsid w:val="006940BA"/>
    <w:rsid w:val="006A03A2"/>
    <w:rsid w:val="00720C1D"/>
    <w:rsid w:val="00793007"/>
    <w:rsid w:val="007A04F6"/>
    <w:rsid w:val="007B09D7"/>
    <w:rsid w:val="007B780B"/>
    <w:rsid w:val="007E3C22"/>
    <w:rsid w:val="00801451"/>
    <w:rsid w:val="00845352"/>
    <w:rsid w:val="00853A7A"/>
    <w:rsid w:val="00882EF1"/>
    <w:rsid w:val="008B1B45"/>
    <w:rsid w:val="008C05A0"/>
    <w:rsid w:val="0092012C"/>
    <w:rsid w:val="00930459"/>
    <w:rsid w:val="00964876"/>
    <w:rsid w:val="009F191D"/>
    <w:rsid w:val="009F79A4"/>
    <w:rsid w:val="00A40352"/>
    <w:rsid w:val="00AF021E"/>
    <w:rsid w:val="00B07314"/>
    <w:rsid w:val="00B178E7"/>
    <w:rsid w:val="00B27FCA"/>
    <w:rsid w:val="00B57006"/>
    <w:rsid w:val="00B645FD"/>
    <w:rsid w:val="00B76ECF"/>
    <w:rsid w:val="00BD23B1"/>
    <w:rsid w:val="00C45A9C"/>
    <w:rsid w:val="00C6580A"/>
    <w:rsid w:val="00D233FB"/>
    <w:rsid w:val="00DC73F9"/>
    <w:rsid w:val="00E43D34"/>
    <w:rsid w:val="00E8054E"/>
    <w:rsid w:val="00F34BE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D4F810-1F58-4BEA-834F-C8DCC7DB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9D7"/>
  </w:style>
  <w:style w:type="paragraph" w:styleId="Ttulo2">
    <w:name w:val="heading 2"/>
    <w:aliases w:val="Subtítulos"/>
    <w:basedOn w:val="Normal"/>
    <w:next w:val="Normal"/>
    <w:link w:val="Ttulo2Car"/>
    <w:uiPriority w:val="9"/>
    <w:unhideWhenUsed/>
    <w:qFormat/>
    <w:rsid w:val="007B09D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Subtítulos Car"/>
    <w:basedOn w:val="Fuentedeprrafopredeter"/>
    <w:link w:val="Ttulo2"/>
    <w:uiPriority w:val="9"/>
    <w:rsid w:val="007B09D7"/>
    <w:rPr>
      <w:rFonts w:asciiTheme="majorHAnsi" w:eastAsiaTheme="majorEastAsia" w:hAnsiTheme="majorHAnsi" w:cstheme="majorBidi"/>
      <w:color w:val="2E74B5" w:themeColor="accent1" w:themeShade="BF"/>
      <w:sz w:val="32"/>
      <w:szCs w:val="32"/>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B09D7"/>
    <w:pPr>
      <w:ind w:left="720"/>
      <w:contextualSpacing/>
    </w:pPr>
  </w:style>
  <w:style w:type="paragraph" w:styleId="Encabezado">
    <w:name w:val="header"/>
    <w:basedOn w:val="Normal"/>
    <w:link w:val="EncabezadoCar"/>
    <w:uiPriority w:val="99"/>
    <w:unhideWhenUsed/>
    <w:rsid w:val="007B09D7"/>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7B09D7"/>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7B09D7"/>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7B09D7"/>
    <w:rPr>
      <w:rFonts w:ascii="Times New Roman" w:eastAsia="Calibri"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B09D7"/>
  </w:style>
  <w:style w:type="paragraph" w:customStyle="1" w:styleId="infoemcitas">
    <w:name w:val="infoem citas"/>
    <w:basedOn w:val="Normal"/>
    <w:qFormat/>
    <w:rsid w:val="007B09D7"/>
    <w:pPr>
      <w:spacing w:before="240" w:line="360" w:lineRule="auto"/>
      <w:ind w:left="851" w:right="851"/>
      <w:jc w:val="both"/>
    </w:pPr>
    <w:rPr>
      <w:rFonts w:ascii="Palatino Linotype" w:hAnsi="Palatino Linotype"/>
      <w:i/>
    </w:rPr>
  </w:style>
  <w:style w:type="paragraph" w:customStyle="1" w:styleId="INFOEM">
    <w:name w:val="INFOEM"/>
    <w:basedOn w:val="Normal"/>
    <w:qFormat/>
    <w:rsid w:val="007B09D7"/>
    <w:pPr>
      <w:spacing w:before="240" w:line="360" w:lineRule="auto"/>
      <w:ind w:left="851" w:right="851"/>
      <w:jc w:val="both"/>
    </w:pPr>
    <w:rPr>
      <w:rFonts w:ascii="Palatino Linotype" w:hAnsi="Palatino Linotype"/>
      <w:i/>
      <w:szCs w:val="1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B09D7"/>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7B09D7"/>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7B09D7"/>
    <w:rPr>
      <w:vertAlign w:val="superscript"/>
    </w:rPr>
  </w:style>
  <w:style w:type="character" w:styleId="Hipervnculo">
    <w:name w:val="Hyperlink"/>
    <w:basedOn w:val="Fuentedeprrafopredeter"/>
    <w:uiPriority w:val="99"/>
    <w:semiHidden/>
    <w:unhideWhenUsed/>
    <w:rsid w:val="00236F55"/>
    <w:rPr>
      <w:color w:val="0000FF"/>
      <w:u w:val="single"/>
    </w:rPr>
  </w:style>
  <w:style w:type="paragraph" w:styleId="Sinespaciado">
    <w:name w:val="No Spacing"/>
    <w:aliases w:val="Francesa,INAI"/>
    <w:link w:val="SinespaciadoCar"/>
    <w:uiPriority w:val="1"/>
    <w:qFormat/>
    <w:rsid w:val="00C45A9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C45A9C"/>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454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s.curp.gob.mx/CurpSP/html/informacionecurpPS.htm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gob.mx/segob/renapo/acciones-y-programas/clave-unica-de-registro-de-poblacion-curp-142226"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TotalTime>
  <Pages>57</Pages>
  <Words>13571</Words>
  <Characters>74646</Characters>
  <Application>Microsoft Office Word</Application>
  <DocSecurity>0</DocSecurity>
  <Lines>622</Lines>
  <Paragraphs>176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88041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41</cp:revision>
  <cp:lastPrinted>2026-08-18T23:31:00Z</cp:lastPrinted>
  <dcterms:created xsi:type="dcterms:W3CDTF">2026-08-06T18:14:00Z</dcterms:created>
  <dcterms:modified xsi:type="dcterms:W3CDTF">2026-08-20T16:03:00Z</dcterms:modified>
</cp:coreProperties>
</file>