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360" w:lineRule="auto"/>
        <w:jc w:val="both"/>
        <w:rPr>
          <w:rFonts w:ascii="Palatino Linotype" w:cs="Palatino Linotype" w:eastAsia="Palatino Linotype" w:hAnsi="Palatino Linotype"/>
          <w:sz w:val="22"/>
          <w:szCs w:val="22"/>
        </w:rPr>
      </w:pPr>
      <w:bookmarkStart w:colFirst="0" w:colLast="0" w:name="_heading=h.qhdhdb4jhbhi" w:id="0"/>
      <w:bookmarkEnd w:id="0"/>
      <w:r w:rsidDel="00000000" w:rsidR="00000000" w:rsidRPr="00000000">
        <w:rPr>
          <w:rFonts w:ascii="Palatino Linotype" w:cs="Palatino Linotype" w:eastAsia="Palatino Linotype" w:hAnsi="Palatino Linotype"/>
          <w:sz w:val="22"/>
          <w:szCs w:val="22"/>
          <w:rtl w:val="0"/>
        </w:rPr>
        <w:t xml:space="preserve">Resolución del Pleno del Instituto de Transparencia, Acceso a la Información Pública y Protección de Datos Personales del Estado de México y Municipios, con domicilio en Metepec, Estado de México, a </w:t>
      </w:r>
      <w:r w:rsidDel="00000000" w:rsidR="00000000" w:rsidRPr="00000000">
        <w:rPr>
          <w:rFonts w:ascii="Palatino Linotype" w:cs="Palatino Linotype" w:eastAsia="Palatino Linotype" w:hAnsi="Palatino Linotype"/>
          <w:b w:val="1"/>
          <w:bCs w:val="1"/>
          <w:sz w:val="22"/>
          <w:szCs w:val="22"/>
          <w:rtl w:val="0"/>
        </w:rPr>
        <w:t xml:space="preserve">diecinueve de agosto de dos mil veinticinco</w:t>
      </w:r>
      <w:r w:rsidDel="00000000" w:rsidR="00000000" w:rsidRPr="00000000">
        <w:rPr>
          <w:rFonts w:ascii="Palatino Linotype" w:cs="Palatino Linotype" w:eastAsia="Palatino Linotype" w:hAnsi="Palatino Linotype"/>
          <w:sz w:val="22"/>
          <w:szCs w:val="22"/>
          <w:rtl w:val="0"/>
        </w:rPr>
        <w:t xml:space="preserve">. </w:t>
      </w:r>
    </w:p>
    <w:p w:rsidR="00000000" w:rsidDel="00000000" w:rsidP="00000000" w:rsidRDefault="00000000" w:rsidRPr="00000000" w14:paraId="00000002">
      <w:pP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03">
      <w:pPr>
        <w:spacing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b w:val="1"/>
          <w:bCs w:val="1"/>
          <w:sz w:val="22"/>
          <w:szCs w:val="22"/>
          <w:rtl w:val="0"/>
        </w:rPr>
        <w:t xml:space="preserve">VISTO</w:t>
      </w:r>
      <w:r w:rsidDel="00000000" w:rsidR="00000000" w:rsidRPr="00000000">
        <w:rPr>
          <w:rFonts w:ascii="Palatino Linotype" w:cs="Palatino Linotype" w:eastAsia="Palatino Linotype" w:hAnsi="Palatino Linotype"/>
          <w:sz w:val="22"/>
          <w:szCs w:val="22"/>
          <w:rtl w:val="0"/>
        </w:rPr>
        <w:t xml:space="preserve"> el expediente formado con motivo del recurso de revisión </w:t>
      </w:r>
      <w:r w:rsidDel="00000000" w:rsidR="00000000" w:rsidRPr="00000000">
        <w:rPr>
          <w:rFonts w:ascii="Palatino Linotype" w:cs="Palatino Linotype" w:eastAsia="Palatino Linotype" w:hAnsi="Palatino Linotype"/>
          <w:b w:val="1"/>
          <w:bCs w:val="1"/>
          <w:sz w:val="22"/>
          <w:szCs w:val="22"/>
          <w:rtl w:val="0"/>
        </w:rPr>
        <w:t xml:space="preserve">06629/INFOEM/IP/RR/2026</w:t>
      </w:r>
      <w:r w:rsidDel="00000000" w:rsidR="00000000" w:rsidRPr="00000000">
        <w:rPr>
          <w:rFonts w:ascii="Palatino Linotype" w:cs="Palatino Linotype" w:eastAsia="Palatino Linotype" w:hAnsi="Palatino Linotype"/>
          <w:sz w:val="22"/>
          <w:szCs w:val="22"/>
          <w:rtl w:val="0"/>
        </w:rPr>
        <w:t xml:space="preserve">, interpuesto por</w:t>
      </w:r>
      <w:r w:rsidDel="00000000" w:rsidR="00000000" w:rsidRPr="00000000">
        <w:rPr>
          <w:rtl w:val="0"/>
        </w:rPr>
        <w:t xml:space="preserve"> </w:t>
      </w:r>
      <w:r w:rsidDel="00000000" w:rsidR="00000000" w:rsidRPr="00000000">
        <w:rPr>
          <w:rFonts w:ascii="Palatino Linotype" w:cs="Palatino Linotype" w:eastAsia="Palatino Linotype" w:hAnsi="Palatino Linotype"/>
          <w:b w:val="1"/>
          <w:bCs w:val="1"/>
          <w:sz w:val="22"/>
          <w:szCs w:val="22"/>
          <w:rtl w:val="0"/>
        </w:rPr>
        <w:t xml:space="preserve">una persona que no proporcionó nombre o seudónimo para ser identificado,</w:t>
      </w:r>
      <w:r w:rsidDel="00000000" w:rsidR="00000000" w:rsidRPr="00000000">
        <w:rPr>
          <w:rFonts w:ascii="Palatino Linotype" w:cs="Palatino Linotype" w:eastAsia="Palatino Linotype" w:hAnsi="Palatino Linotype"/>
          <w:sz w:val="22"/>
          <w:szCs w:val="22"/>
          <w:rtl w:val="0"/>
        </w:rPr>
        <w:t xml:space="preserve"> en lo sucesivo</w:t>
      </w:r>
      <w:r w:rsidDel="00000000" w:rsidR="00000000" w:rsidRPr="00000000">
        <w:rPr>
          <w:rFonts w:ascii="Palatino Linotype" w:cs="Palatino Linotype" w:eastAsia="Palatino Linotype" w:hAnsi="Palatino Linotype"/>
          <w:b w:val="1"/>
          <w:bCs w:val="1"/>
          <w:sz w:val="22"/>
          <w:szCs w:val="22"/>
          <w:rtl w:val="0"/>
        </w:rPr>
        <w:t xml:space="preserve"> </w:t>
      </w:r>
      <w:r w:rsidDel="00000000" w:rsidR="00000000" w:rsidRPr="00000000">
        <w:rPr>
          <w:rFonts w:ascii="Palatino Linotype" w:cs="Palatino Linotype" w:eastAsia="Palatino Linotype" w:hAnsi="Palatino Linotype"/>
          <w:sz w:val="22"/>
          <w:szCs w:val="22"/>
          <w:rtl w:val="0"/>
        </w:rPr>
        <w:t xml:space="preserve">la parte </w:t>
      </w:r>
      <w:r w:rsidDel="00000000" w:rsidR="00000000" w:rsidRPr="00000000">
        <w:rPr>
          <w:rFonts w:ascii="Palatino Linotype" w:cs="Palatino Linotype" w:eastAsia="Palatino Linotype" w:hAnsi="Palatino Linotype"/>
          <w:b w:val="1"/>
          <w:bCs w:val="1"/>
          <w:sz w:val="22"/>
          <w:szCs w:val="22"/>
          <w:rtl w:val="0"/>
        </w:rPr>
        <w:t xml:space="preserve">Recurrente,</w:t>
      </w:r>
      <w:r w:rsidDel="00000000" w:rsidR="00000000" w:rsidRPr="00000000">
        <w:rPr>
          <w:rFonts w:ascii="Palatino Linotype" w:cs="Palatino Linotype" w:eastAsia="Palatino Linotype" w:hAnsi="Palatino Linotype"/>
          <w:sz w:val="22"/>
          <w:szCs w:val="22"/>
          <w:rtl w:val="0"/>
        </w:rPr>
        <w:t xml:space="preserve"> en contra de la respuesta a la solicitud de información con número de folio </w:t>
      </w:r>
      <w:r w:rsidDel="00000000" w:rsidR="00000000" w:rsidRPr="00000000">
        <w:rPr>
          <w:rFonts w:ascii="Palatino Linotype" w:cs="Palatino Linotype" w:eastAsia="Palatino Linotype" w:hAnsi="Palatino Linotype"/>
          <w:b w:val="1"/>
          <w:bCs w:val="1"/>
          <w:sz w:val="22"/>
          <w:szCs w:val="22"/>
          <w:rtl w:val="0"/>
        </w:rPr>
        <w:t xml:space="preserve">01877/TOLUCA/IP/2026, </w:t>
      </w:r>
      <w:r w:rsidDel="00000000" w:rsidR="00000000" w:rsidRPr="00000000">
        <w:rPr>
          <w:rFonts w:ascii="Palatino Linotype" w:cs="Palatino Linotype" w:eastAsia="Palatino Linotype" w:hAnsi="Palatino Linotype"/>
          <w:sz w:val="22"/>
          <w:szCs w:val="22"/>
          <w:rtl w:val="0"/>
        </w:rPr>
        <w:t xml:space="preserve">por parte del </w:t>
      </w:r>
      <w:r w:rsidDel="00000000" w:rsidR="00000000" w:rsidRPr="00000000">
        <w:rPr>
          <w:rFonts w:ascii="Palatino Linotype" w:cs="Palatino Linotype" w:eastAsia="Palatino Linotype" w:hAnsi="Palatino Linotype"/>
          <w:b w:val="1"/>
          <w:bCs w:val="1"/>
          <w:sz w:val="22"/>
          <w:szCs w:val="22"/>
          <w:rtl w:val="0"/>
        </w:rPr>
        <w:t xml:space="preserve">Ayuntamiento de Toluca, </w:t>
      </w:r>
      <w:r w:rsidDel="00000000" w:rsidR="00000000" w:rsidRPr="00000000">
        <w:rPr>
          <w:rFonts w:ascii="Palatino Linotype" w:cs="Palatino Linotype" w:eastAsia="Palatino Linotype" w:hAnsi="Palatino Linotype"/>
          <w:sz w:val="22"/>
          <w:szCs w:val="22"/>
          <w:rtl w:val="0"/>
        </w:rPr>
        <w:t xml:space="preserve">en lo sucesivo el </w:t>
      </w:r>
      <w:r w:rsidDel="00000000" w:rsidR="00000000" w:rsidRPr="00000000">
        <w:rPr>
          <w:rFonts w:ascii="Palatino Linotype" w:cs="Palatino Linotype" w:eastAsia="Palatino Linotype" w:hAnsi="Palatino Linotype"/>
          <w:b w:val="1"/>
          <w:bCs w:val="1"/>
          <w:sz w:val="22"/>
          <w:szCs w:val="22"/>
          <w:rtl w:val="0"/>
        </w:rPr>
        <w:t xml:space="preserve">Sujeto Obligado, </w:t>
      </w:r>
      <w:r w:rsidDel="00000000" w:rsidR="00000000" w:rsidRPr="00000000">
        <w:rPr>
          <w:rFonts w:ascii="Palatino Linotype" w:cs="Palatino Linotype" w:eastAsia="Palatino Linotype" w:hAnsi="Palatino Linotype"/>
          <w:sz w:val="22"/>
          <w:szCs w:val="22"/>
          <w:rtl w:val="0"/>
        </w:rPr>
        <w:t xml:space="preserve">se procede a dictar la presente resolución con base en los siguientes: </w:t>
      </w:r>
    </w:p>
    <w:p w:rsidR="00000000" w:rsidDel="00000000" w:rsidP="00000000" w:rsidRDefault="00000000" w:rsidRPr="00000000" w14:paraId="00000004">
      <w:pPr>
        <w:spacing w:line="360" w:lineRule="auto"/>
        <w:jc w:val="center"/>
        <w:rPr>
          <w:rFonts w:ascii="Palatino Linotype" w:cs="Palatino Linotype" w:eastAsia="Palatino Linotype" w:hAnsi="Palatino Linotype"/>
          <w:b w:val="1"/>
          <w:bCs w:val="1"/>
          <w:sz w:val="22"/>
          <w:szCs w:val="22"/>
        </w:rPr>
      </w:pPr>
      <w:r w:rsidDel="00000000" w:rsidR="00000000" w:rsidRPr="00000000">
        <w:rPr>
          <w:rFonts w:ascii="Palatino Linotype" w:cs="Palatino Linotype" w:eastAsia="Palatino Linotype" w:hAnsi="Palatino Linotype"/>
          <w:b w:val="1"/>
          <w:bCs w:val="1"/>
          <w:sz w:val="22"/>
          <w:szCs w:val="22"/>
          <w:rtl w:val="0"/>
        </w:rPr>
        <w:t xml:space="preserve">I. A N T E C E D E N T E S</w:t>
      </w:r>
    </w:p>
    <w:p w:rsidR="00000000" w:rsidDel="00000000" w:rsidP="00000000" w:rsidRDefault="00000000" w:rsidRPr="00000000" w14:paraId="00000005">
      <w:pPr>
        <w:spacing w:line="360" w:lineRule="auto"/>
        <w:jc w:val="center"/>
        <w:rPr>
          <w:rFonts w:ascii="Palatino Linotype" w:cs="Palatino Linotype" w:eastAsia="Palatino Linotype" w:hAnsi="Palatino Linotype"/>
          <w:b w:val="1"/>
          <w:bCs w:val="1"/>
          <w:sz w:val="22"/>
          <w:szCs w:val="22"/>
        </w:rPr>
      </w:pPr>
      <w:r w:rsidDel="00000000" w:rsidR="00000000" w:rsidRPr="00000000">
        <w:rPr>
          <w:rtl w:val="0"/>
        </w:rPr>
      </w:r>
    </w:p>
    <w:p w:rsidR="00000000" w:rsidDel="00000000" w:rsidP="00000000" w:rsidRDefault="00000000" w:rsidRPr="00000000" w14:paraId="00000006">
      <w:pPr>
        <w:spacing w:line="360" w:lineRule="auto"/>
        <w:jc w:val="both"/>
        <w:rPr>
          <w:rFonts w:ascii="Palatino Linotype" w:cs="Palatino Linotype" w:eastAsia="Palatino Linotype" w:hAnsi="Palatino Linotype"/>
          <w:sz w:val="22"/>
          <w:szCs w:val="22"/>
        </w:rPr>
      </w:pPr>
      <w:bookmarkStart w:colFirst="0" w:colLast="0" w:name="_heading=h.4d34og8" w:id="1"/>
      <w:bookmarkEnd w:id="1"/>
      <w:r w:rsidDel="00000000" w:rsidR="00000000" w:rsidRPr="00000000">
        <w:rPr>
          <w:rFonts w:ascii="Palatino Linotype" w:cs="Palatino Linotype" w:eastAsia="Palatino Linotype" w:hAnsi="Palatino Linotype"/>
          <w:b w:val="1"/>
          <w:bCs w:val="1"/>
          <w:sz w:val="22"/>
          <w:szCs w:val="22"/>
          <w:rtl w:val="0"/>
        </w:rPr>
        <w:t xml:space="preserve">1. Solicitud de acceso a la información.</w:t>
      </w:r>
      <w:r w:rsidDel="00000000" w:rsidR="00000000" w:rsidRPr="00000000">
        <w:rPr>
          <w:rFonts w:ascii="Palatino Linotype" w:cs="Palatino Linotype" w:eastAsia="Palatino Linotype" w:hAnsi="Palatino Linotype"/>
          <w:sz w:val="22"/>
          <w:szCs w:val="22"/>
          <w:rtl w:val="0"/>
        </w:rPr>
        <w:t xml:space="preserve"> El </w:t>
      </w:r>
      <w:r w:rsidDel="00000000" w:rsidR="00000000" w:rsidRPr="00000000">
        <w:rPr>
          <w:rFonts w:ascii="Palatino Linotype" w:cs="Palatino Linotype" w:eastAsia="Palatino Linotype" w:hAnsi="Palatino Linotype"/>
          <w:b w:val="1"/>
          <w:bCs w:val="1"/>
          <w:sz w:val="22"/>
          <w:szCs w:val="22"/>
          <w:rtl w:val="0"/>
        </w:rPr>
        <w:t xml:space="preserve">veintidós de mayo de dos mil veintiséis,</w:t>
      </w:r>
      <w:r w:rsidDel="00000000" w:rsidR="00000000" w:rsidRPr="00000000">
        <w:rPr>
          <w:rFonts w:ascii="Palatino Linotype" w:cs="Palatino Linotype" w:eastAsia="Palatino Linotype" w:hAnsi="Palatino Linotype"/>
          <w:sz w:val="22"/>
          <w:szCs w:val="22"/>
          <w:rtl w:val="0"/>
        </w:rPr>
        <w:t xml:space="preserve"> la parte </w:t>
      </w:r>
      <w:r w:rsidDel="00000000" w:rsidR="00000000" w:rsidRPr="00000000">
        <w:rPr>
          <w:rFonts w:ascii="Palatino Linotype" w:cs="Palatino Linotype" w:eastAsia="Palatino Linotype" w:hAnsi="Palatino Linotype"/>
          <w:b w:val="1"/>
          <w:bCs w:val="1"/>
          <w:sz w:val="22"/>
          <w:szCs w:val="22"/>
          <w:rtl w:val="0"/>
        </w:rPr>
        <w:t xml:space="preserve">Recurrente </w:t>
      </w:r>
      <w:r w:rsidDel="00000000" w:rsidR="00000000" w:rsidRPr="00000000">
        <w:rPr>
          <w:rFonts w:ascii="Palatino Linotype" w:cs="Palatino Linotype" w:eastAsia="Palatino Linotype" w:hAnsi="Palatino Linotype"/>
          <w:sz w:val="22"/>
          <w:szCs w:val="22"/>
          <w:rtl w:val="0"/>
        </w:rPr>
        <w:t xml:space="preserve">presentó, a través del Sistema de Acceso a la Información Mexiquense, en lo subsecuente el </w:t>
      </w:r>
      <w:r w:rsidDel="00000000" w:rsidR="00000000" w:rsidRPr="00000000">
        <w:rPr>
          <w:rFonts w:ascii="Palatino Linotype" w:cs="Palatino Linotype" w:eastAsia="Palatino Linotype" w:hAnsi="Palatino Linotype"/>
          <w:b w:val="1"/>
          <w:bCs w:val="1"/>
          <w:sz w:val="22"/>
          <w:szCs w:val="22"/>
          <w:rtl w:val="0"/>
        </w:rPr>
        <w:t xml:space="preserve">SAIMEX,</w:t>
      </w:r>
      <w:r w:rsidDel="00000000" w:rsidR="00000000" w:rsidRPr="00000000">
        <w:rPr>
          <w:rFonts w:ascii="Palatino Linotype" w:cs="Palatino Linotype" w:eastAsia="Palatino Linotype" w:hAnsi="Palatino Linotype"/>
          <w:sz w:val="22"/>
          <w:szCs w:val="22"/>
          <w:rtl w:val="0"/>
        </w:rPr>
        <w:t xml:space="preserve"> ante el </w:t>
      </w:r>
      <w:r w:rsidDel="00000000" w:rsidR="00000000" w:rsidRPr="00000000">
        <w:rPr>
          <w:rFonts w:ascii="Palatino Linotype" w:cs="Palatino Linotype" w:eastAsia="Palatino Linotype" w:hAnsi="Palatino Linotype"/>
          <w:b w:val="1"/>
          <w:bCs w:val="1"/>
          <w:sz w:val="22"/>
          <w:szCs w:val="22"/>
          <w:rtl w:val="0"/>
        </w:rPr>
        <w:t xml:space="preserve">Sujeto Obligado</w:t>
      </w:r>
      <w:r w:rsidDel="00000000" w:rsidR="00000000" w:rsidRPr="00000000">
        <w:rPr>
          <w:rFonts w:ascii="Palatino Linotype" w:cs="Palatino Linotype" w:eastAsia="Palatino Linotype" w:hAnsi="Palatino Linotype"/>
          <w:sz w:val="22"/>
          <w:szCs w:val="22"/>
          <w:rtl w:val="0"/>
        </w:rPr>
        <w:t xml:space="preserve">, la solicitud de acceso a la información pública, mediante la cual requirió la información siguiente: </w:t>
      </w:r>
    </w:p>
    <w:p w:rsidR="00000000" w:rsidDel="00000000" w:rsidP="00000000" w:rsidRDefault="00000000" w:rsidRPr="00000000" w14:paraId="00000007">
      <w:pPr>
        <w:ind w:left="851" w:right="902" w:firstLine="0"/>
        <w:jc w:val="both"/>
        <w:rPr>
          <w:rFonts w:ascii="Palatino Linotype" w:cs="Palatino Linotype" w:eastAsia="Palatino Linotype" w:hAnsi="Palatino Linotype"/>
          <w:i w:val="1"/>
          <w:iCs w:val="1"/>
          <w:sz w:val="22"/>
          <w:szCs w:val="22"/>
        </w:rPr>
      </w:pPr>
      <w:bookmarkStart w:colFirst="0" w:colLast="0" w:name="_heading=h.gjdgxs" w:id="2"/>
      <w:bookmarkEnd w:id="2"/>
      <w:r w:rsidDel="00000000" w:rsidR="00000000" w:rsidRPr="00000000">
        <w:rPr>
          <w:rFonts w:ascii="Palatino Linotype" w:cs="Palatino Linotype" w:eastAsia="Palatino Linotype" w:hAnsi="Palatino Linotype"/>
          <w:i w:val="1"/>
          <w:iCs w:val="1"/>
          <w:sz w:val="22"/>
          <w:szCs w:val="22"/>
          <w:rtl w:val="0"/>
        </w:rPr>
        <w:t xml:space="preserve"> “Los recibos de pago de todo el cabildo del 2026” (sic) </w:t>
      </w:r>
    </w:p>
    <w:p w:rsidR="00000000" w:rsidDel="00000000" w:rsidP="00000000" w:rsidRDefault="00000000" w:rsidRPr="00000000" w14:paraId="00000008">
      <w:pPr>
        <w:ind w:left="851" w:right="902" w:firstLine="0"/>
        <w:jc w:val="both"/>
        <w:rPr>
          <w:rFonts w:ascii="Palatino Linotype" w:cs="Palatino Linotype" w:eastAsia="Palatino Linotype" w:hAnsi="Palatino Linotype"/>
          <w:b w:val="1"/>
          <w:bCs w:val="1"/>
          <w:i w:val="1"/>
          <w:iCs w:val="1"/>
          <w:sz w:val="22"/>
          <w:szCs w:val="22"/>
        </w:rPr>
      </w:pPr>
      <w:r w:rsidDel="00000000" w:rsidR="00000000" w:rsidRPr="00000000">
        <w:rPr>
          <w:rtl w:val="0"/>
        </w:rPr>
      </w:r>
    </w:p>
    <w:p w:rsidR="00000000" w:rsidDel="00000000" w:rsidP="00000000" w:rsidRDefault="00000000" w:rsidRPr="00000000" w14:paraId="00000009">
      <w:pPr>
        <w:spacing w:line="360" w:lineRule="auto"/>
        <w:jc w:val="both"/>
        <w:rPr>
          <w:rFonts w:ascii="Palatino Linotype" w:cs="Palatino Linotype" w:eastAsia="Palatino Linotype" w:hAnsi="Palatino Linotype"/>
          <w:b w:val="1"/>
          <w:bCs w:val="1"/>
          <w:sz w:val="22"/>
          <w:szCs w:val="22"/>
        </w:rPr>
      </w:pPr>
      <w:bookmarkStart w:colFirst="0" w:colLast="0" w:name="_heading=h.3dy6vkm" w:id="3"/>
      <w:bookmarkEnd w:id="3"/>
      <w:r w:rsidDel="00000000" w:rsidR="00000000" w:rsidRPr="00000000">
        <w:rPr>
          <w:rFonts w:ascii="Palatino Linotype" w:cs="Palatino Linotype" w:eastAsia="Palatino Linotype" w:hAnsi="Palatino Linotype"/>
          <w:b w:val="1"/>
          <w:bCs w:val="1"/>
          <w:sz w:val="22"/>
          <w:szCs w:val="22"/>
          <w:rtl w:val="0"/>
        </w:rPr>
        <w:t xml:space="preserve">Modalidad de Entrega:</w:t>
      </w:r>
      <w:r w:rsidDel="00000000" w:rsidR="00000000" w:rsidRPr="00000000">
        <w:rPr>
          <w:rFonts w:ascii="Palatino Linotype" w:cs="Palatino Linotype" w:eastAsia="Palatino Linotype" w:hAnsi="Palatino Linotype"/>
          <w:sz w:val="22"/>
          <w:szCs w:val="22"/>
          <w:rtl w:val="0"/>
        </w:rPr>
        <w:t xml:space="preserve"> a través </w:t>
      </w:r>
      <w:r w:rsidDel="00000000" w:rsidR="00000000" w:rsidRPr="00000000">
        <w:rPr>
          <w:rFonts w:ascii="Palatino Linotype" w:cs="Palatino Linotype" w:eastAsia="Palatino Linotype" w:hAnsi="Palatino Linotype"/>
          <w:b w:val="1"/>
          <w:bCs w:val="1"/>
          <w:sz w:val="22"/>
          <w:szCs w:val="22"/>
          <w:rtl w:val="0"/>
        </w:rPr>
        <w:t xml:space="preserve">de SAIMEX</w:t>
      </w:r>
    </w:p>
    <w:p w:rsidR="00000000" w:rsidDel="00000000" w:rsidP="00000000" w:rsidRDefault="00000000" w:rsidRPr="00000000" w14:paraId="0000000A">
      <w:pP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0B">
      <w:pPr>
        <w:spacing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b w:val="1"/>
          <w:bCs w:val="1"/>
          <w:sz w:val="22"/>
          <w:szCs w:val="22"/>
          <w:rtl w:val="0"/>
        </w:rPr>
        <w:t xml:space="preserve">2. Respuesta. </w:t>
      </w:r>
      <w:r w:rsidDel="00000000" w:rsidR="00000000" w:rsidRPr="00000000">
        <w:rPr>
          <w:rFonts w:ascii="Palatino Linotype" w:cs="Palatino Linotype" w:eastAsia="Palatino Linotype" w:hAnsi="Palatino Linotype"/>
          <w:sz w:val="22"/>
          <w:szCs w:val="22"/>
          <w:rtl w:val="0"/>
        </w:rPr>
        <w:t xml:space="preserve">El</w:t>
      </w:r>
      <w:r w:rsidDel="00000000" w:rsidR="00000000" w:rsidRPr="00000000">
        <w:rPr>
          <w:rFonts w:ascii="Palatino Linotype" w:cs="Palatino Linotype" w:eastAsia="Palatino Linotype" w:hAnsi="Palatino Linotype"/>
          <w:b w:val="1"/>
          <w:bCs w:val="1"/>
          <w:sz w:val="22"/>
          <w:szCs w:val="22"/>
          <w:rtl w:val="0"/>
        </w:rPr>
        <w:t xml:space="preserve"> doce de junio de dos mil veintiséis</w:t>
      </w:r>
      <w:r w:rsidDel="00000000" w:rsidR="00000000" w:rsidRPr="00000000">
        <w:rPr>
          <w:rFonts w:ascii="Palatino Linotype" w:cs="Palatino Linotype" w:eastAsia="Palatino Linotype" w:hAnsi="Palatino Linotype"/>
          <w:sz w:val="22"/>
          <w:szCs w:val="22"/>
          <w:rtl w:val="0"/>
        </w:rPr>
        <w:t xml:space="preserve">, el </w:t>
      </w:r>
      <w:r w:rsidDel="00000000" w:rsidR="00000000" w:rsidRPr="00000000">
        <w:rPr>
          <w:rFonts w:ascii="Palatino Linotype" w:cs="Palatino Linotype" w:eastAsia="Palatino Linotype" w:hAnsi="Palatino Linotype"/>
          <w:b w:val="1"/>
          <w:bCs w:val="1"/>
          <w:sz w:val="22"/>
          <w:szCs w:val="22"/>
          <w:rtl w:val="0"/>
        </w:rPr>
        <w:t xml:space="preserve">Sujeto Obligado </w:t>
      </w:r>
      <w:r w:rsidDel="00000000" w:rsidR="00000000" w:rsidRPr="00000000">
        <w:rPr>
          <w:rFonts w:ascii="Palatino Linotype" w:cs="Palatino Linotype" w:eastAsia="Palatino Linotype" w:hAnsi="Palatino Linotype"/>
          <w:sz w:val="22"/>
          <w:szCs w:val="22"/>
          <w:rtl w:val="0"/>
        </w:rPr>
        <w:t xml:space="preserve">envió su respuesta a la solicitud de acceso a la información a través de SAIMEX, sustancialmente en los términos siguientes:</w:t>
      </w:r>
    </w:p>
    <w:p w:rsidR="00000000" w:rsidDel="00000000" w:rsidP="00000000" w:rsidRDefault="00000000" w:rsidRPr="00000000" w14:paraId="0000000C">
      <w:pP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0D">
      <w:pPr>
        <w:ind w:left="851" w:right="902"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“…En atención a la solicitud con folio 01877/TOLUCA/IP/2026, me permito adjuntar al presente la respuesta correspondiente, Sin más por el momento, reciba un saludo.......” (sic)</w:t>
      </w:r>
    </w:p>
    <w:p w:rsidR="00000000" w:rsidDel="00000000" w:rsidP="00000000" w:rsidRDefault="00000000" w:rsidRPr="00000000" w14:paraId="0000000E">
      <w:pPr>
        <w:ind w:left="851" w:right="902" w:firstLine="0"/>
        <w:jc w:val="both"/>
        <w:rPr>
          <w:rFonts w:ascii="Palatino Linotype" w:cs="Palatino Linotype" w:eastAsia="Palatino Linotype" w:hAnsi="Palatino Linotype"/>
          <w:b w:val="1"/>
          <w:bCs w:val="1"/>
          <w:i w:val="1"/>
          <w:iCs w:val="1"/>
          <w:sz w:val="22"/>
          <w:szCs w:val="22"/>
        </w:rPr>
      </w:pPr>
      <w:r w:rsidDel="00000000" w:rsidR="00000000" w:rsidRPr="00000000">
        <w:rPr>
          <w:rtl w:val="0"/>
        </w:rPr>
      </w:r>
    </w:p>
    <w:p w:rsidR="00000000" w:rsidDel="00000000" w:rsidP="00000000" w:rsidRDefault="00000000" w:rsidRPr="00000000" w14:paraId="0000000F">
      <w:pPr>
        <w:spacing w:line="360" w:lineRule="auto"/>
        <w:ind w:right="49"/>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El </w:t>
      </w:r>
      <w:r w:rsidDel="00000000" w:rsidR="00000000" w:rsidRPr="00000000">
        <w:rPr>
          <w:rFonts w:ascii="Palatino Linotype" w:cs="Palatino Linotype" w:eastAsia="Palatino Linotype" w:hAnsi="Palatino Linotype"/>
          <w:b w:val="1"/>
          <w:bCs w:val="1"/>
          <w:sz w:val="22"/>
          <w:szCs w:val="22"/>
          <w:rtl w:val="0"/>
        </w:rPr>
        <w:t xml:space="preserve">Sujeto Obligado </w:t>
      </w:r>
      <w:r w:rsidDel="00000000" w:rsidR="00000000" w:rsidRPr="00000000">
        <w:rPr>
          <w:rFonts w:ascii="Palatino Linotype" w:cs="Palatino Linotype" w:eastAsia="Palatino Linotype" w:hAnsi="Palatino Linotype"/>
          <w:sz w:val="22"/>
          <w:szCs w:val="22"/>
          <w:rtl w:val="0"/>
        </w:rPr>
        <w:t xml:space="preserve">adjuntó a su escrito de respuesta, lo siguiente:</w:t>
      </w:r>
    </w:p>
    <w:p w:rsidR="00000000" w:rsidDel="00000000" w:rsidP="00000000" w:rsidRDefault="00000000" w:rsidRPr="00000000" w14:paraId="00000010">
      <w:pPr>
        <w:spacing w:line="360" w:lineRule="auto"/>
        <w:ind w:right="49"/>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11">
      <w:pPr>
        <w:numPr>
          <w:ilvl w:val="0"/>
          <w:numId w:val="4"/>
        </w:numPr>
        <w:pBdr>
          <w:top w:space="0" w:sz="0" w:val="nil"/>
          <w:left w:space="0" w:sz="0" w:val="nil"/>
          <w:bottom w:space="0" w:sz="0" w:val="nil"/>
          <w:right w:space="0" w:sz="0" w:val="nil"/>
          <w:between w:space="0" w:sz="0" w:val="nil"/>
        </w:pBdr>
        <w:spacing w:line="360" w:lineRule="auto"/>
        <w:ind w:left="720" w:right="49" w:hanging="360"/>
        <w:jc w:val="both"/>
        <w:rPr>
          <w:sz w:val="22"/>
          <w:szCs w:val="22"/>
        </w:rPr>
      </w:pPr>
      <w:r w:rsidDel="00000000" w:rsidR="00000000" w:rsidRPr="00000000">
        <w:rPr>
          <w:rFonts w:ascii="Palatino Linotype" w:cs="Palatino Linotype" w:eastAsia="Palatino Linotype" w:hAnsi="Palatino Linotype"/>
          <w:sz w:val="22"/>
          <w:szCs w:val="22"/>
          <w:rtl w:val="0"/>
        </w:rPr>
        <w:t xml:space="preserve">Oficio del 26 de mayo de 2026, a través del cual la Directora General de Administración remite la respuesta de la Dirección de Recursos Humanos.</w:t>
      </w:r>
    </w:p>
    <w:p w:rsidR="00000000" w:rsidDel="00000000" w:rsidP="00000000" w:rsidRDefault="00000000" w:rsidRPr="00000000" w14:paraId="00000012">
      <w:pPr>
        <w:numPr>
          <w:ilvl w:val="0"/>
          <w:numId w:val="4"/>
        </w:numPr>
        <w:pBdr>
          <w:top w:space="0" w:sz="0" w:val="nil"/>
          <w:left w:space="0" w:sz="0" w:val="nil"/>
          <w:bottom w:space="0" w:sz="0" w:val="nil"/>
          <w:right w:space="0" w:sz="0" w:val="nil"/>
          <w:between w:space="0" w:sz="0" w:val="nil"/>
        </w:pBdr>
        <w:spacing w:line="360" w:lineRule="auto"/>
        <w:ind w:left="720" w:right="49" w:hanging="360"/>
        <w:jc w:val="both"/>
        <w:rPr>
          <w:sz w:val="22"/>
          <w:szCs w:val="22"/>
        </w:rPr>
      </w:pPr>
      <w:r w:rsidDel="00000000" w:rsidR="00000000" w:rsidRPr="00000000">
        <w:rPr>
          <w:rFonts w:ascii="Palatino Linotype" w:cs="Palatino Linotype" w:eastAsia="Palatino Linotype" w:hAnsi="Palatino Linotype"/>
          <w:sz w:val="22"/>
          <w:szCs w:val="22"/>
          <w:rtl w:val="0"/>
        </w:rPr>
        <w:t xml:space="preserve">Oficio del 26 de mayo de 2026, a través del cual la Directora de Recursos Humanos refiere que lo requerido puede consultarse en ipomex, proporcionando en formato cerrado el enlace de consulta de las remuneraciones.</w:t>
      </w:r>
    </w:p>
    <w:p w:rsidR="00000000" w:rsidDel="00000000" w:rsidP="00000000" w:rsidRDefault="00000000" w:rsidRPr="00000000" w14:paraId="00000013">
      <w:pPr>
        <w:numPr>
          <w:ilvl w:val="0"/>
          <w:numId w:val="4"/>
        </w:numPr>
        <w:pBdr>
          <w:top w:space="0" w:sz="0" w:val="nil"/>
          <w:left w:space="0" w:sz="0" w:val="nil"/>
          <w:bottom w:space="0" w:sz="0" w:val="nil"/>
          <w:right w:space="0" w:sz="0" w:val="nil"/>
          <w:between w:space="0" w:sz="0" w:val="nil"/>
        </w:pBdr>
        <w:spacing w:line="360" w:lineRule="auto"/>
        <w:ind w:left="720" w:right="49" w:hanging="360"/>
        <w:jc w:val="both"/>
        <w:rPr>
          <w:sz w:val="22"/>
          <w:szCs w:val="22"/>
        </w:rPr>
      </w:pPr>
      <w:r w:rsidDel="00000000" w:rsidR="00000000" w:rsidRPr="00000000">
        <w:rPr>
          <w:rFonts w:ascii="Palatino Linotype" w:cs="Palatino Linotype" w:eastAsia="Palatino Linotype" w:hAnsi="Palatino Linotype"/>
          <w:sz w:val="22"/>
          <w:szCs w:val="22"/>
          <w:rtl w:val="0"/>
        </w:rPr>
        <w:t xml:space="preserve">Documento en Word que contiene en datos abiertos el enlace de consulta de las remuneraciones de ipomex, a saber:</w:t>
      </w:r>
    </w:p>
    <w:p w:rsidR="00000000" w:rsidDel="00000000" w:rsidP="00000000" w:rsidRDefault="00000000" w:rsidRPr="00000000" w14:paraId="00000014">
      <w:pPr>
        <w:pBdr>
          <w:top w:space="0" w:sz="0" w:val="nil"/>
          <w:left w:space="0" w:sz="0" w:val="nil"/>
          <w:bottom w:space="0" w:sz="0" w:val="nil"/>
          <w:right w:space="0" w:sz="0" w:val="nil"/>
          <w:between w:space="0" w:sz="0" w:val="nil"/>
        </w:pBdr>
        <w:spacing w:line="360" w:lineRule="auto"/>
        <w:ind w:left="720" w:right="49" w:firstLine="0"/>
        <w:jc w:val="both"/>
        <w:rPr>
          <w:rFonts w:ascii="Palatino Linotype" w:cs="Palatino Linotype" w:eastAsia="Palatino Linotype" w:hAnsi="Palatino Linotype"/>
          <w:sz w:val="22"/>
          <w:szCs w:val="22"/>
        </w:rPr>
      </w:pPr>
      <w:hyperlink r:id="rId8">
        <w:r w:rsidDel="00000000" w:rsidR="00000000" w:rsidRPr="00000000">
          <w:rPr>
            <w:rFonts w:ascii="Palatino Linotype" w:cs="Palatino Linotype" w:eastAsia="Palatino Linotype" w:hAnsi="Palatino Linotype"/>
            <w:b w:val="1"/>
            <w:bCs w:val="1"/>
            <w:color w:val="000000"/>
            <w:sz w:val="22"/>
            <w:szCs w:val="22"/>
            <w:u w:val="single"/>
            <w:rtl w:val="0"/>
          </w:rPr>
          <w:t xml:space="preserve">https://ipomex.org.mx/ipomex/#/info-fraccion/11/197/28</w:t>
        </w:r>
      </w:hyperlink>
      <w:r w:rsidDel="00000000" w:rsidR="00000000" w:rsidRPr="00000000">
        <w:rPr>
          <w:rtl w:val="0"/>
        </w:rPr>
      </w:r>
    </w:p>
    <w:p w:rsidR="00000000" w:rsidDel="00000000" w:rsidP="00000000" w:rsidRDefault="00000000" w:rsidRPr="00000000" w14:paraId="00000015">
      <w:pPr>
        <w:spacing w:line="360" w:lineRule="auto"/>
        <w:ind w:right="49"/>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b w:val="1"/>
          <w:bCs w:val="1"/>
          <w:sz w:val="22"/>
          <w:szCs w:val="22"/>
          <w:rtl w:val="0"/>
        </w:rPr>
        <w:t xml:space="preserve">3. Interposición del recurso de revisión. </w:t>
      </w:r>
      <w:r w:rsidDel="00000000" w:rsidR="00000000" w:rsidRPr="00000000">
        <w:rPr>
          <w:rFonts w:ascii="Palatino Linotype" w:cs="Palatino Linotype" w:eastAsia="Palatino Linotype" w:hAnsi="Palatino Linotype"/>
          <w:sz w:val="22"/>
          <w:szCs w:val="22"/>
          <w:rtl w:val="0"/>
        </w:rPr>
        <w:t xml:space="preserve">Inconforme con los términos de la respuesta emitida por parte del </w:t>
      </w:r>
      <w:r w:rsidDel="00000000" w:rsidR="00000000" w:rsidRPr="00000000">
        <w:rPr>
          <w:rFonts w:ascii="Palatino Linotype" w:cs="Palatino Linotype" w:eastAsia="Palatino Linotype" w:hAnsi="Palatino Linotype"/>
          <w:b w:val="1"/>
          <w:bCs w:val="1"/>
          <w:sz w:val="22"/>
          <w:szCs w:val="22"/>
          <w:rtl w:val="0"/>
        </w:rPr>
        <w:t xml:space="preserve">Sujeto Obligado</w:t>
      </w:r>
      <w:r w:rsidDel="00000000" w:rsidR="00000000" w:rsidRPr="00000000">
        <w:rPr>
          <w:rFonts w:ascii="Palatino Linotype" w:cs="Palatino Linotype" w:eastAsia="Palatino Linotype" w:hAnsi="Palatino Linotype"/>
          <w:sz w:val="22"/>
          <w:szCs w:val="22"/>
          <w:rtl w:val="0"/>
        </w:rPr>
        <w:t xml:space="preserve">, el </w:t>
      </w:r>
      <w:r w:rsidDel="00000000" w:rsidR="00000000" w:rsidRPr="00000000">
        <w:rPr>
          <w:rFonts w:ascii="Palatino Linotype" w:cs="Palatino Linotype" w:eastAsia="Palatino Linotype" w:hAnsi="Palatino Linotype"/>
          <w:b w:val="1"/>
          <w:bCs w:val="1"/>
          <w:sz w:val="22"/>
          <w:szCs w:val="22"/>
          <w:rtl w:val="0"/>
        </w:rPr>
        <w:t xml:space="preserve">veintitrés de junio de dos mil veintiséis,</w:t>
      </w:r>
      <w:r w:rsidDel="00000000" w:rsidR="00000000" w:rsidRPr="00000000">
        <w:rPr>
          <w:rFonts w:ascii="Palatino Linotype" w:cs="Palatino Linotype" w:eastAsia="Palatino Linotype" w:hAnsi="Palatino Linotype"/>
          <w:sz w:val="22"/>
          <w:szCs w:val="22"/>
          <w:rtl w:val="0"/>
        </w:rPr>
        <w:t xml:space="preserve"> la parte </w:t>
      </w:r>
      <w:r w:rsidDel="00000000" w:rsidR="00000000" w:rsidRPr="00000000">
        <w:rPr>
          <w:rFonts w:ascii="Palatino Linotype" w:cs="Palatino Linotype" w:eastAsia="Palatino Linotype" w:hAnsi="Palatino Linotype"/>
          <w:b w:val="1"/>
          <w:bCs w:val="1"/>
          <w:sz w:val="22"/>
          <w:szCs w:val="22"/>
          <w:rtl w:val="0"/>
        </w:rPr>
        <w:t xml:space="preserve">Recurrente</w:t>
      </w:r>
      <w:r w:rsidDel="00000000" w:rsidR="00000000" w:rsidRPr="00000000">
        <w:rPr>
          <w:rFonts w:ascii="Palatino Linotype" w:cs="Palatino Linotype" w:eastAsia="Palatino Linotype" w:hAnsi="Palatino Linotype"/>
          <w:sz w:val="22"/>
          <w:szCs w:val="22"/>
          <w:rtl w:val="0"/>
        </w:rPr>
        <w:t xml:space="preserve"> interpuso el recurso de revisión a través de </w:t>
      </w:r>
      <w:r w:rsidDel="00000000" w:rsidR="00000000" w:rsidRPr="00000000">
        <w:rPr>
          <w:rFonts w:ascii="Palatino Linotype" w:cs="Palatino Linotype" w:eastAsia="Palatino Linotype" w:hAnsi="Palatino Linotype"/>
          <w:b w:val="1"/>
          <w:bCs w:val="1"/>
          <w:sz w:val="22"/>
          <w:szCs w:val="22"/>
          <w:rtl w:val="0"/>
        </w:rPr>
        <w:t xml:space="preserve">SAIMEX, </w:t>
      </w:r>
      <w:r w:rsidDel="00000000" w:rsidR="00000000" w:rsidRPr="00000000">
        <w:rPr>
          <w:rFonts w:ascii="Palatino Linotype" w:cs="Palatino Linotype" w:eastAsia="Palatino Linotype" w:hAnsi="Palatino Linotype"/>
          <w:sz w:val="22"/>
          <w:szCs w:val="22"/>
          <w:rtl w:val="0"/>
        </w:rPr>
        <w:t xml:space="preserve">en donde se manifestó de la siguiente manera:</w:t>
      </w:r>
    </w:p>
    <w:p w:rsidR="00000000" w:rsidDel="00000000" w:rsidP="00000000" w:rsidRDefault="00000000" w:rsidRPr="00000000" w14:paraId="00000016">
      <w:pPr>
        <w:spacing w:line="360" w:lineRule="auto"/>
        <w:ind w:right="49"/>
        <w:jc w:val="both"/>
        <w:rPr>
          <w:rFonts w:ascii="Palatino Linotype" w:cs="Palatino Linotype" w:eastAsia="Palatino Linotype" w:hAnsi="Palatino Linotype"/>
          <w:b w:val="1"/>
          <w:bCs w:val="1"/>
          <w:sz w:val="18"/>
          <w:szCs w:val="18"/>
        </w:rPr>
      </w:pPr>
      <w:r w:rsidDel="00000000" w:rsidR="00000000" w:rsidRPr="00000000">
        <w:rPr>
          <w:rtl w:val="0"/>
        </w:rPr>
      </w:r>
    </w:p>
    <w:p w:rsidR="00000000" w:rsidDel="00000000" w:rsidP="00000000" w:rsidRDefault="00000000" w:rsidRPr="00000000" w14:paraId="00000017">
      <w:pPr>
        <w:tabs>
          <w:tab w:val="left" w:leader="none" w:pos="2745"/>
        </w:tabs>
        <w:spacing w:line="360" w:lineRule="auto"/>
        <w:jc w:val="both"/>
        <w:rPr>
          <w:rFonts w:ascii="Palatino Linotype" w:cs="Palatino Linotype" w:eastAsia="Palatino Linotype" w:hAnsi="Palatino Linotype"/>
          <w:b w:val="1"/>
          <w:bCs w:val="1"/>
          <w:sz w:val="22"/>
          <w:szCs w:val="22"/>
        </w:rPr>
      </w:pPr>
      <w:r w:rsidDel="00000000" w:rsidR="00000000" w:rsidRPr="00000000">
        <w:rPr>
          <w:rFonts w:ascii="Palatino Linotype" w:cs="Palatino Linotype" w:eastAsia="Palatino Linotype" w:hAnsi="Palatino Linotype"/>
          <w:b w:val="1"/>
          <w:bCs w:val="1"/>
          <w:sz w:val="22"/>
          <w:szCs w:val="22"/>
          <w:rtl w:val="0"/>
        </w:rPr>
        <w:t xml:space="preserve">Acto impugnado: </w:t>
      </w:r>
    </w:p>
    <w:p w:rsidR="00000000" w:rsidDel="00000000" w:rsidP="00000000" w:rsidRDefault="00000000" w:rsidRPr="00000000" w14:paraId="00000018">
      <w:pPr>
        <w:tabs>
          <w:tab w:val="left" w:leader="none" w:pos="2745"/>
        </w:tabs>
        <w:ind w:left="851" w:right="900"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“No contestan lo solicitado” (sic)</w:t>
      </w:r>
    </w:p>
    <w:p w:rsidR="00000000" w:rsidDel="00000000" w:rsidP="00000000" w:rsidRDefault="00000000" w:rsidRPr="00000000" w14:paraId="00000019">
      <w:pPr>
        <w:tabs>
          <w:tab w:val="left" w:leader="none" w:pos="2745"/>
        </w:tabs>
        <w:ind w:left="851" w:right="900" w:firstLine="0"/>
        <w:jc w:val="both"/>
        <w:rPr>
          <w:rFonts w:ascii="Palatino Linotype" w:cs="Palatino Linotype" w:eastAsia="Palatino Linotype" w:hAnsi="Palatino Linotype"/>
          <w:i w:val="1"/>
          <w:iCs w:val="1"/>
          <w:sz w:val="22"/>
          <w:szCs w:val="22"/>
        </w:rPr>
      </w:pPr>
      <w:r w:rsidDel="00000000" w:rsidR="00000000" w:rsidRPr="00000000">
        <w:rPr>
          <w:rtl w:val="0"/>
        </w:rPr>
      </w:r>
    </w:p>
    <w:p w:rsidR="00000000" w:rsidDel="00000000" w:rsidP="00000000" w:rsidRDefault="00000000" w:rsidRPr="00000000" w14:paraId="0000001A">
      <w:pPr>
        <w:spacing w:line="360" w:lineRule="auto"/>
        <w:jc w:val="both"/>
        <w:rPr>
          <w:rFonts w:ascii="Palatino Linotype" w:cs="Palatino Linotype" w:eastAsia="Palatino Linotype" w:hAnsi="Palatino Linotype"/>
          <w:sz w:val="22"/>
          <w:szCs w:val="22"/>
        </w:rPr>
      </w:pPr>
      <w:bookmarkStart w:colFirst="0" w:colLast="0" w:name="_heading=h.30j0zll" w:id="4"/>
      <w:bookmarkEnd w:id="4"/>
      <w:r w:rsidDel="00000000" w:rsidR="00000000" w:rsidRPr="00000000">
        <w:rPr>
          <w:rFonts w:ascii="Palatino Linotype" w:cs="Palatino Linotype" w:eastAsia="Palatino Linotype" w:hAnsi="Palatino Linotype"/>
          <w:b w:val="1"/>
          <w:bCs w:val="1"/>
          <w:sz w:val="22"/>
          <w:szCs w:val="22"/>
          <w:rtl w:val="0"/>
        </w:rPr>
        <w:t xml:space="preserve">Y Razones o motivos de inconformidad</w:t>
      </w:r>
      <w:r w:rsidDel="00000000" w:rsidR="00000000" w:rsidRPr="00000000">
        <w:rPr>
          <w:rFonts w:ascii="Palatino Linotype" w:cs="Palatino Linotype" w:eastAsia="Palatino Linotype" w:hAnsi="Palatino Linotype"/>
          <w:sz w:val="22"/>
          <w:szCs w:val="22"/>
          <w:rtl w:val="0"/>
        </w:rPr>
        <w:t xml:space="preserve">: </w:t>
      </w:r>
    </w:p>
    <w:p w:rsidR="00000000" w:rsidDel="00000000" w:rsidP="00000000" w:rsidRDefault="00000000" w:rsidRPr="00000000" w14:paraId="0000001B">
      <w:pPr>
        <w:tabs>
          <w:tab w:val="left" w:leader="none" w:pos="2745"/>
        </w:tabs>
        <w:ind w:left="851" w:right="900"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“Violan mis derechos” (sic)</w:t>
      </w:r>
    </w:p>
    <w:p w:rsidR="00000000" w:rsidDel="00000000" w:rsidP="00000000" w:rsidRDefault="00000000" w:rsidRPr="00000000" w14:paraId="0000001C">
      <w:pPr>
        <w:tabs>
          <w:tab w:val="left" w:leader="none" w:pos="2745"/>
        </w:tabs>
        <w:ind w:left="851" w:right="900" w:firstLine="0"/>
        <w:jc w:val="both"/>
        <w:rPr>
          <w:rFonts w:ascii="Palatino Linotype" w:cs="Palatino Linotype" w:eastAsia="Palatino Linotype" w:hAnsi="Palatino Linotype"/>
          <w:i w:val="1"/>
          <w:iCs w:val="1"/>
          <w:sz w:val="22"/>
          <w:szCs w:val="22"/>
        </w:rPr>
      </w:pPr>
      <w:r w:rsidDel="00000000" w:rsidR="00000000" w:rsidRPr="00000000">
        <w:rPr>
          <w:rtl w:val="0"/>
        </w:rPr>
      </w:r>
    </w:p>
    <w:p w:rsidR="00000000" w:rsidDel="00000000" w:rsidP="00000000" w:rsidRDefault="00000000" w:rsidRPr="00000000" w14:paraId="0000001D">
      <w:pPr>
        <w:spacing w:line="360" w:lineRule="auto"/>
        <w:ind w:right="49"/>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b w:val="1"/>
          <w:bCs w:val="1"/>
          <w:sz w:val="22"/>
          <w:szCs w:val="22"/>
          <w:rtl w:val="0"/>
        </w:rPr>
        <w:t xml:space="preserve">4. Turno. </w:t>
      </w:r>
      <w:r w:rsidDel="00000000" w:rsidR="00000000" w:rsidRPr="00000000">
        <w:rPr>
          <w:rFonts w:ascii="Palatino Linotype" w:cs="Palatino Linotype" w:eastAsia="Palatino Linotype" w:hAnsi="Palatino Linotype"/>
          <w:sz w:val="22"/>
          <w:szCs w:val="22"/>
          <w:rtl w:val="0"/>
        </w:rPr>
        <w:t xml:space="preserve">De conformidad con el artículo 185 fracción I de la Ley de Transparencia y Acceso a la Información Pública del Estado de México y Municipios vigente, el presente recurso de revisión se turnó por el sistema electrónico del Instituto de Transparencia, Acceso a la Información Pública y Protección de Datos Personales del Estado de México y Municipios, a la Comisionada </w:t>
      </w:r>
      <w:r w:rsidDel="00000000" w:rsidR="00000000" w:rsidRPr="00000000">
        <w:rPr>
          <w:rFonts w:ascii="Palatino Linotype" w:cs="Palatino Linotype" w:eastAsia="Palatino Linotype" w:hAnsi="Palatino Linotype"/>
          <w:b w:val="1"/>
          <w:bCs w:val="1"/>
          <w:sz w:val="22"/>
          <w:szCs w:val="22"/>
          <w:rtl w:val="0"/>
        </w:rPr>
        <w:t xml:space="preserve">Guadalupe Ramírez Peña, </w:t>
      </w:r>
      <w:r w:rsidDel="00000000" w:rsidR="00000000" w:rsidRPr="00000000">
        <w:rPr>
          <w:rFonts w:ascii="Palatino Linotype" w:cs="Palatino Linotype" w:eastAsia="Palatino Linotype" w:hAnsi="Palatino Linotype"/>
          <w:sz w:val="22"/>
          <w:szCs w:val="22"/>
          <w:rtl w:val="0"/>
        </w:rPr>
        <w:t xml:space="preserve">a efecto de que analizara sobre su admisión o su desechamiento.</w:t>
      </w:r>
    </w:p>
    <w:p w:rsidR="00000000" w:rsidDel="00000000" w:rsidP="00000000" w:rsidRDefault="00000000" w:rsidRPr="00000000" w14:paraId="0000001E">
      <w:pPr>
        <w:spacing w:line="360" w:lineRule="auto"/>
        <w:ind w:right="49"/>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1F">
      <w:pPr>
        <w:spacing w:line="360" w:lineRule="auto"/>
        <w:jc w:val="both"/>
        <w:rPr>
          <w:rFonts w:ascii="Palatino Linotype" w:cs="Palatino Linotype" w:eastAsia="Palatino Linotype" w:hAnsi="Palatino Linotype"/>
          <w:sz w:val="22"/>
          <w:szCs w:val="22"/>
        </w:rPr>
      </w:pPr>
      <w:bookmarkStart w:colFirst="0" w:colLast="0" w:name="_heading=h.2s8eyo1" w:id="5"/>
      <w:bookmarkEnd w:id="5"/>
      <w:r w:rsidDel="00000000" w:rsidR="00000000" w:rsidRPr="00000000">
        <w:rPr>
          <w:rFonts w:ascii="Palatino Linotype" w:cs="Palatino Linotype" w:eastAsia="Palatino Linotype" w:hAnsi="Palatino Linotype"/>
          <w:b w:val="1"/>
          <w:bCs w:val="1"/>
          <w:sz w:val="22"/>
          <w:szCs w:val="22"/>
          <w:rtl w:val="0"/>
        </w:rPr>
        <w:t xml:space="preserve">5. Admisión del Recurso de revisión.</w:t>
      </w:r>
      <w:r w:rsidDel="00000000" w:rsidR="00000000" w:rsidRPr="00000000">
        <w:rPr>
          <w:rFonts w:ascii="Palatino Linotype" w:cs="Palatino Linotype" w:eastAsia="Palatino Linotype" w:hAnsi="Palatino Linotype"/>
          <w:sz w:val="22"/>
          <w:szCs w:val="22"/>
          <w:rtl w:val="0"/>
        </w:rPr>
        <w:t xml:space="preserve"> El</w:t>
      </w:r>
      <w:r w:rsidDel="00000000" w:rsidR="00000000" w:rsidRPr="00000000">
        <w:rPr>
          <w:rFonts w:ascii="Palatino Linotype" w:cs="Palatino Linotype" w:eastAsia="Palatino Linotype" w:hAnsi="Palatino Linotype"/>
          <w:b w:val="1"/>
          <w:bCs w:val="1"/>
          <w:sz w:val="22"/>
          <w:szCs w:val="22"/>
          <w:rtl w:val="0"/>
        </w:rPr>
        <w:t xml:space="preserve"> veinticuatro de junio de dos mil veintiséis, </w:t>
      </w:r>
      <w:r w:rsidDel="00000000" w:rsidR="00000000" w:rsidRPr="00000000">
        <w:rPr>
          <w:rFonts w:ascii="Palatino Linotype" w:cs="Palatino Linotype" w:eastAsia="Palatino Linotype" w:hAnsi="Palatino Linotype"/>
          <w:sz w:val="22"/>
          <w:szCs w:val="22"/>
          <w:rtl w:val="0"/>
        </w:rPr>
        <w:t xml:space="preserve">este Instituto de Transparencia, Acceso a la Información Pública y Protección de Datos Personales del Estado de México y Municipios, admitió a trámite el recurso de revisión que ahora se resuelve, dando un plazo máximo de siete días hábiles para que las partes manifestaran lo que a su derecho resultara conveniente, ofrecieran pruebas, formularan alegatos y el </w:t>
      </w:r>
      <w:r w:rsidDel="00000000" w:rsidR="00000000" w:rsidRPr="00000000">
        <w:rPr>
          <w:rFonts w:ascii="Palatino Linotype" w:cs="Palatino Linotype" w:eastAsia="Palatino Linotype" w:hAnsi="Palatino Linotype"/>
          <w:b w:val="1"/>
          <w:bCs w:val="1"/>
          <w:sz w:val="22"/>
          <w:szCs w:val="22"/>
          <w:rtl w:val="0"/>
        </w:rPr>
        <w:t xml:space="preserve">Sujeto Obligado </w:t>
      </w:r>
      <w:r w:rsidDel="00000000" w:rsidR="00000000" w:rsidRPr="00000000">
        <w:rPr>
          <w:rFonts w:ascii="Palatino Linotype" w:cs="Palatino Linotype" w:eastAsia="Palatino Linotype" w:hAnsi="Palatino Linotype"/>
          <w:sz w:val="22"/>
          <w:szCs w:val="22"/>
          <w:rtl w:val="0"/>
        </w:rPr>
        <w:t xml:space="preserve">presentara su informe justificado.</w:t>
      </w:r>
    </w:p>
    <w:p w:rsidR="00000000" w:rsidDel="00000000" w:rsidP="00000000" w:rsidRDefault="00000000" w:rsidRPr="00000000" w14:paraId="00000020">
      <w:pP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21">
      <w:pPr>
        <w:widowControl w:val="0"/>
        <w:spacing w:line="360" w:lineRule="auto"/>
        <w:ind w:right="49"/>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b w:val="1"/>
          <w:bCs w:val="1"/>
          <w:sz w:val="22"/>
          <w:szCs w:val="22"/>
          <w:rtl w:val="0"/>
        </w:rPr>
        <w:t xml:space="preserve">6. Manifestaciones</w:t>
      </w:r>
      <w:r w:rsidDel="00000000" w:rsidR="00000000" w:rsidRPr="00000000">
        <w:rPr>
          <w:rFonts w:ascii="Palatino Linotype" w:cs="Palatino Linotype" w:eastAsia="Palatino Linotype" w:hAnsi="Palatino Linotype"/>
          <w:sz w:val="22"/>
          <w:szCs w:val="22"/>
          <w:rtl w:val="0"/>
        </w:rPr>
        <w:t xml:space="preserve">. De constancias del expediente electrónico del SAIMEX, se observa que </w:t>
      </w:r>
    </w:p>
    <w:p w:rsidR="00000000" w:rsidDel="00000000" w:rsidP="00000000" w:rsidRDefault="00000000" w:rsidRPr="00000000" w14:paraId="00000022">
      <w:pPr>
        <w:widowControl w:val="0"/>
        <w:spacing w:line="360" w:lineRule="auto"/>
        <w:ind w:right="49"/>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el </w:t>
      </w:r>
      <w:r w:rsidDel="00000000" w:rsidR="00000000" w:rsidRPr="00000000">
        <w:rPr>
          <w:rFonts w:ascii="Palatino Linotype" w:cs="Palatino Linotype" w:eastAsia="Palatino Linotype" w:hAnsi="Palatino Linotype"/>
          <w:b w:val="1"/>
          <w:bCs w:val="1"/>
          <w:sz w:val="22"/>
          <w:szCs w:val="22"/>
          <w:rtl w:val="0"/>
        </w:rPr>
        <w:t xml:space="preserve">Sujeto Obligado</w:t>
      </w:r>
      <w:r w:rsidDel="00000000" w:rsidR="00000000" w:rsidRPr="00000000">
        <w:rPr>
          <w:rFonts w:ascii="Palatino Linotype" w:cs="Palatino Linotype" w:eastAsia="Palatino Linotype" w:hAnsi="Palatino Linotype"/>
          <w:sz w:val="22"/>
          <w:szCs w:val="22"/>
          <w:rtl w:val="0"/>
        </w:rPr>
        <w:t xml:space="preserve"> en fechas treinta de junio y tres de julio de la presente anualidad rindió su informe justificado a través de dos archivos electrónicos, ratificando en lo sustancial la respuesta inicial.</w:t>
      </w:r>
    </w:p>
    <w:p w:rsidR="00000000" w:rsidDel="00000000" w:rsidP="00000000" w:rsidRDefault="00000000" w:rsidRPr="00000000" w14:paraId="00000023">
      <w:pPr>
        <w:pBdr>
          <w:top w:space="0" w:sz="0" w:val="nil"/>
          <w:left w:space="0" w:sz="0" w:val="nil"/>
          <w:bottom w:space="0" w:sz="0" w:val="nil"/>
          <w:right w:space="0" w:sz="0" w:val="nil"/>
          <w:between w:space="0" w:sz="0" w:val="nil"/>
        </w:pBd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24">
      <w:pPr>
        <w:pBdr>
          <w:top w:space="0" w:sz="0" w:val="nil"/>
          <w:left w:space="0" w:sz="0" w:val="nil"/>
          <w:bottom w:space="0" w:sz="0" w:val="nil"/>
          <w:right w:space="0" w:sz="0" w:val="nil"/>
          <w:between w:space="0" w:sz="0" w:val="nil"/>
        </w:pBdr>
        <w:spacing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Documentos que fue puesto a la vista de la parte Recurrente; no obstante fue omisa en hacer valer manifestaciones o rendir alegatos que conforme a derecho resultaran procedentes.</w:t>
      </w:r>
    </w:p>
    <w:p w:rsidR="00000000" w:rsidDel="00000000" w:rsidP="00000000" w:rsidRDefault="00000000" w:rsidRPr="00000000" w14:paraId="00000025">
      <w:pPr>
        <w:pBdr>
          <w:top w:space="0" w:sz="0" w:val="nil"/>
          <w:left w:space="0" w:sz="0" w:val="nil"/>
          <w:bottom w:space="0" w:sz="0" w:val="nil"/>
          <w:right w:space="0" w:sz="0" w:val="nil"/>
          <w:between w:space="0" w:sz="0" w:val="nil"/>
        </w:pBdr>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26">
      <w:pPr>
        <w:spacing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b w:val="1"/>
          <w:bCs w:val="1"/>
          <w:sz w:val="22"/>
          <w:szCs w:val="22"/>
          <w:rtl w:val="0"/>
        </w:rPr>
        <w:t xml:space="preserve">7. Cierre de instrucción. </w:t>
      </w:r>
      <w:r w:rsidDel="00000000" w:rsidR="00000000" w:rsidRPr="00000000">
        <w:rPr>
          <w:rFonts w:ascii="Palatino Linotype" w:cs="Palatino Linotype" w:eastAsia="Palatino Linotype" w:hAnsi="Palatino Linotype"/>
          <w:sz w:val="22"/>
          <w:szCs w:val="22"/>
          <w:rtl w:val="0"/>
        </w:rPr>
        <w:t xml:space="preserve">Una vez transcurrido el periodo otorgado a las partes para realizar sus manifestaciones y no habiendo documentos que integrar al expediente, con fecha </w:t>
      </w:r>
      <w:r w:rsidDel="00000000" w:rsidR="00000000" w:rsidRPr="00000000">
        <w:rPr>
          <w:rFonts w:ascii="Palatino Linotype" w:cs="Palatino Linotype" w:eastAsia="Palatino Linotype" w:hAnsi="Palatino Linotype"/>
          <w:b w:val="1"/>
          <w:bCs w:val="1"/>
          <w:sz w:val="22"/>
          <w:szCs w:val="22"/>
          <w:rtl w:val="0"/>
        </w:rPr>
        <w:t xml:space="preserve">dieciocho de agosto de dos mil veintiséis,</w:t>
      </w:r>
      <w:r w:rsidDel="00000000" w:rsidR="00000000" w:rsidRPr="00000000">
        <w:rPr>
          <w:rFonts w:ascii="Palatino Linotype" w:cs="Palatino Linotype" w:eastAsia="Palatino Linotype" w:hAnsi="Palatino Linotype"/>
          <w:sz w:val="22"/>
          <w:szCs w:val="22"/>
          <w:rtl w:val="0"/>
        </w:rPr>
        <w:t xml:space="preserve"> la Comisionada Ponente determinó el cierre de instrucción en términos de la fracción VI del artículo 185 de la Ley de Transparencia y Acceso a la Información Pública del Estado de México y Municipios.</w:t>
      </w:r>
    </w:p>
    <w:p w:rsidR="00000000" w:rsidDel="00000000" w:rsidP="00000000" w:rsidRDefault="00000000" w:rsidRPr="00000000" w14:paraId="00000027">
      <w:pPr>
        <w:pBdr>
          <w:top w:space="0" w:sz="0" w:val="nil"/>
          <w:left w:space="0" w:sz="0" w:val="nil"/>
          <w:bottom w:space="0" w:sz="0" w:val="nil"/>
          <w:right w:space="0" w:sz="0" w:val="nil"/>
          <w:between w:space="0" w:sz="0" w:val="nil"/>
        </w:pBd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28">
      <w:pPr>
        <w:spacing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En razón de que fue debidamente sustanciado el expediente electrónico y no existe diligencia pendiente de desahogo, se emite la Resolución que conforme a Derecho proceda, de acuerdo con los siguientes: </w:t>
      </w:r>
    </w:p>
    <w:p w:rsidR="00000000" w:rsidDel="00000000" w:rsidP="00000000" w:rsidRDefault="00000000" w:rsidRPr="00000000" w14:paraId="00000029">
      <w:pPr>
        <w:widowControl w:val="0"/>
        <w:spacing w:line="360" w:lineRule="auto"/>
        <w:jc w:val="center"/>
        <w:rPr>
          <w:rFonts w:ascii="Palatino Linotype" w:cs="Palatino Linotype" w:eastAsia="Palatino Linotype" w:hAnsi="Palatino Linotype"/>
          <w:b w:val="1"/>
          <w:bCs w:val="1"/>
          <w:sz w:val="22"/>
          <w:szCs w:val="22"/>
        </w:rPr>
      </w:pPr>
      <w:r w:rsidDel="00000000" w:rsidR="00000000" w:rsidRPr="00000000">
        <w:rPr>
          <w:rFonts w:ascii="Palatino Linotype" w:cs="Palatino Linotype" w:eastAsia="Palatino Linotype" w:hAnsi="Palatino Linotype"/>
          <w:b w:val="1"/>
          <w:bCs w:val="1"/>
          <w:sz w:val="22"/>
          <w:szCs w:val="22"/>
          <w:rtl w:val="0"/>
        </w:rPr>
        <w:t xml:space="preserve">II. C O N S I D E R A N D O S</w:t>
      </w:r>
    </w:p>
    <w:p w:rsidR="00000000" w:rsidDel="00000000" w:rsidP="00000000" w:rsidRDefault="00000000" w:rsidRPr="00000000" w14:paraId="0000002A">
      <w:pPr>
        <w:spacing w:after="240" w:before="240"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b w:val="1"/>
          <w:bCs w:val="1"/>
          <w:sz w:val="22"/>
          <w:szCs w:val="22"/>
          <w:rtl w:val="0"/>
        </w:rPr>
        <w:t xml:space="preserve">Primero. Competencia.</w:t>
      </w:r>
      <w:r w:rsidDel="00000000" w:rsidR="00000000" w:rsidRPr="00000000">
        <w:rPr>
          <w:rFonts w:ascii="Palatino Linotype" w:cs="Palatino Linotype" w:eastAsia="Palatino Linotype" w:hAnsi="Palatino Linotype"/>
          <w:sz w:val="22"/>
          <w:szCs w:val="22"/>
          <w:rtl w:val="0"/>
        </w:rPr>
        <w:t xml:space="preserve"> El Instituto de Transparencia, Acceso a la Información Pública y Protección de Datos Personales del Estado de México y Municipios, es competente para conocer y resolver el presente recurso de revisión interpuesto por la parte recurrente, conforme a lo dispuesto en los artículos 6, apartado A de la Constitución Política de los Estados Unidos Mexicanos; 5 párrafos cuadragésimo cuarto, cuadragésimo quinto, cuadragésimo sexto, fracciones IV y V de la Constitución Política del Estado Libre y Soberano de México; Transitorio Cuarto, párrafo segundo del Decreto número 198 de la “LXII” Legislatura del Estado de México; 2, fracción II; 29, 36 fracciones I y II; 176, 178, 181, 185, fracción I, 186 y 188 de la Ley Transparencia y Acceso a la Información Pública del Estado de México y Municipios; 9, fracciones I y XXIII y 11 del Reglamento Interior del Instituto de Transparencia, Acceso a la Información Pública y Protección de Datos Personales del Estado de México y Municipios.</w:t>
      </w:r>
    </w:p>
    <w:p w:rsidR="00000000" w:rsidDel="00000000" w:rsidP="00000000" w:rsidRDefault="00000000" w:rsidRPr="00000000" w14:paraId="0000002B">
      <w:pPr>
        <w:spacing w:after="240" w:before="240" w:line="360" w:lineRule="auto"/>
        <w:jc w:val="both"/>
        <w:rPr>
          <w:rFonts w:ascii="Palatino Linotype" w:cs="Palatino Linotype" w:eastAsia="Palatino Linotype" w:hAnsi="Palatino Linotype"/>
          <w:sz w:val="22"/>
          <w:szCs w:val="22"/>
        </w:rPr>
      </w:pPr>
      <w:bookmarkStart w:colFirst="0" w:colLast="0" w:name="_heading=h.tyjcwt" w:id="6"/>
      <w:bookmarkEnd w:id="6"/>
      <w:r w:rsidDel="00000000" w:rsidR="00000000" w:rsidRPr="00000000">
        <w:rPr>
          <w:rFonts w:ascii="Palatino Linotype" w:cs="Palatino Linotype" w:eastAsia="Palatino Linotype" w:hAnsi="Palatino Linotype"/>
          <w:b w:val="1"/>
          <w:bCs w:val="1"/>
          <w:sz w:val="22"/>
          <w:szCs w:val="22"/>
          <w:rtl w:val="0"/>
        </w:rPr>
        <w:t xml:space="preserve">Segundo. Oportunidad y Procedibilidad del Recurso de Revisión</w:t>
      </w:r>
      <w:r w:rsidDel="00000000" w:rsidR="00000000" w:rsidRPr="00000000">
        <w:rPr>
          <w:rFonts w:ascii="Palatino Linotype" w:cs="Palatino Linotype" w:eastAsia="Palatino Linotype" w:hAnsi="Palatino Linotype"/>
          <w:sz w:val="22"/>
          <w:szCs w:val="22"/>
          <w:rtl w:val="0"/>
        </w:rPr>
        <w:t xml:space="preserve">. Previo al estudio del fondo del asunto, se procede a analizar los requisitos de oportunidad y procedibilidad que debe reunir el recurso de revisión interpuesto, previstos en los artículos 178 y 180 de la Ley de Transparencia y Acceso a la Información Pública del Estado de México y Municipios.</w:t>
      </w:r>
    </w:p>
    <w:p w:rsidR="00000000" w:rsidDel="00000000" w:rsidP="00000000" w:rsidRDefault="00000000" w:rsidRPr="00000000" w14:paraId="0000002C">
      <w:pPr>
        <w:spacing w:after="240" w:before="240"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El recurso de revisión fue interpuesto dentro del plazo de quince días hábiles, previsto en el artículo 178 de la Ley de Transparencia y Acceso a la Información Pública del Estado de México y Municipios, toda vez que el </w:t>
      </w:r>
      <w:r w:rsidDel="00000000" w:rsidR="00000000" w:rsidRPr="00000000">
        <w:rPr>
          <w:rFonts w:ascii="Palatino Linotype" w:cs="Palatino Linotype" w:eastAsia="Palatino Linotype" w:hAnsi="Palatino Linotype"/>
          <w:b w:val="1"/>
          <w:bCs w:val="1"/>
          <w:sz w:val="22"/>
          <w:szCs w:val="22"/>
          <w:rtl w:val="0"/>
        </w:rPr>
        <w:t xml:space="preserve">Sujeto Obligado </w:t>
      </w:r>
      <w:r w:rsidDel="00000000" w:rsidR="00000000" w:rsidRPr="00000000">
        <w:rPr>
          <w:rFonts w:ascii="Palatino Linotype" w:cs="Palatino Linotype" w:eastAsia="Palatino Linotype" w:hAnsi="Palatino Linotype"/>
          <w:sz w:val="22"/>
          <w:szCs w:val="22"/>
          <w:rtl w:val="0"/>
        </w:rPr>
        <w:t xml:space="preserve">remitió la respuesta a la solicitud de información el </w:t>
      </w:r>
      <w:r w:rsidDel="00000000" w:rsidR="00000000" w:rsidRPr="00000000">
        <w:rPr>
          <w:rFonts w:ascii="Palatino Linotype" w:cs="Palatino Linotype" w:eastAsia="Palatino Linotype" w:hAnsi="Palatino Linotype"/>
          <w:b w:val="1"/>
          <w:bCs w:val="1"/>
          <w:sz w:val="22"/>
          <w:szCs w:val="22"/>
          <w:rtl w:val="0"/>
        </w:rPr>
        <w:t xml:space="preserve">doce de junio de dos mil veintiséis, </w:t>
      </w:r>
      <w:r w:rsidDel="00000000" w:rsidR="00000000" w:rsidRPr="00000000">
        <w:rPr>
          <w:rFonts w:ascii="Palatino Linotype" w:cs="Palatino Linotype" w:eastAsia="Palatino Linotype" w:hAnsi="Palatino Linotype"/>
          <w:sz w:val="22"/>
          <w:szCs w:val="22"/>
          <w:rtl w:val="0"/>
        </w:rPr>
        <w:t xml:space="preserve">mientras que el recurso de revisión interpuesto por </w:t>
      </w:r>
      <w:r w:rsidDel="00000000" w:rsidR="00000000" w:rsidRPr="00000000">
        <w:rPr>
          <w:rFonts w:ascii="Palatino Linotype" w:cs="Palatino Linotype" w:eastAsia="Palatino Linotype" w:hAnsi="Palatino Linotype"/>
          <w:b w:val="1"/>
          <w:bCs w:val="1"/>
          <w:sz w:val="22"/>
          <w:szCs w:val="22"/>
          <w:rtl w:val="0"/>
        </w:rPr>
        <w:t xml:space="preserve">la parte</w:t>
      </w:r>
      <w:r w:rsidDel="00000000" w:rsidR="00000000" w:rsidRPr="00000000">
        <w:rPr>
          <w:rFonts w:ascii="Palatino Linotype" w:cs="Palatino Linotype" w:eastAsia="Palatino Linotype" w:hAnsi="Palatino Linotype"/>
          <w:sz w:val="22"/>
          <w:szCs w:val="22"/>
          <w:rtl w:val="0"/>
        </w:rPr>
        <w:t xml:space="preserve"> </w:t>
      </w:r>
      <w:r w:rsidDel="00000000" w:rsidR="00000000" w:rsidRPr="00000000">
        <w:rPr>
          <w:rFonts w:ascii="Palatino Linotype" w:cs="Palatino Linotype" w:eastAsia="Palatino Linotype" w:hAnsi="Palatino Linotype"/>
          <w:b w:val="1"/>
          <w:bCs w:val="1"/>
          <w:sz w:val="22"/>
          <w:szCs w:val="22"/>
          <w:rtl w:val="0"/>
        </w:rPr>
        <w:t xml:space="preserve">Recurrente</w:t>
      </w:r>
      <w:r w:rsidDel="00000000" w:rsidR="00000000" w:rsidRPr="00000000">
        <w:rPr>
          <w:rFonts w:ascii="Palatino Linotype" w:cs="Palatino Linotype" w:eastAsia="Palatino Linotype" w:hAnsi="Palatino Linotype"/>
          <w:sz w:val="22"/>
          <w:szCs w:val="22"/>
          <w:rtl w:val="0"/>
        </w:rPr>
        <w:t xml:space="preserve">, se tuvo por presentado el </w:t>
      </w:r>
      <w:r w:rsidDel="00000000" w:rsidR="00000000" w:rsidRPr="00000000">
        <w:rPr>
          <w:rFonts w:ascii="Palatino Linotype" w:cs="Palatino Linotype" w:eastAsia="Palatino Linotype" w:hAnsi="Palatino Linotype"/>
          <w:b w:val="1"/>
          <w:bCs w:val="1"/>
          <w:sz w:val="22"/>
          <w:szCs w:val="22"/>
          <w:rtl w:val="0"/>
        </w:rPr>
        <w:t xml:space="preserve">veintitrés de junio de dos mil veintiséis</w:t>
      </w:r>
      <w:r w:rsidDel="00000000" w:rsidR="00000000" w:rsidRPr="00000000">
        <w:rPr>
          <w:rFonts w:ascii="Palatino Linotype" w:cs="Palatino Linotype" w:eastAsia="Palatino Linotype" w:hAnsi="Palatino Linotype"/>
          <w:sz w:val="22"/>
          <w:szCs w:val="22"/>
          <w:rtl w:val="0"/>
        </w:rPr>
        <w:t xml:space="preserve"> esto es, al séptimo día hábil </w:t>
      </w:r>
      <w:r w:rsidDel="00000000" w:rsidR="00000000" w:rsidRPr="00000000">
        <w:rPr>
          <w:rFonts w:ascii="Palatino Linotype" w:cs="Palatino Linotype" w:eastAsia="Palatino Linotype" w:hAnsi="Palatino Linotype"/>
          <w:b w:val="1"/>
          <w:bCs w:val="1"/>
          <w:sz w:val="22"/>
          <w:szCs w:val="22"/>
          <w:rtl w:val="0"/>
        </w:rPr>
        <w:t xml:space="preserve">en que se tuvo conocimiento de la respuesta impugnada</w:t>
      </w:r>
      <w:r w:rsidDel="00000000" w:rsidR="00000000" w:rsidRPr="00000000">
        <w:rPr>
          <w:rFonts w:ascii="Palatino Linotype" w:cs="Palatino Linotype" w:eastAsia="Palatino Linotype" w:hAnsi="Palatino Linotype"/>
          <w:sz w:val="22"/>
          <w:szCs w:val="22"/>
          <w:rtl w:val="0"/>
        </w:rPr>
        <w:t xml:space="preserve">. </w:t>
      </w:r>
    </w:p>
    <w:p w:rsidR="00000000" w:rsidDel="00000000" w:rsidP="00000000" w:rsidRDefault="00000000" w:rsidRPr="00000000" w14:paraId="0000002D">
      <w:pPr>
        <w:spacing w:after="240" w:before="240"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En este sentido, se concluye que el presente recurso de revisión se encuentra dentro de los márgenes temporales previstos en las disposiciones legales referidas.</w:t>
      </w:r>
    </w:p>
    <w:p w:rsidR="00000000" w:rsidDel="00000000" w:rsidP="00000000" w:rsidRDefault="00000000" w:rsidRPr="00000000" w14:paraId="0000002E">
      <w:pPr>
        <w:tabs>
          <w:tab w:val="left" w:leader="none" w:pos="7938"/>
        </w:tabs>
        <w:spacing w:after="240" w:before="240"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Al mismo tiempo, por cuanto hace a la procedibilidad del recurso de revisión, una vez realizado el análisis del formato de interposición del recurso, se concluye la acreditación plena de los elementos formales precisados por el artículo 180 de la Ley de Transparencia y Acceso a la Información Pública del Estado de México y Municipios, en atención a que fue presentado mediante el formato visible en el SAIMEX.</w:t>
      </w:r>
    </w:p>
    <w:p w:rsidR="00000000" w:rsidDel="00000000" w:rsidP="00000000" w:rsidRDefault="00000000" w:rsidRPr="00000000" w14:paraId="0000002F">
      <w:pPr>
        <w:spacing w:after="240" w:before="240" w:line="360" w:lineRule="auto"/>
        <w:jc w:val="both"/>
        <w:rPr>
          <w:rFonts w:ascii="Palatino Linotype" w:cs="Palatino Linotype" w:eastAsia="Palatino Linotype" w:hAnsi="Palatino Linotype"/>
          <w:b w:val="1"/>
          <w:bCs w:val="1"/>
          <w:sz w:val="22"/>
          <w:szCs w:val="22"/>
        </w:rPr>
      </w:pPr>
      <w:r w:rsidDel="00000000" w:rsidR="00000000" w:rsidRPr="00000000">
        <w:rPr>
          <w:rFonts w:ascii="Palatino Linotype" w:cs="Palatino Linotype" w:eastAsia="Palatino Linotype" w:hAnsi="Palatino Linotype"/>
          <w:sz w:val="22"/>
          <w:szCs w:val="22"/>
          <w:rtl w:val="0"/>
        </w:rPr>
        <w:t xml:space="preserve">Además, por cuanto hace a la procedibilidad del recurso de revisión, es de suma importancia señalar que la parte</w:t>
      </w:r>
      <w:r w:rsidDel="00000000" w:rsidR="00000000" w:rsidRPr="00000000">
        <w:rPr>
          <w:rFonts w:ascii="Palatino Linotype" w:cs="Palatino Linotype" w:eastAsia="Palatino Linotype" w:hAnsi="Palatino Linotype"/>
          <w:b w:val="1"/>
          <w:bCs w:val="1"/>
          <w:sz w:val="22"/>
          <w:szCs w:val="22"/>
          <w:rtl w:val="0"/>
        </w:rPr>
        <w:t xml:space="preserve"> Recurrente</w:t>
      </w:r>
      <w:r w:rsidDel="00000000" w:rsidR="00000000" w:rsidRPr="00000000">
        <w:rPr>
          <w:rFonts w:ascii="Palatino Linotype" w:cs="Palatino Linotype" w:eastAsia="Palatino Linotype" w:hAnsi="Palatino Linotype"/>
          <w:sz w:val="22"/>
          <w:szCs w:val="22"/>
          <w:rtl w:val="0"/>
        </w:rPr>
        <w:t xml:space="preserve">, no señaló un </w:t>
      </w:r>
      <w:r w:rsidDel="00000000" w:rsidR="00000000" w:rsidRPr="00000000">
        <w:rPr>
          <w:rFonts w:ascii="Palatino Linotype" w:cs="Palatino Linotype" w:eastAsia="Palatino Linotype" w:hAnsi="Palatino Linotype"/>
          <w:b w:val="1"/>
          <w:bCs w:val="1"/>
          <w:sz w:val="22"/>
          <w:szCs w:val="22"/>
          <w:rtl w:val="0"/>
        </w:rPr>
        <w:t xml:space="preserve">nombre</w:t>
      </w:r>
      <w:r w:rsidDel="00000000" w:rsidR="00000000" w:rsidRPr="00000000">
        <w:rPr>
          <w:rFonts w:ascii="Palatino Linotype" w:cs="Palatino Linotype" w:eastAsia="Palatino Linotype" w:hAnsi="Palatino Linotype"/>
          <w:sz w:val="22"/>
          <w:szCs w:val="22"/>
          <w:rtl w:val="0"/>
        </w:rPr>
        <w:t xml:space="preserve"> con el cual desea ser identificado, como se advierte en el detalle de seguimiento del SAIMEX, no obstante, no proporcionar un nombre no es motivo para archivar la solicitud de acceso a la información pública como concluida, conforme a lo previsto en el artículo 155, penúltimo párrafo de la Ley de Transparencia y Acceso a la Información Pública del Estado de México y Municipios que establece lo siguiente:</w:t>
      </w:r>
      <w:r w:rsidDel="00000000" w:rsidR="00000000" w:rsidRPr="00000000">
        <w:rPr>
          <w:rtl w:val="0"/>
        </w:rPr>
      </w:r>
    </w:p>
    <w:p w:rsidR="00000000" w:rsidDel="00000000" w:rsidP="00000000" w:rsidRDefault="00000000" w:rsidRPr="00000000" w14:paraId="00000030">
      <w:pPr>
        <w:spacing w:after="120" w:before="120" w:lineRule="auto"/>
        <w:ind w:left="851" w:right="902"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w:t>
      </w:r>
      <w:r w:rsidDel="00000000" w:rsidR="00000000" w:rsidRPr="00000000">
        <w:rPr>
          <w:rFonts w:ascii="Palatino Linotype" w:cs="Palatino Linotype" w:eastAsia="Palatino Linotype" w:hAnsi="Palatino Linotype"/>
          <w:b w:val="1"/>
          <w:bCs w:val="1"/>
          <w:i w:val="1"/>
          <w:iCs w:val="1"/>
          <w:sz w:val="22"/>
          <w:szCs w:val="22"/>
          <w:rtl w:val="0"/>
        </w:rPr>
        <w:t xml:space="preserve">Las solicitudes anónimas</w:t>
      </w:r>
      <w:r w:rsidDel="00000000" w:rsidR="00000000" w:rsidRPr="00000000">
        <w:rPr>
          <w:rFonts w:ascii="Palatino Linotype" w:cs="Palatino Linotype" w:eastAsia="Palatino Linotype" w:hAnsi="Palatino Linotype"/>
          <w:i w:val="1"/>
          <w:iCs w:val="1"/>
          <w:sz w:val="22"/>
          <w:szCs w:val="22"/>
          <w:rtl w:val="0"/>
        </w:rPr>
        <w:t xml:space="preserve">, con nombre incompleto o </w:t>
      </w:r>
      <w:r w:rsidDel="00000000" w:rsidR="00000000" w:rsidRPr="00000000">
        <w:rPr>
          <w:rFonts w:ascii="Palatino Linotype" w:cs="Palatino Linotype" w:eastAsia="Palatino Linotype" w:hAnsi="Palatino Linotype"/>
          <w:b w:val="1"/>
          <w:bCs w:val="1"/>
          <w:i w:val="1"/>
          <w:iCs w:val="1"/>
          <w:sz w:val="22"/>
          <w:szCs w:val="22"/>
          <w:rtl w:val="0"/>
        </w:rPr>
        <w:t xml:space="preserve">seudónimo</w:t>
      </w:r>
      <w:r w:rsidDel="00000000" w:rsidR="00000000" w:rsidRPr="00000000">
        <w:rPr>
          <w:rFonts w:ascii="Palatino Linotype" w:cs="Palatino Linotype" w:eastAsia="Palatino Linotype" w:hAnsi="Palatino Linotype"/>
          <w:i w:val="1"/>
          <w:iCs w:val="1"/>
          <w:sz w:val="22"/>
          <w:szCs w:val="22"/>
          <w:rtl w:val="0"/>
        </w:rPr>
        <w:t xml:space="preserve"> serán procedentes para su trámite por parte del sujeto obligado ante quien se presente. No podrá requerirse información adicional con motivo del nombre proporcionado por el solicitante."</w:t>
      </w:r>
    </w:p>
    <w:p w:rsidR="00000000" w:rsidDel="00000000" w:rsidP="00000000" w:rsidRDefault="00000000" w:rsidRPr="00000000" w14:paraId="00000031">
      <w:pPr>
        <w:spacing w:after="240" w:before="240"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Finalmente, se advierte que resulta procedente la interposición del recurso, según lo manifestado por </w:t>
      </w:r>
      <w:r w:rsidDel="00000000" w:rsidR="00000000" w:rsidRPr="00000000">
        <w:rPr>
          <w:rFonts w:ascii="Palatino Linotype" w:cs="Palatino Linotype" w:eastAsia="Palatino Linotype" w:hAnsi="Palatino Linotype"/>
          <w:b w:val="1"/>
          <w:bCs w:val="1"/>
          <w:sz w:val="22"/>
          <w:szCs w:val="22"/>
          <w:rtl w:val="0"/>
        </w:rPr>
        <w:t xml:space="preserve">la parte</w:t>
      </w:r>
      <w:r w:rsidDel="00000000" w:rsidR="00000000" w:rsidRPr="00000000">
        <w:rPr>
          <w:rFonts w:ascii="Palatino Linotype" w:cs="Palatino Linotype" w:eastAsia="Palatino Linotype" w:hAnsi="Palatino Linotype"/>
          <w:sz w:val="22"/>
          <w:szCs w:val="22"/>
          <w:rtl w:val="0"/>
        </w:rPr>
        <w:t xml:space="preserve"> </w:t>
      </w:r>
      <w:r w:rsidDel="00000000" w:rsidR="00000000" w:rsidRPr="00000000">
        <w:rPr>
          <w:rFonts w:ascii="Palatino Linotype" w:cs="Palatino Linotype" w:eastAsia="Palatino Linotype" w:hAnsi="Palatino Linotype"/>
          <w:b w:val="1"/>
          <w:bCs w:val="1"/>
          <w:sz w:val="22"/>
          <w:szCs w:val="22"/>
          <w:rtl w:val="0"/>
        </w:rPr>
        <w:t xml:space="preserve">Recurrente</w:t>
      </w:r>
      <w:r w:rsidDel="00000000" w:rsidR="00000000" w:rsidRPr="00000000">
        <w:rPr>
          <w:rFonts w:ascii="Palatino Linotype" w:cs="Palatino Linotype" w:eastAsia="Palatino Linotype" w:hAnsi="Palatino Linotype"/>
          <w:sz w:val="22"/>
          <w:szCs w:val="22"/>
          <w:rtl w:val="0"/>
        </w:rPr>
        <w:t xml:space="preserve"> en sus motivos de inconformidad, de acuerdo al artículo 179, fracción I del ordenamiento legal citado, que a la letra dice: </w:t>
      </w:r>
    </w:p>
    <w:p w:rsidR="00000000" w:rsidDel="00000000" w:rsidP="00000000" w:rsidRDefault="00000000" w:rsidRPr="00000000" w14:paraId="00000032">
      <w:pPr>
        <w:spacing w:after="240" w:before="240" w:line="360" w:lineRule="auto"/>
        <w:ind w:left="567" w:right="902"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w:t>
      </w:r>
      <w:r w:rsidDel="00000000" w:rsidR="00000000" w:rsidRPr="00000000">
        <w:rPr>
          <w:rFonts w:ascii="Palatino Linotype" w:cs="Palatino Linotype" w:eastAsia="Palatino Linotype" w:hAnsi="Palatino Linotype"/>
          <w:b w:val="1"/>
          <w:bCs w:val="1"/>
          <w:i w:val="1"/>
          <w:iCs w:val="1"/>
          <w:sz w:val="22"/>
          <w:szCs w:val="22"/>
          <w:rtl w:val="0"/>
        </w:rPr>
        <w:t xml:space="preserve">Artículo 179.</w:t>
      </w:r>
      <w:r w:rsidDel="00000000" w:rsidR="00000000" w:rsidRPr="00000000">
        <w:rPr>
          <w:rFonts w:ascii="Palatino Linotype" w:cs="Palatino Linotype" w:eastAsia="Palatino Linotype" w:hAnsi="Palatino Linotype"/>
          <w:i w:val="1"/>
          <w:iCs w:val="1"/>
          <w:sz w:val="22"/>
          <w:szCs w:val="22"/>
          <w:rtl w:val="0"/>
        </w:rPr>
        <w:t xml:space="preserve"> El recurso de revisión es un medio de protección que la Ley otorga a los particulares, para hacer valer su derecho de acceso a la información pública, y procederá en contra de las siguientes causas:</w:t>
      </w:r>
    </w:p>
    <w:p w:rsidR="00000000" w:rsidDel="00000000" w:rsidP="00000000" w:rsidRDefault="00000000" w:rsidRPr="00000000" w14:paraId="00000033">
      <w:pPr>
        <w:spacing w:after="240" w:before="240" w:line="360" w:lineRule="auto"/>
        <w:ind w:left="567" w:right="902"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I. La negativa a la información solicitada;</w:t>
        <w:br w:type="textWrapping"/>
      </w:r>
      <w:r w:rsidDel="00000000" w:rsidR="00000000" w:rsidRPr="00000000">
        <w:rPr>
          <w:rFonts w:ascii="Palatino Linotype" w:cs="Palatino Linotype" w:eastAsia="Palatino Linotype" w:hAnsi="Palatino Linotype"/>
          <w:i w:val="1"/>
          <w:iCs w:val="1"/>
          <w:sz w:val="22"/>
          <w:szCs w:val="22"/>
          <w:rtl w:val="0"/>
        </w:rPr>
        <w:t xml:space="preserve"> […]”</w:t>
      </w:r>
    </w:p>
    <w:p w:rsidR="00000000" w:rsidDel="00000000" w:rsidP="00000000" w:rsidRDefault="00000000" w:rsidRPr="00000000" w14:paraId="00000034">
      <w:pPr>
        <w:spacing w:after="240" w:before="240" w:line="360" w:lineRule="auto"/>
        <w:jc w:val="both"/>
        <w:rPr>
          <w:rFonts w:ascii="Palatino Linotype" w:cs="Palatino Linotype" w:eastAsia="Palatino Linotype" w:hAnsi="Palatino Linotype"/>
          <w:b w:val="1"/>
          <w:bCs w:val="1"/>
          <w:sz w:val="22"/>
          <w:szCs w:val="22"/>
        </w:rPr>
      </w:pPr>
      <w:r w:rsidDel="00000000" w:rsidR="00000000" w:rsidRPr="00000000">
        <w:rPr>
          <w:rFonts w:ascii="Palatino Linotype" w:cs="Palatino Linotype" w:eastAsia="Palatino Linotype" w:hAnsi="Palatino Linotype"/>
          <w:b w:val="1"/>
          <w:bCs w:val="1"/>
          <w:sz w:val="22"/>
          <w:szCs w:val="22"/>
          <w:rtl w:val="0"/>
        </w:rPr>
        <w:t xml:space="preserve">Tercero. Materia de la revisión. </w:t>
      </w:r>
      <w:r w:rsidDel="00000000" w:rsidR="00000000" w:rsidRPr="00000000">
        <w:rPr>
          <w:rFonts w:ascii="Palatino Linotype" w:cs="Palatino Linotype" w:eastAsia="Palatino Linotype" w:hAnsi="Palatino Linotype"/>
          <w:sz w:val="22"/>
          <w:szCs w:val="22"/>
          <w:rtl w:val="0"/>
        </w:rPr>
        <w:t xml:space="preserve">De la revisión a las constancias y documentos que obran en el expediente electrónico se advierte, que el tema sobre el que este Organismo Garante de Transparencia y Acceso a la Información se pronunciará será: </w:t>
      </w:r>
      <w:r w:rsidDel="00000000" w:rsidR="00000000" w:rsidRPr="00000000">
        <w:rPr>
          <w:rFonts w:ascii="Palatino Linotype" w:cs="Palatino Linotype" w:eastAsia="Palatino Linotype" w:hAnsi="Palatino Linotype"/>
          <w:b w:val="1"/>
          <w:bCs w:val="1"/>
          <w:sz w:val="22"/>
          <w:szCs w:val="22"/>
          <w:rtl w:val="0"/>
        </w:rPr>
        <w:t xml:space="preserve">verificar si la información proporcionada por el Sujeto Obligado es adecuada y suficiente para satisfacer el derecho de acceso a la información pública </w:t>
      </w:r>
      <w:r w:rsidDel="00000000" w:rsidR="00000000" w:rsidRPr="00000000">
        <w:rPr>
          <w:rFonts w:ascii="Palatino Linotype" w:cs="Palatino Linotype" w:eastAsia="Palatino Linotype" w:hAnsi="Palatino Linotype"/>
          <w:sz w:val="22"/>
          <w:szCs w:val="22"/>
          <w:rtl w:val="0"/>
        </w:rPr>
        <w:t xml:space="preserve">de la parte </w:t>
      </w:r>
      <w:r w:rsidDel="00000000" w:rsidR="00000000" w:rsidRPr="00000000">
        <w:rPr>
          <w:rFonts w:ascii="Palatino Linotype" w:cs="Palatino Linotype" w:eastAsia="Palatino Linotype" w:hAnsi="Palatino Linotype"/>
          <w:b w:val="1"/>
          <w:bCs w:val="1"/>
          <w:sz w:val="22"/>
          <w:szCs w:val="22"/>
          <w:rtl w:val="0"/>
        </w:rPr>
        <w:t xml:space="preserve">Recurrente</w:t>
      </w:r>
      <w:r w:rsidDel="00000000" w:rsidR="00000000" w:rsidRPr="00000000">
        <w:rPr>
          <w:rFonts w:ascii="Palatino Linotype" w:cs="Palatino Linotype" w:eastAsia="Palatino Linotype" w:hAnsi="Palatino Linotype"/>
          <w:sz w:val="22"/>
          <w:szCs w:val="22"/>
          <w:rtl w:val="0"/>
        </w:rPr>
        <w:t xml:space="preserve">, o en su defecto, en caso de ser procedente, ordenar la entrega de información.</w:t>
      </w:r>
      <w:r w:rsidDel="00000000" w:rsidR="00000000" w:rsidRPr="00000000">
        <w:rPr>
          <w:rtl w:val="0"/>
        </w:rPr>
      </w:r>
    </w:p>
    <w:p w:rsidR="00000000" w:rsidDel="00000000" w:rsidP="00000000" w:rsidRDefault="00000000" w:rsidRPr="00000000" w14:paraId="00000035">
      <w:pPr>
        <w:spacing w:after="240" w:before="240" w:line="360" w:lineRule="auto"/>
        <w:jc w:val="both"/>
        <w:rPr>
          <w:rFonts w:ascii="Palatino Linotype" w:cs="Palatino Linotype" w:eastAsia="Palatino Linotype" w:hAnsi="Palatino Linotype"/>
          <w:sz w:val="22"/>
          <w:szCs w:val="22"/>
        </w:rPr>
      </w:pPr>
      <w:bookmarkStart w:colFirst="0" w:colLast="0" w:name="_heading=h.2et92p0" w:id="7"/>
      <w:bookmarkEnd w:id="7"/>
      <w:r w:rsidDel="00000000" w:rsidR="00000000" w:rsidRPr="00000000">
        <w:rPr>
          <w:rFonts w:ascii="Palatino Linotype" w:cs="Palatino Linotype" w:eastAsia="Palatino Linotype" w:hAnsi="Palatino Linotype"/>
          <w:b w:val="1"/>
          <w:bCs w:val="1"/>
          <w:sz w:val="22"/>
          <w:szCs w:val="22"/>
          <w:rtl w:val="0"/>
        </w:rPr>
        <w:t xml:space="preserve">Cuarto. Estudio del asunto. </w:t>
      </w:r>
      <w:r w:rsidDel="00000000" w:rsidR="00000000" w:rsidRPr="00000000">
        <w:rPr>
          <w:rFonts w:ascii="Palatino Linotype" w:cs="Palatino Linotype" w:eastAsia="Palatino Linotype" w:hAnsi="Palatino Linotype"/>
          <w:sz w:val="22"/>
          <w:szCs w:val="22"/>
          <w:rtl w:val="0"/>
        </w:rPr>
        <w:t xml:space="preserve">En primer lugar, es conveniente mencionar que de conformidad con el artículo 4 de la Ley de Transparencia y Acceso a la Información Pública del Estado de México y Municipios toda la información generada, obtenida, adquirida, transformada, administrada o en posesión de los sujetos obligados es pública y accesible de manera permanente a cualquier persona, privilegiando el principio de máxima publicidad, como así lo establece dicha determinación, que a continuación se transcribe para un mejor entendimiento:</w:t>
      </w:r>
    </w:p>
    <w:p w:rsidR="00000000" w:rsidDel="00000000" w:rsidP="00000000" w:rsidRDefault="00000000" w:rsidRPr="00000000" w14:paraId="00000036">
      <w:pPr>
        <w:spacing w:after="240" w:before="240" w:line="360" w:lineRule="auto"/>
        <w:ind w:left="851" w:right="902"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w:t>
      </w:r>
      <w:r w:rsidDel="00000000" w:rsidR="00000000" w:rsidRPr="00000000">
        <w:rPr>
          <w:rFonts w:ascii="Palatino Linotype" w:cs="Palatino Linotype" w:eastAsia="Palatino Linotype" w:hAnsi="Palatino Linotype"/>
          <w:b w:val="1"/>
          <w:bCs w:val="1"/>
          <w:i w:val="1"/>
          <w:iCs w:val="1"/>
          <w:sz w:val="22"/>
          <w:szCs w:val="22"/>
          <w:rtl w:val="0"/>
        </w:rPr>
        <w:t xml:space="preserve">Artículo 4</w:t>
      </w:r>
      <w:r w:rsidDel="00000000" w:rsidR="00000000" w:rsidRPr="00000000">
        <w:rPr>
          <w:rFonts w:ascii="Palatino Linotype" w:cs="Palatino Linotype" w:eastAsia="Palatino Linotype" w:hAnsi="Palatino Linotype"/>
          <w:i w:val="1"/>
          <w:iCs w:val="1"/>
          <w:sz w:val="22"/>
          <w:szCs w:val="22"/>
          <w:rtl w:val="0"/>
        </w:rPr>
        <w:t xml:space="preserve">. El derecho humano de acceso a la información pública es la prerrogativa de las personas para buscar, difundir, investigar, recabar, recibir y solicitar información pública, sin necesidad de acreditar personalidad ni interés jurídico. </w:t>
      </w:r>
    </w:p>
    <w:p w:rsidR="00000000" w:rsidDel="00000000" w:rsidP="00000000" w:rsidRDefault="00000000" w:rsidRPr="00000000" w14:paraId="00000037">
      <w:pPr>
        <w:spacing w:after="240" w:before="240" w:line="360" w:lineRule="auto"/>
        <w:ind w:left="851" w:right="902"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Toda la información generada, obtenida, adquirida, transformada, administrada o en posesión de los sujetos obligados es pública y accesible de manera permanente a cualquier persona</w:t>
      </w:r>
      <w:r w:rsidDel="00000000" w:rsidR="00000000" w:rsidRPr="00000000">
        <w:rPr>
          <w:rFonts w:ascii="Palatino Linotype" w:cs="Palatino Linotype" w:eastAsia="Palatino Linotype" w:hAnsi="Palatino Linotype"/>
          <w:i w:val="1"/>
          <w:iCs w:val="1"/>
          <w:sz w:val="22"/>
          <w:szCs w:val="22"/>
          <w:rtl w:val="0"/>
        </w:rPr>
        <w:t xml:space="preserve">, en los términos y condiciones que se establezcan en los tratados internacionales de los que el Estado mexicano sea parte, en la Ley General, la presente Ley y demás disposiciones de la materia, privilegiando el principio de máxima publicidad de la información. Solo podrá ser clasificada excepcionalmente Ley de Transparencia y Acceso a la Información Pública del Estado de México y Municipios 29 como reservada temporalmente por razones de interés público, en los términos de las causas legítimas y estrictamente necesarias previstas por esta Ley.</w:t>
      </w:r>
    </w:p>
    <w:p w:rsidR="00000000" w:rsidDel="00000000" w:rsidP="00000000" w:rsidRDefault="00000000" w:rsidRPr="00000000" w14:paraId="00000038">
      <w:pPr>
        <w:spacing w:after="240" w:before="240" w:line="360" w:lineRule="auto"/>
        <w:ind w:left="851" w:right="902"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Los sujetos obligados deben poner en práctica, políticas y programas de acceso a la información que se apeguen a criterios de publicidad, veracidad, oportunidad, precisión y suficiencia en beneficio de los solicitantes</w:t>
      </w:r>
      <w:r w:rsidDel="00000000" w:rsidR="00000000" w:rsidRPr="00000000">
        <w:rPr>
          <w:rFonts w:ascii="Palatino Linotype" w:cs="Palatino Linotype" w:eastAsia="Palatino Linotype" w:hAnsi="Palatino Linotype"/>
          <w:i w:val="1"/>
          <w:iCs w:val="1"/>
          <w:sz w:val="22"/>
          <w:szCs w:val="22"/>
          <w:rtl w:val="0"/>
        </w:rPr>
        <w:t xml:space="preserve">.”</w:t>
      </w:r>
    </w:p>
    <w:p w:rsidR="00000000" w:rsidDel="00000000" w:rsidP="00000000" w:rsidRDefault="00000000" w:rsidRPr="00000000" w14:paraId="00000039">
      <w:pPr>
        <w:spacing w:after="240" w:before="240"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Esto es, que los Sujetos Obligados tiene la obligación o deber de atender las solicitudes de acceso a la información pública que se les hagan de su conocimiento y proporcionar la información pública que obren en su poder conforme el estado que se encuentra y no hacer un procesamiento de la misma, ni presentarla conforme al interés del solicitante; como así lo establece el artículo 12 de la Ley de Transparencia y Acceso a la Información Pública del Estado de México y Municipios, que a la letra dice:</w:t>
      </w:r>
    </w:p>
    <w:p w:rsidR="00000000" w:rsidDel="00000000" w:rsidP="00000000" w:rsidRDefault="00000000" w:rsidRPr="00000000" w14:paraId="0000003A">
      <w:pPr>
        <w:spacing w:after="240" w:before="240" w:line="360" w:lineRule="auto"/>
        <w:ind w:left="851" w:right="902"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“Artículo 12.-</w:t>
      </w:r>
      <w:r w:rsidDel="00000000" w:rsidR="00000000" w:rsidRPr="00000000">
        <w:rPr>
          <w:rFonts w:ascii="Palatino Linotype" w:cs="Palatino Linotype" w:eastAsia="Palatino Linotype" w:hAnsi="Palatino Linotype"/>
          <w:i w:val="1"/>
          <w:iCs w:val="1"/>
          <w:sz w:val="22"/>
          <w:szCs w:val="22"/>
          <w:rtl w:val="0"/>
        </w:rPr>
        <w:t xml:space="preserve"> Quienes generen, recopilen, administren, manejen, procesen, archiven o conserven información pública serán responsables de la misma en los términos de las disposiciones jurídicas aplicables. </w:t>
      </w:r>
    </w:p>
    <w:p w:rsidR="00000000" w:rsidDel="00000000" w:rsidP="00000000" w:rsidRDefault="00000000" w:rsidRPr="00000000" w14:paraId="0000003B">
      <w:pPr>
        <w:spacing w:after="240" w:before="240" w:line="360" w:lineRule="auto"/>
        <w:ind w:left="851" w:right="902"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Los sujetos obligados sólo proporcionarán la información pública que se les requiera y que obre en sus archivos y en el estado en que ésta se encuentre</w:t>
      </w:r>
      <w:r w:rsidDel="00000000" w:rsidR="00000000" w:rsidRPr="00000000">
        <w:rPr>
          <w:rFonts w:ascii="Palatino Linotype" w:cs="Palatino Linotype" w:eastAsia="Palatino Linotype" w:hAnsi="Palatino Linotype"/>
          <w:i w:val="1"/>
          <w:iCs w:val="1"/>
          <w:sz w:val="22"/>
          <w:szCs w:val="22"/>
          <w:rtl w:val="0"/>
        </w:rPr>
        <w:t xml:space="preserve">. </w:t>
      </w:r>
      <w:r w:rsidDel="00000000" w:rsidR="00000000" w:rsidRPr="00000000">
        <w:rPr>
          <w:rFonts w:ascii="Palatino Linotype" w:cs="Palatino Linotype" w:eastAsia="Palatino Linotype" w:hAnsi="Palatino Linotype"/>
          <w:b w:val="1"/>
          <w:bCs w:val="1"/>
          <w:i w:val="1"/>
          <w:iCs w:val="1"/>
          <w:sz w:val="22"/>
          <w:szCs w:val="22"/>
          <w:rtl w:val="0"/>
        </w:rPr>
        <w:t xml:space="preserve">La obligación de proporcionar información no comprende el procesamiento de la misma, ni el presentarla conforme al interés del solicitante; no estarán obligados a generarla, resumirla, efectuar cálculos o practicar investigaciones.”</w:t>
      </w:r>
      <w:r w:rsidDel="00000000" w:rsidR="00000000" w:rsidRPr="00000000">
        <w:rPr>
          <w:rtl w:val="0"/>
        </w:rPr>
      </w:r>
    </w:p>
    <w:p w:rsidR="00000000" w:rsidDel="00000000" w:rsidP="00000000" w:rsidRDefault="00000000" w:rsidRPr="00000000" w14:paraId="0000003C">
      <w:pPr>
        <w:spacing w:after="240" w:before="240" w:line="360" w:lineRule="auto"/>
        <w:ind w:right="-93"/>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Es decir, que todo sujeto obligado que genere, recopile, administre, procese, archive, posea o conserven, son responsables de la misma teniendo a su vez la obligación de proporcionar la información que se les requiera sin necesidad de resumirla, efectuar procedimientos para obtenerla, calcular y practicar investigaciones; en otras palabras, que los Sujetos Obligados sólo se concretaran a proporcionar la información solicitada que tengan en su poder en el estado que se encuentran, sin necesidad de concretarse al interés o términos específicos del solicitante.</w:t>
      </w:r>
    </w:p>
    <w:p w:rsidR="00000000" w:rsidDel="00000000" w:rsidP="00000000" w:rsidRDefault="00000000" w:rsidRPr="00000000" w14:paraId="0000003D">
      <w:pPr>
        <w:spacing w:after="240" w:before="240" w:line="360" w:lineRule="auto"/>
        <w:jc w:val="both"/>
        <w:rPr>
          <w:rFonts w:ascii="Palatino Linotype" w:cs="Palatino Linotype" w:eastAsia="Palatino Linotype" w:hAnsi="Palatino Linotype"/>
          <w:b w:val="1"/>
          <w:bCs w:val="1"/>
          <w:sz w:val="22"/>
          <w:szCs w:val="22"/>
        </w:rPr>
      </w:pPr>
      <w:r w:rsidDel="00000000" w:rsidR="00000000" w:rsidRPr="00000000">
        <w:rPr>
          <w:rFonts w:ascii="Palatino Linotype" w:cs="Palatino Linotype" w:eastAsia="Palatino Linotype" w:hAnsi="Palatino Linotype"/>
          <w:sz w:val="22"/>
          <w:szCs w:val="22"/>
          <w:rtl w:val="0"/>
        </w:rPr>
        <w:t xml:space="preserve">Sirve de apoyo a lo anterior, el criterio orientador con clave de control SO/003/2017, emitido por el entonces Instituto Nacional de Transparencia, Acceso a la Información y Protección de Datos Personales, que por rubro y texto, dispone lo siguiente:</w:t>
      </w:r>
      <w:r w:rsidDel="00000000" w:rsidR="00000000" w:rsidRPr="00000000">
        <w:rPr>
          <w:rFonts w:ascii="Palatino Linotype" w:cs="Palatino Linotype" w:eastAsia="Palatino Linotype" w:hAnsi="Palatino Linotype"/>
          <w:b w:val="1"/>
          <w:bCs w:val="1"/>
          <w:sz w:val="22"/>
          <w:szCs w:val="22"/>
          <w:rtl w:val="0"/>
        </w:rPr>
        <w:t xml:space="preserve"> </w:t>
      </w:r>
    </w:p>
    <w:p w:rsidR="00000000" w:rsidDel="00000000" w:rsidP="00000000" w:rsidRDefault="00000000" w:rsidRPr="00000000" w14:paraId="0000003E">
      <w:pPr>
        <w:spacing w:after="240" w:before="240" w:line="360" w:lineRule="auto"/>
        <w:ind w:left="1134" w:right="902"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 “</w:t>
      </w:r>
      <w:r w:rsidDel="00000000" w:rsidR="00000000" w:rsidRPr="00000000">
        <w:rPr>
          <w:rFonts w:ascii="Palatino Linotype" w:cs="Palatino Linotype" w:eastAsia="Palatino Linotype" w:hAnsi="Palatino Linotype"/>
          <w:b w:val="1"/>
          <w:bCs w:val="1"/>
          <w:i w:val="1"/>
          <w:iCs w:val="1"/>
          <w:sz w:val="22"/>
          <w:szCs w:val="22"/>
          <w:rtl w:val="0"/>
        </w:rPr>
        <w:t xml:space="preserve">No existe obligación de elaborar documentos ad hoc para atender las solicitudes de acceso a la información.</w:t>
      </w:r>
      <w:r w:rsidDel="00000000" w:rsidR="00000000" w:rsidRPr="00000000">
        <w:rPr>
          <w:rFonts w:ascii="Palatino Linotype" w:cs="Palatino Linotype" w:eastAsia="Palatino Linotype" w:hAnsi="Palatino Linotype"/>
          <w:i w:val="1"/>
          <w:iCs w:val="1"/>
          <w:sz w:val="22"/>
          <w:szCs w:val="22"/>
          <w:rtl w:val="0"/>
        </w:rPr>
        <w:t xml:space="preserve"> Los artículos 129 de la Ley General de Transparencia y Acceso a la Información Pública y 130, párrafo cuarto, de la Ley Federal de Transparencia y Acceso a la Información Pública, señalan que los sujetos obligados deberán otorgar acceso a los documentos que se encuentren en sus archivos o que estén obligados a documentar, de acuerdo con sus facultades, competencias o funciones, conforme a las características físicas de la información o del lugar donde se encuentre. Por lo anterior, los sujetos obligados deben garantizar el derecho de acceso a la información del particular, proporcionando la información con la que cuentan en el formato en que la misma obre en sus archivos; sin necesidad de elaborar documentos ad hoc para atender las solicitudes de información.” </w:t>
      </w:r>
    </w:p>
    <w:p w:rsidR="00000000" w:rsidDel="00000000" w:rsidP="00000000" w:rsidRDefault="00000000" w:rsidRPr="00000000" w14:paraId="0000003F">
      <w:pPr>
        <w:spacing w:after="240" w:before="240"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En esa tesitura, el artículo 24 en su último párrafo de la Ley de la Materia, dispone que los Sujetos Obligados sólo proporcionarán la información pública que generen, administren o posean en el ejercicio de sus atribuciones; por consiguiente, la información pública se encuentra a disposición de cualquier persona, lo que implica que es deber de los Sujetos Obligados, garantizar el Derecho de Acceso a la Información Pública.</w:t>
      </w:r>
    </w:p>
    <w:p w:rsidR="00000000" w:rsidDel="00000000" w:rsidP="00000000" w:rsidRDefault="00000000" w:rsidRPr="00000000" w14:paraId="00000040">
      <w:pPr>
        <w:spacing w:after="240" w:before="240"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En conclusión, el derecho de acceso a la información pública, consiste en que la información solicitada conste en un documento en cualquiera de sus formas, a saber: expedientes, reportes, estudios, actas, resoluciones, oficios, correspondencia, acuerdos, directivas, directrices, circulares, contratos, convenios, instructivos, notas, memorandos, estadísticas o bien, cualquier otro registro que documente el ejercicio de las facultades, funciones y competencias de los Sujetos Obligados; los que, podrán estar en cualquier medio, sea escrito, impreso, sonoro, visual, electrónico, informático u holográfico de conformidad con el artículo 3, fracción XI de la Ley de la materia, el cual señala lo siguiente: </w:t>
      </w:r>
    </w:p>
    <w:p w:rsidR="00000000" w:rsidDel="00000000" w:rsidP="00000000" w:rsidRDefault="00000000" w:rsidRPr="00000000" w14:paraId="00000041">
      <w:pPr>
        <w:spacing w:after="240" w:before="240" w:line="360" w:lineRule="auto"/>
        <w:ind w:left="851" w:right="902"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w:t>
      </w:r>
      <w:r w:rsidDel="00000000" w:rsidR="00000000" w:rsidRPr="00000000">
        <w:rPr>
          <w:rFonts w:ascii="Palatino Linotype" w:cs="Palatino Linotype" w:eastAsia="Palatino Linotype" w:hAnsi="Palatino Linotype"/>
          <w:b w:val="1"/>
          <w:bCs w:val="1"/>
          <w:i w:val="1"/>
          <w:iCs w:val="1"/>
          <w:sz w:val="22"/>
          <w:szCs w:val="22"/>
          <w:rtl w:val="0"/>
        </w:rPr>
        <w:t xml:space="preserve">Artículo 3. </w:t>
      </w:r>
      <w:r w:rsidDel="00000000" w:rsidR="00000000" w:rsidRPr="00000000">
        <w:rPr>
          <w:rFonts w:ascii="Palatino Linotype" w:cs="Palatino Linotype" w:eastAsia="Palatino Linotype" w:hAnsi="Palatino Linotype"/>
          <w:i w:val="1"/>
          <w:iCs w:val="1"/>
          <w:sz w:val="22"/>
          <w:szCs w:val="22"/>
          <w:rtl w:val="0"/>
        </w:rPr>
        <w:t xml:space="preserve">Para los efectos de la presente Ley se entenderá por:</w:t>
      </w:r>
    </w:p>
    <w:p w:rsidR="00000000" w:rsidDel="00000000" w:rsidP="00000000" w:rsidRDefault="00000000" w:rsidRPr="00000000" w14:paraId="00000042">
      <w:pPr>
        <w:spacing w:after="240" w:before="240" w:line="360" w:lineRule="auto"/>
        <w:ind w:left="1134" w:right="902"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w:t>
      </w:r>
    </w:p>
    <w:p w:rsidR="00000000" w:rsidDel="00000000" w:rsidP="00000000" w:rsidRDefault="00000000" w:rsidRPr="00000000" w14:paraId="00000043">
      <w:pPr>
        <w:spacing w:after="240" w:before="240" w:line="360" w:lineRule="auto"/>
        <w:ind w:left="1134" w:right="902"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XI. Documento:</w:t>
      </w:r>
      <w:r w:rsidDel="00000000" w:rsidR="00000000" w:rsidRPr="00000000">
        <w:rPr>
          <w:rFonts w:ascii="Palatino Linotype" w:cs="Palatino Linotype" w:eastAsia="Palatino Linotype" w:hAnsi="Palatino Linotype"/>
          <w:i w:val="1"/>
          <w:iCs w:val="1"/>
          <w:sz w:val="22"/>
          <w:szCs w:val="22"/>
          <w:rtl w:val="0"/>
        </w:rPr>
        <w:t xml:space="preserve"> Los expedientes, reportes, estudios, actas</w:t>
      </w:r>
      <w:r w:rsidDel="00000000" w:rsidR="00000000" w:rsidRPr="00000000">
        <w:rPr>
          <w:rFonts w:ascii="Palatino Linotype" w:cs="Palatino Linotype" w:eastAsia="Palatino Linotype" w:hAnsi="Palatino Linotype"/>
          <w:b w:val="1"/>
          <w:bCs w:val="1"/>
          <w:i w:val="1"/>
          <w:iCs w:val="1"/>
          <w:sz w:val="22"/>
          <w:szCs w:val="22"/>
          <w:rtl w:val="0"/>
        </w:rPr>
        <w:t xml:space="preserve">,</w:t>
      </w:r>
      <w:r w:rsidDel="00000000" w:rsidR="00000000" w:rsidRPr="00000000">
        <w:rPr>
          <w:rFonts w:ascii="Palatino Linotype" w:cs="Palatino Linotype" w:eastAsia="Palatino Linotype" w:hAnsi="Palatino Linotype"/>
          <w:i w:val="1"/>
          <w:iCs w:val="1"/>
          <w:sz w:val="22"/>
          <w:szCs w:val="22"/>
          <w:rtl w:val="0"/>
        </w:rPr>
        <w:t xml:space="preserve"> resoluciones, oficios, correspondencia, acuerdos, directivas, directrices, circulares, contratos, convenios, instructivos, notas, memorandos, estadísticas o bien, cualquier otro registro que documente el ejercicio de las facultades, funciones y competencias de los sujetos obligados, sus servidores públicos e integrantes, sin importar su fuente o fecha de elaboración. Los documentos podrán estar en cualquier medio, sea escrito, impreso, sonoro, visual, electrónico, informático u holográfico…” </w:t>
      </w:r>
    </w:p>
    <w:p w:rsidR="00000000" w:rsidDel="00000000" w:rsidP="00000000" w:rsidRDefault="00000000" w:rsidRPr="00000000" w14:paraId="00000044">
      <w:pPr>
        <w:spacing w:after="240" w:before="240"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Es aplicable, el criterio de interpretación en el orden administrativo número 0002-11, emitido por Acuerdo del Pleno del Instituto de Transparencia y Acceso a la Información Pública del Estado de México y Municipios; publicado en el Periódico Oficial del Gobierno del Estado Libre y Soberano de México “Gaceta del Gobierno”, el diecinueve de octubre de dos mil once, cuyo rubro y texto refieren lo siguiente:</w:t>
      </w:r>
    </w:p>
    <w:p w:rsidR="00000000" w:rsidDel="00000000" w:rsidP="00000000" w:rsidRDefault="00000000" w:rsidRPr="00000000" w14:paraId="00000045">
      <w:pPr>
        <w:spacing w:after="240" w:before="240" w:line="360" w:lineRule="auto"/>
        <w:ind w:left="851" w:right="902"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sz w:val="22"/>
          <w:szCs w:val="22"/>
          <w:rtl w:val="0"/>
        </w:rPr>
        <w:t xml:space="preserve">“</w:t>
      </w:r>
      <w:r w:rsidDel="00000000" w:rsidR="00000000" w:rsidRPr="00000000">
        <w:rPr>
          <w:rFonts w:ascii="Palatino Linotype" w:cs="Palatino Linotype" w:eastAsia="Palatino Linotype" w:hAnsi="Palatino Linotype"/>
          <w:b w:val="1"/>
          <w:bCs w:val="1"/>
          <w:i w:val="1"/>
          <w:iCs w:val="1"/>
          <w:sz w:val="22"/>
          <w:szCs w:val="22"/>
          <w:rtl w:val="0"/>
        </w:rPr>
        <w:t xml:space="preserve">INFORMACIÓN PÚBLICA, CONCEPTO DE, EN MATERIA DE TRANSPARENCIA. INTERPRETACIÓN SISTEMÁTICA DE LOS ARTÍCULOS 2°, FRACCIÓN V, XV, Y XVI, 3°, 4°, 11 Y 41.</w:t>
      </w:r>
      <w:r w:rsidDel="00000000" w:rsidR="00000000" w:rsidRPr="00000000">
        <w:rPr>
          <w:rFonts w:ascii="Palatino Linotype" w:cs="Palatino Linotype" w:eastAsia="Palatino Linotype" w:hAnsi="Palatino Linotype"/>
          <w:i w:val="1"/>
          <w:iCs w:val="1"/>
          <w:sz w:val="22"/>
          <w:szCs w:val="22"/>
          <w:rtl w:val="0"/>
        </w:rPr>
        <w:t xml:space="preserve"> De conformidad con los artículos antes referidos, el derecho de acceso a la información pública, se define en cuanto a su alcance y resultado material, el acceso a los archivos, registros y documentos públicos, administrados, generados o en posesión de los órganos u organismos públicos, en virtud del ejercicio de sus funciones de derecho público, sin importar su fuente, soporte o fecha de elaboración.</w:t>
      </w:r>
    </w:p>
    <w:p w:rsidR="00000000" w:rsidDel="00000000" w:rsidP="00000000" w:rsidRDefault="00000000" w:rsidRPr="00000000" w14:paraId="00000046">
      <w:pPr>
        <w:spacing w:after="240" w:before="240" w:line="360" w:lineRule="auto"/>
        <w:ind w:left="851" w:right="902"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En consecuencia el acceso a la información se refiere a que se cumplan cualquiera de los siguientes tres supuestos:</w:t>
      </w:r>
    </w:p>
    <w:p w:rsidR="00000000" w:rsidDel="00000000" w:rsidP="00000000" w:rsidRDefault="00000000" w:rsidRPr="00000000" w14:paraId="00000047">
      <w:pPr>
        <w:spacing w:after="240" w:before="240" w:line="360" w:lineRule="auto"/>
        <w:ind w:left="1134" w:right="902"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1) Que se trate de información registrada en cualquier soporte documental, que en ejercicio de las atribuciones conferidas, sea generada por los Sujetos Obligados;</w:t>
      </w:r>
    </w:p>
    <w:p w:rsidR="00000000" w:rsidDel="00000000" w:rsidP="00000000" w:rsidRDefault="00000000" w:rsidRPr="00000000" w14:paraId="00000048">
      <w:pPr>
        <w:spacing w:after="240" w:before="240" w:line="360" w:lineRule="auto"/>
        <w:ind w:left="1134" w:right="902"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2) Que se trate de información registrada en cualquier soporte documental, que en ejercicio de las atribuciones conferidas, sea administrada por los Sujetos Obligados, y</w:t>
      </w:r>
    </w:p>
    <w:p w:rsidR="00000000" w:rsidDel="00000000" w:rsidP="00000000" w:rsidRDefault="00000000" w:rsidRPr="00000000" w14:paraId="00000049">
      <w:pPr>
        <w:spacing w:after="240" w:before="240" w:line="360" w:lineRule="auto"/>
        <w:ind w:left="1134" w:right="902"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3) Que se trate de información registrada en cualquier soporte documental, que en ejercicio de las atribuciones conferidas, se encuentre en posesión de los Sujetos Obligados.”</w:t>
      </w:r>
    </w:p>
    <w:p w:rsidR="00000000" w:rsidDel="00000000" w:rsidP="00000000" w:rsidRDefault="00000000" w:rsidRPr="00000000" w14:paraId="0000004A">
      <w:pPr>
        <w:spacing w:after="240" w:before="240" w:line="360" w:lineRule="auto"/>
        <w:ind w:right="51"/>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Lo anterior, siempre y cuando no se trate de información clasificada como reservada o confidencial, cuya difusión pueda lesionar el interés jurídicamente protegido por la Ley, producir un daño mayor que el interés de conocerse, o bien, generar un daño en los derechos de las personas, debiendo tener audacia los Sujetos Obligados para cuidar esta información a través del acuerdo clasificatorio del comité de transparencia y la versión pública que emita el servidor público habilitado de cada Sujeto Obligado; como así se establece en la Ley de Transparencia y Acceso a la Información Pública del Estado de México y Municipios.</w:t>
      </w:r>
    </w:p>
    <w:p w:rsidR="00000000" w:rsidDel="00000000" w:rsidP="00000000" w:rsidRDefault="00000000" w:rsidRPr="00000000" w14:paraId="0000004B">
      <w:pPr>
        <w:spacing w:after="240" w:before="240"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En el mismo tenor, los artículos 6, apartado A, fracción I, de la Constitución Política de los Estados Unidos Mexicanos y 5, fracción I, de la Constitución Política del Estado Libre y Soberano de México, establecen que toda la información en posesión de cualquier autoridad, entidad, órgano y organismos de los Poderes Ejecutivo, Legislativo y Judicial, órganos autónomos, partidos políticos, fideicomisos y fondos públicos estatales y municipales, así como del gobierno y de la administración pública municipal y sus organismos descentralizados, asimismo de cualquier persona física, jurídica colectiva o sindicato que reciba y ejerza recursos públicos o realice actos de autoridad en el ámbito estatal y municipal, es pública y sólo podrá ser reservada temporalmente por las razones previstas en la Constitución Federal por interés público y seguridad, en los términos que fijen las leyes de la materia.</w:t>
      </w:r>
    </w:p>
    <w:p w:rsidR="00000000" w:rsidDel="00000000" w:rsidP="00000000" w:rsidRDefault="00000000" w:rsidRPr="00000000" w14:paraId="0000004C">
      <w:pPr>
        <w:spacing w:after="240" w:before="240" w:line="360" w:lineRule="auto"/>
        <w:ind w:right="51"/>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Ahora bien, del análisis de la solicitud de información, motivo del recurso de revisión que ahora se resuelve, se advierte que la parte </w:t>
      </w:r>
      <w:r w:rsidDel="00000000" w:rsidR="00000000" w:rsidRPr="00000000">
        <w:rPr>
          <w:rFonts w:ascii="Palatino Linotype" w:cs="Palatino Linotype" w:eastAsia="Palatino Linotype" w:hAnsi="Palatino Linotype"/>
          <w:b w:val="1"/>
          <w:bCs w:val="1"/>
          <w:sz w:val="22"/>
          <w:szCs w:val="22"/>
          <w:rtl w:val="0"/>
        </w:rPr>
        <w:t xml:space="preserve">Recurrente</w:t>
      </w:r>
      <w:r w:rsidDel="00000000" w:rsidR="00000000" w:rsidRPr="00000000">
        <w:rPr>
          <w:rFonts w:ascii="Palatino Linotype" w:cs="Palatino Linotype" w:eastAsia="Palatino Linotype" w:hAnsi="Palatino Linotype"/>
          <w:sz w:val="22"/>
          <w:szCs w:val="22"/>
          <w:rtl w:val="0"/>
        </w:rPr>
        <w:t xml:space="preserve"> requirió al </w:t>
      </w:r>
      <w:r w:rsidDel="00000000" w:rsidR="00000000" w:rsidRPr="00000000">
        <w:rPr>
          <w:rFonts w:ascii="Palatino Linotype" w:cs="Palatino Linotype" w:eastAsia="Palatino Linotype" w:hAnsi="Palatino Linotype"/>
          <w:b w:val="1"/>
          <w:bCs w:val="1"/>
          <w:sz w:val="22"/>
          <w:szCs w:val="22"/>
          <w:rtl w:val="0"/>
        </w:rPr>
        <w:t xml:space="preserve">Sujeto Obligado </w:t>
      </w:r>
      <w:r w:rsidDel="00000000" w:rsidR="00000000" w:rsidRPr="00000000">
        <w:rPr>
          <w:rFonts w:ascii="Palatino Linotype" w:cs="Palatino Linotype" w:eastAsia="Palatino Linotype" w:hAnsi="Palatino Linotype"/>
          <w:sz w:val="22"/>
          <w:szCs w:val="22"/>
          <w:rtl w:val="0"/>
        </w:rPr>
        <w:t xml:space="preserve">le proporcione medularmente lo siguiente:</w:t>
      </w:r>
    </w:p>
    <w:p w:rsidR="00000000" w:rsidDel="00000000" w:rsidP="00000000" w:rsidRDefault="00000000" w:rsidRPr="00000000" w14:paraId="0000004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720" w:right="51"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Los recibos de nómina de los integrantes del cabildo del periodo comprendido del 2026.</w:t>
      </w:r>
    </w:p>
    <w:p w:rsidR="00000000" w:rsidDel="00000000" w:rsidP="00000000" w:rsidRDefault="00000000" w:rsidRPr="00000000" w14:paraId="0000004E">
      <w:pPr>
        <w:pBdr>
          <w:top w:space="0" w:sz="0" w:val="nil"/>
          <w:left w:space="0" w:sz="0" w:val="nil"/>
          <w:bottom w:space="0" w:sz="0" w:val="nil"/>
          <w:right w:space="0" w:sz="0" w:val="nil"/>
          <w:between w:space="0" w:sz="0" w:val="nil"/>
        </w:pBdr>
        <w:spacing w:line="360" w:lineRule="auto"/>
        <w:ind w:right="51"/>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4F">
      <w:pPr>
        <w:spacing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Al respecto, sobre la temporalidad si bien el particular precisó que requería la información del dos mil veintiséis, dicha exigencia no es atendible, en razón de que el ejercicio solicitado aún no ha terminado, por lo que ordenar la entrega de información de todo el ejercicio dos mil veintiséis corresponde a hechos futuros.</w:t>
      </w:r>
    </w:p>
    <w:p w:rsidR="00000000" w:rsidDel="00000000" w:rsidP="00000000" w:rsidRDefault="00000000" w:rsidRPr="00000000" w14:paraId="00000050">
      <w:pP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51">
      <w:pPr>
        <w:spacing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De ahí que, atendiendo lo indicado, así como que la información solicitada se genera de manera quincena, </w:t>
      </w:r>
      <w:r w:rsidDel="00000000" w:rsidR="00000000" w:rsidRPr="00000000">
        <w:rPr>
          <w:rFonts w:ascii="Palatino Linotype" w:cs="Palatino Linotype" w:eastAsia="Palatino Linotype" w:hAnsi="Palatino Linotype"/>
          <w:b w:val="1"/>
          <w:bCs w:val="1"/>
          <w:sz w:val="22"/>
          <w:szCs w:val="22"/>
          <w:rtl w:val="0"/>
        </w:rPr>
        <w:t xml:space="preserve">resulta dable tener como temporalidad de entrega de la información el periodo comprendido del 01 de enero al 15 de mayo de 2026.</w:t>
      </w:r>
      <w:r w:rsidDel="00000000" w:rsidR="00000000" w:rsidRPr="00000000">
        <w:rPr>
          <w:rtl w:val="0"/>
        </w:rPr>
      </w:r>
    </w:p>
    <w:p w:rsidR="00000000" w:rsidDel="00000000" w:rsidP="00000000" w:rsidRDefault="00000000" w:rsidRPr="00000000" w14:paraId="00000052">
      <w:pP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53">
      <w:pP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54">
      <w:pPr>
        <w:spacing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Establecido lo anterior, es de indicar que en respuesta el </w:t>
      </w:r>
      <w:r w:rsidDel="00000000" w:rsidR="00000000" w:rsidRPr="00000000">
        <w:rPr>
          <w:rFonts w:ascii="Palatino Linotype" w:cs="Palatino Linotype" w:eastAsia="Palatino Linotype" w:hAnsi="Palatino Linotype"/>
          <w:b w:val="1"/>
          <w:bCs w:val="1"/>
          <w:sz w:val="22"/>
          <w:szCs w:val="22"/>
          <w:rtl w:val="0"/>
        </w:rPr>
        <w:t xml:space="preserve">Sujeto Obligado </w:t>
      </w:r>
      <w:r w:rsidDel="00000000" w:rsidR="00000000" w:rsidRPr="00000000">
        <w:rPr>
          <w:rFonts w:ascii="Palatino Linotype" w:cs="Palatino Linotype" w:eastAsia="Palatino Linotype" w:hAnsi="Palatino Linotype"/>
          <w:sz w:val="22"/>
          <w:szCs w:val="22"/>
          <w:rtl w:val="0"/>
        </w:rPr>
        <w:t xml:space="preserve">por conducto de la Directora de Recursos Humanos refirió que lo requerido puede consultarse en ipomex, proporcionando el enlace de consulta de las remuneraciones.</w:t>
      </w:r>
    </w:p>
    <w:p w:rsidR="00000000" w:rsidDel="00000000" w:rsidP="00000000" w:rsidRDefault="00000000" w:rsidRPr="00000000" w14:paraId="00000055">
      <w:pP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56">
      <w:pPr>
        <w:spacing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Inconforme con la respuesta, la parte </w:t>
      </w:r>
      <w:r w:rsidDel="00000000" w:rsidR="00000000" w:rsidRPr="00000000">
        <w:rPr>
          <w:rFonts w:ascii="Palatino Linotype" w:cs="Palatino Linotype" w:eastAsia="Palatino Linotype" w:hAnsi="Palatino Linotype"/>
          <w:b w:val="1"/>
          <w:bCs w:val="1"/>
          <w:sz w:val="22"/>
          <w:szCs w:val="22"/>
          <w:rtl w:val="0"/>
        </w:rPr>
        <w:t xml:space="preserve">Recurrente </w:t>
      </w:r>
      <w:r w:rsidDel="00000000" w:rsidR="00000000" w:rsidRPr="00000000">
        <w:rPr>
          <w:rFonts w:ascii="Palatino Linotype" w:cs="Palatino Linotype" w:eastAsia="Palatino Linotype" w:hAnsi="Palatino Linotype"/>
          <w:sz w:val="22"/>
          <w:szCs w:val="22"/>
          <w:rtl w:val="0"/>
        </w:rPr>
        <w:t xml:space="preserve">promovió el presente recurso de revisión señalando como acto impugnado o razones o motivos de inconformidad la negativa a la entrega de la información.</w:t>
      </w:r>
    </w:p>
    <w:p w:rsidR="00000000" w:rsidDel="00000000" w:rsidP="00000000" w:rsidRDefault="00000000" w:rsidRPr="00000000" w14:paraId="00000057">
      <w:pP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58">
      <w:pPr>
        <w:spacing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Durante la etapa de manifestaciones el </w:t>
      </w:r>
      <w:r w:rsidDel="00000000" w:rsidR="00000000" w:rsidRPr="00000000">
        <w:rPr>
          <w:rFonts w:ascii="Palatino Linotype" w:cs="Palatino Linotype" w:eastAsia="Palatino Linotype" w:hAnsi="Palatino Linotype"/>
          <w:b w:val="1"/>
          <w:bCs w:val="1"/>
          <w:sz w:val="22"/>
          <w:szCs w:val="22"/>
          <w:rtl w:val="0"/>
        </w:rPr>
        <w:t xml:space="preserve">Sujeto Obligado </w:t>
      </w:r>
      <w:r w:rsidDel="00000000" w:rsidR="00000000" w:rsidRPr="00000000">
        <w:rPr>
          <w:rFonts w:ascii="Palatino Linotype" w:cs="Palatino Linotype" w:eastAsia="Palatino Linotype" w:hAnsi="Palatino Linotype"/>
          <w:sz w:val="22"/>
          <w:szCs w:val="22"/>
          <w:rtl w:val="0"/>
        </w:rPr>
        <w:t xml:space="preserve">rindió su informe justificado, ratificando en lo sustancial la respuesta inicial.</w:t>
      </w:r>
    </w:p>
    <w:p w:rsidR="00000000" w:rsidDel="00000000" w:rsidP="00000000" w:rsidRDefault="00000000" w:rsidRPr="00000000" w14:paraId="00000059">
      <w:pP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5A">
      <w:pPr>
        <w:spacing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Por su lado, la parte </w:t>
      </w:r>
      <w:r w:rsidDel="00000000" w:rsidR="00000000" w:rsidRPr="00000000">
        <w:rPr>
          <w:rFonts w:ascii="Palatino Linotype" w:cs="Palatino Linotype" w:eastAsia="Palatino Linotype" w:hAnsi="Palatino Linotype"/>
          <w:b w:val="1"/>
          <w:bCs w:val="1"/>
          <w:sz w:val="22"/>
          <w:szCs w:val="22"/>
          <w:rtl w:val="0"/>
        </w:rPr>
        <w:t xml:space="preserve">Recurrente </w:t>
      </w:r>
      <w:r w:rsidDel="00000000" w:rsidR="00000000" w:rsidRPr="00000000">
        <w:rPr>
          <w:rFonts w:ascii="Palatino Linotype" w:cs="Palatino Linotype" w:eastAsia="Palatino Linotype" w:hAnsi="Palatino Linotype"/>
          <w:sz w:val="22"/>
          <w:szCs w:val="22"/>
          <w:rtl w:val="0"/>
        </w:rPr>
        <w:t xml:space="preserve">fue omisa en rendir manifestaciones.</w:t>
      </w:r>
    </w:p>
    <w:p w:rsidR="00000000" w:rsidDel="00000000" w:rsidP="00000000" w:rsidRDefault="00000000" w:rsidRPr="00000000" w14:paraId="0000005B">
      <w:pP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5C">
      <w:pPr>
        <w:spacing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Establecido lo anterior, se procede al análisis de la naturaleza de la información requerida, así como el ámbito competencial del ente obligado para contar con la misma.</w:t>
      </w:r>
    </w:p>
    <w:p w:rsidR="00000000" w:rsidDel="00000000" w:rsidP="00000000" w:rsidRDefault="00000000" w:rsidRPr="00000000" w14:paraId="0000005D">
      <w:pP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5E">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Palatino Linotype" w:cs="Palatino Linotype" w:eastAsia="Palatino Linotype" w:hAnsi="Palatino Linotype"/>
          <w:b w:val="1"/>
          <w:bCs w:val="1"/>
          <w:i w:val="0"/>
          <w:iCs w:val="0"/>
          <w:smallCaps w:val="0"/>
          <w:strike w:val="0"/>
          <w:color w:val="000000"/>
          <w:sz w:val="22"/>
          <w:szCs w:val="22"/>
          <w:u w:val="none"/>
          <w:shd w:fill="auto" w:val="clear"/>
          <w:vertAlign w:val="baseline"/>
        </w:rPr>
      </w:pPr>
      <w:r w:rsidDel="00000000" w:rsidR="00000000" w:rsidRPr="00000000">
        <w:rPr>
          <w:rFonts w:ascii="Palatino Linotype" w:cs="Palatino Linotype" w:eastAsia="Palatino Linotype" w:hAnsi="Palatino Linotype"/>
          <w:b w:val="1"/>
          <w:bCs w:val="1"/>
          <w:i w:val="0"/>
          <w:iCs w:val="0"/>
          <w:smallCaps w:val="0"/>
          <w:strike w:val="0"/>
          <w:color w:val="000000"/>
          <w:sz w:val="22"/>
          <w:szCs w:val="22"/>
          <w:u w:val="none"/>
          <w:shd w:fill="auto" w:val="clear"/>
          <w:vertAlign w:val="baseline"/>
          <w:rtl w:val="0"/>
        </w:rPr>
        <w:t xml:space="preserve">Recibos de nómina:</w:t>
      </w:r>
    </w:p>
    <w:p w:rsidR="00000000" w:rsidDel="00000000" w:rsidP="00000000" w:rsidRDefault="00000000" w:rsidRPr="00000000" w14:paraId="0000005F">
      <w:pP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60">
      <w:pPr>
        <w:spacing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Al respecto, la Ley del Trabajo de los Servidores Públicos del Estado y Municipios hace referencia a los comprobantes que las instituciones públicas realizan </w:t>
      </w:r>
      <w:r w:rsidDel="00000000" w:rsidR="00000000" w:rsidRPr="00000000">
        <w:rPr>
          <w:rFonts w:ascii="Palatino Linotype" w:cs="Palatino Linotype" w:eastAsia="Palatino Linotype" w:hAnsi="Palatino Linotype"/>
          <w:b w:val="1"/>
          <w:bCs w:val="1"/>
          <w:sz w:val="22"/>
          <w:szCs w:val="22"/>
          <w:u w:val="single"/>
          <w:rtl w:val="0"/>
        </w:rPr>
        <w:t xml:space="preserve">para documentar el pago de salarios y demás prestaciones otorgadas a un servidor público</w:t>
      </w:r>
      <w:r w:rsidDel="00000000" w:rsidR="00000000" w:rsidRPr="00000000">
        <w:rPr>
          <w:rFonts w:ascii="Palatino Linotype" w:cs="Palatino Linotype" w:eastAsia="Palatino Linotype" w:hAnsi="Palatino Linotype"/>
          <w:sz w:val="22"/>
          <w:szCs w:val="22"/>
          <w:rtl w:val="0"/>
        </w:rPr>
        <w:t xml:space="preserve">, denominándose "</w:t>
      </w:r>
      <w:r w:rsidDel="00000000" w:rsidR="00000000" w:rsidRPr="00000000">
        <w:rPr>
          <w:rFonts w:ascii="Palatino Linotype" w:cs="Palatino Linotype" w:eastAsia="Palatino Linotype" w:hAnsi="Palatino Linotype"/>
          <w:i w:val="1"/>
          <w:iCs w:val="1"/>
          <w:sz w:val="22"/>
          <w:szCs w:val="22"/>
          <w:rtl w:val="0"/>
        </w:rPr>
        <w:t xml:space="preserve">recibos o comprobantes de pago</w:t>
      </w:r>
      <w:r w:rsidDel="00000000" w:rsidR="00000000" w:rsidRPr="00000000">
        <w:rPr>
          <w:rFonts w:ascii="Palatino Linotype" w:cs="Palatino Linotype" w:eastAsia="Palatino Linotype" w:hAnsi="Palatino Linotype"/>
          <w:sz w:val="22"/>
          <w:szCs w:val="22"/>
          <w:rtl w:val="0"/>
        </w:rPr>
        <w:t xml:space="preserve">", los cuales constituyen un instrumento mediante el cual el sujeto obligado acredita las remuneraciones al personal y, que de acuerdo al uso implantado en la colectividad se denominan "recibos de nómina".</w:t>
      </w:r>
    </w:p>
    <w:p w:rsidR="00000000" w:rsidDel="00000000" w:rsidP="00000000" w:rsidRDefault="00000000" w:rsidRPr="00000000" w14:paraId="00000061">
      <w:pPr>
        <w:spacing w:line="360" w:lineRule="auto"/>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62">
      <w:pPr>
        <w:spacing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A efecto de robustecer lo anterior, es preciso hacer alusión, en primera instancia, a lo establecido en las normas de carácter general del </w:t>
      </w:r>
      <w:r w:rsidDel="00000000" w:rsidR="00000000" w:rsidRPr="00000000">
        <w:rPr>
          <w:rFonts w:ascii="Palatino Linotype" w:cs="Palatino Linotype" w:eastAsia="Palatino Linotype" w:hAnsi="Palatino Linotype"/>
          <w:b w:val="1"/>
          <w:bCs w:val="1"/>
          <w:sz w:val="22"/>
          <w:szCs w:val="22"/>
          <w:rtl w:val="0"/>
        </w:rPr>
        <w:t xml:space="preserve">Manual Único de Contabilidad Gubernamental para las Dependencias y Entidades Públicas del Gobierno y Municipios del Estado de México</w:t>
      </w:r>
      <w:r w:rsidDel="00000000" w:rsidR="00000000" w:rsidRPr="00000000">
        <w:rPr>
          <w:rFonts w:ascii="Palatino Linotype" w:cs="Palatino Linotype" w:eastAsia="Palatino Linotype" w:hAnsi="Palatino Linotype"/>
          <w:i w:val="1"/>
          <w:iCs w:val="1"/>
          <w:sz w:val="22"/>
          <w:szCs w:val="22"/>
          <w:rtl w:val="0"/>
        </w:rPr>
        <w:t xml:space="preserve">,  </w:t>
      </w:r>
      <w:r w:rsidDel="00000000" w:rsidR="00000000" w:rsidRPr="00000000">
        <w:rPr>
          <w:rFonts w:ascii="Palatino Linotype" w:cs="Palatino Linotype" w:eastAsia="Palatino Linotype" w:hAnsi="Palatino Linotype"/>
          <w:sz w:val="22"/>
          <w:szCs w:val="22"/>
          <w:rtl w:val="0"/>
        </w:rPr>
        <w:t xml:space="preserve">en donde se señala que el Régimen Fiscal para las entidades públicas es el correspondiente a </w:t>
      </w:r>
      <w:r w:rsidDel="00000000" w:rsidR="00000000" w:rsidRPr="00000000">
        <w:rPr>
          <w:rFonts w:ascii="Palatino Linotype" w:cs="Palatino Linotype" w:eastAsia="Palatino Linotype" w:hAnsi="Palatino Linotype"/>
          <w:i w:val="1"/>
          <w:iCs w:val="1"/>
          <w:sz w:val="22"/>
          <w:szCs w:val="22"/>
          <w:rtl w:val="0"/>
        </w:rPr>
        <w:t xml:space="preserve">personas morales con fines no lucrativos, </w:t>
      </w:r>
      <w:r w:rsidDel="00000000" w:rsidR="00000000" w:rsidRPr="00000000">
        <w:rPr>
          <w:rFonts w:ascii="Palatino Linotype" w:cs="Palatino Linotype" w:eastAsia="Palatino Linotype" w:hAnsi="Palatino Linotype"/>
          <w:sz w:val="22"/>
          <w:szCs w:val="22"/>
          <w:rtl w:val="0"/>
        </w:rPr>
        <w:t xml:space="preserve">y en segundo lugar remitirnos al párrafo séptimo del artículo 86 del Título III del Régimen de las Personas Morales con fines no lucrativos, de la </w:t>
      </w:r>
      <w:r w:rsidDel="00000000" w:rsidR="00000000" w:rsidRPr="00000000">
        <w:rPr>
          <w:rFonts w:ascii="Palatino Linotype" w:cs="Palatino Linotype" w:eastAsia="Palatino Linotype" w:hAnsi="Palatino Linotype"/>
          <w:b w:val="1"/>
          <w:bCs w:val="1"/>
          <w:sz w:val="22"/>
          <w:szCs w:val="22"/>
          <w:rtl w:val="0"/>
        </w:rPr>
        <w:t xml:space="preserve">Ley del Impuesto Sobre la Renta</w:t>
      </w:r>
      <w:r w:rsidDel="00000000" w:rsidR="00000000" w:rsidRPr="00000000">
        <w:rPr>
          <w:rFonts w:ascii="Palatino Linotype" w:cs="Palatino Linotype" w:eastAsia="Palatino Linotype" w:hAnsi="Palatino Linotype"/>
          <w:i w:val="1"/>
          <w:iCs w:val="1"/>
          <w:sz w:val="22"/>
          <w:szCs w:val="22"/>
          <w:rtl w:val="0"/>
        </w:rPr>
        <w:t xml:space="preserve">, </w:t>
      </w:r>
      <w:r w:rsidDel="00000000" w:rsidR="00000000" w:rsidRPr="00000000">
        <w:rPr>
          <w:rFonts w:ascii="Palatino Linotype" w:cs="Palatino Linotype" w:eastAsia="Palatino Linotype" w:hAnsi="Palatino Linotype"/>
          <w:sz w:val="22"/>
          <w:szCs w:val="22"/>
          <w:rtl w:val="0"/>
        </w:rPr>
        <w:t xml:space="preserve">que a la letra señala lo siguiente:</w:t>
      </w:r>
    </w:p>
    <w:p w:rsidR="00000000" w:rsidDel="00000000" w:rsidP="00000000" w:rsidRDefault="00000000" w:rsidRPr="00000000" w14:paraId="00000063">
      <w:pPr>
        <w:spacing w:line="276" w:lineRule="auto"/>
        <w:ind w:left="851" w:right="616" w:firstLine="0"/>
        <w:jc w:val="both"/>
        <w:rPr>
          <w:rFonts w:ascii="Palatino Linotype" w:cs="Palatino Linotype" w:eastAsia="Palatino Linotype" w:hAnsi="Palatino Linotype"/>
          <w:b w:val="1"/>
          <w:bCs w:val="1"/>
          <w:i w:val="1"/>
          <w:iCs w:val="1"/>
          <w:sz w:val="22"/>
          <w:szCs w:val="22"/>
        </w:rPr>
      </w:pPr>
      <w:r w:rsidDel="00000000" w:rsidR="00000000" w:rsidRPr="00000000">
        <w:rPr>
          <w:rtl w:val="0"/>
        </w:rPr>
      </w:r>
    </w:p>
    <w:p w:rsidR="00000000" w:rsidDel="00000000" w:rsidP="00000000" w:rsidRDefault="00000000" w:rsidRPr="00000000" w14:paraId="00000064">
      <w:pPr>
        <w:spacing w:line="276" w:lineRule="auto"/>
        <w:ind w:left="851" w:right="616" w:firstLine="0"/>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“Artículo.- 86 </w:t>
      </w:r>
      <w:r w:rsidDel="00000000" w:rsidR="00000000" w:rsidRPr="00000000">
        <w:rPr>
          <w:rtl w:val="0"/>
        </w:rPr>
      </w:r>
    </w:p>
    <w:p w:rsidR="00000000" w:rsidDel="00000000" w:rsidP="00000000" w:rsidRDefault="00000000" w:rsidRPr="00000000" w14:paraId="00000065">
      <w:pPr>
        <w:spacing w:line="276" w:lineRule="auto"/>
        <w:ind w:left="851" w:right="616" w:firstLine="0"/>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w:t>
      </w:r>
      <w:r w:rsidDel="00000000" w:rsidR="00000000" w:rsidRPr="00000000">
        <w:rPr>
          <w:rFonts w:ascii="Palatino Linotype" w:cs="Palatino Linotype" w:eastAsia="Palatino Linotype" w:hAnsi="Palatino Linotype"/>
          <w:i w:val="1"/>
          <w:iCs w:val="1"/>
          <w:sz w:val="22"/>
          <w:szCs w:val="22"/>
          <w:rtl w:val="0"/>
        </w:rPr>
        <w:t xml:space="preserve">…)</w:t>
      </w:r>
      <w:r w:rsidDel="00000000" w:rsidR="00000000" w:rsidRPr="00000000">
        <w:rPr>
          <w:rtl w:val="0"/>
        </w:rPr>
      </w:r>
    </w:p>
    <w:p w:rsidR="00000000" w:rsidDel="00000000" w:rsidP="00000000" w:rsidRDefault="00000000" w:rsidRPr="00000000" w14:paraId="00000066">
      <w:pPr>
        <w:spacing w:line="276" w:lineRule="auto"/>
        <w:ind w:left="851" w:right="616" w:firstLine="0"/>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i w:val="1"/>
          <w:iCs w:val="1"/>
          <w:sz w:val="22"/>
          <w:szCs w:val="22"/>
          <w:rtl w:val="0"/>
        </w:rPr>
        <w:t xml:space="preserve">Los partidos y asociaciones políticas, legalmente reconocidos, la Federación, las entidades federativas, los municipios y las instituciones que por Ley estén obligadas a entregar al Gobierno Federal el importe íntegro de su remanente de operación y los organismos descentralizados que no tributen conforme al Título II de esta Ley </w:t>
      </w:r>
      <w:r w:rsidDel="00000000" w:rsidR="00000000" w:rsidRPr="00000000">
        <w:rPr>
          <w:rFonts w:ascii="Palatino Linotype" w:cs="Palatino Linotype" w:eastAsia="Palatino Linotype" w:hAnsi="Palatino Linotype"/>
          <w:b w:val="1"/>
          <w:bCs w:val="1"/>
          <w:i w:val="1"/>
          <w:iCs w:val="1"/>
          <w:sz w:val="22"/>
          <w:szCs w:val="22"/>
          <w:rtl w:val="0"/>
        </w:rPr>
        <w:t xml:space="preserve">están obligados a expedir y entregar comprobantes fiscales a las personas que reciban pagos por concepto de salarios y, en general, por la prestación de un servicio personal subordinado, en la fecha en que se realice la erogación correspondiente, los cuales podrán utilizarse como constancia o recibo de pago</w:t>
      </w:r>
      <w:r w:rsidDel="00000000" w:rsidR="00000000" w:rsidRPr="00000000">
        <w:rPr>
          <w:rFonts w:ascii="Palatino Linotype" w:cs="Palatino Linotype" w:eastAsia="Palatino Linotype" w:hAnsi="Palatino Linotype"/>
          <w:i w:val="1"/>
          <w:iCs w:val="1"/>
          <w:sz w:val="22"/>
          <w:szCs w:val="22"/>
          <w:rtl w:val="0"/>
        </w:rPr>
        <w:t xml:space="preserve"> para efectos de la legislación laboral a que se refieren los artículos 132 fracciones VII y VIII, y 804 primer párrafo fracciones II y IV de la Ley Federal del Trabajo…</w:t>
      </w:r>
      <w:r w:rsidDel="00000000" w:rsidR="00000000" w:rsidRPr="00000000">
        <w:rPr>
          <w:rFonts w:ascii="Palatino Linotype" w:cs="Palatino Linotype" w:eastAsia="Palatino Linotype" w:hAnsi="Palatino Linotype"/>
          <w:sz w:val="22"/>
          <w:szCs w:val="22"/>
          <w:rtl w:val="0"/>
        </w:rPr>
        <w:t xml:space="preserve">” </w:t>
      </w:r>
    </w:p>
    <w:p w:rsidR="00000000" w:rsidDel="00000000" w:rsidP="00000000" w:rsidRDefault="00000000" w:rsidRPr="00000000" w14:paraId="00000067">
      <w:pPr>
        <w:spacing w:line="276" w:lineRule="auto"/>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68">
      <w:pPr>
        <w:spacing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Del precepto citado, se advierte que las entidades federativas al ser entes públicos se encuentran constreñidos a expedir y entregar los </w:t>
      </w:r>
      <w:r w:rsidDel="00000000" w:rsidR="00000000" w:rsidRPr="00000000">
        <w:rPr>
          <w:rFonts w:ascii="Palatino Linotype" w:cs="Palatino Linotype" w:eastAsia="Palatino Linotype" w:hAnsi="Palatino Linotype"/>
          <w:b w:val="1"/>
          <w:bCs w:val="1"/>
          <w:sz w:val="22"/>
          <w:szCs w:val="22"/>
          <w:rtl w:val="0"/>
        </w:rPr>
        <w:t xml:space="preserve">comprobantes fiscales correspondientes a las personas que reciban pagos por conceptos de salarios y demás prestaciones establecidas en la Ley, </w:t>
      </w:r>
      <w:r w:rsidDel="00000000" w:rsidR="00000000" w:rsidRPr="00000000">
        <w:rPr>
          <w:rFonts w:ascii="Palatino Linotype" w:cs="Palatino Linotype" w:eastAsia="Palatino Linotype" w:hAnsi="Palatino Linotype"/>
          <w:sz w:val="22"/>
          <w:szCs w:val="22"/>
          <w:rtl w:val="0"/>
        </w:rPr>
        <w:t xml:space="preserve">mismos que pueden ser utilizados como </w:t>
      </w:r>
      <w:r w:rsidDel="00000000" w:rsidR="00000000" w:rsidRPr="00000000">
        <w:rPr>
          <w:rFonts w:ascii="Palatino Linotype" w:cs="Palatino Linotype" w:eastAsia="Palatino Linotype" w:hAnsi="Palatino Linotype"/>
          <w:b w:val="1"/>
          <w:bCs w:val="1"/>
          <w:sz w:val="22"/>
          <w:szCs w:val="22"/>
          <w:rtl w:val="0"/>
        </w:rPr>
        <w:t xml:space="preserve">constancia o</w:t>
      </w:r>
      <w:r w:rsidDel="00000000" w:rsidR="00000000" w:rsidRPr="00000000">
        <w:rPr>
          <w:rFonts w:ascii="Palatino Linotype" w:cs="Palatino Linotype" w:eastAsia="Palatino Linotype" w:hAnsi="Palatino Linotype"/>
          <w:sz w:val="22"/>
          <w:szCs w:val="22"/>
          <w:rtl w:val="0"/>
        </w:rPr>
        <w:t xml:space="preserve"> </w:t>
      </w:r>
      <w:r w:rsidDel="00000000" w:rsidR="00000000" w:rsidRPr="00000000">
        <w:rPr>
          <w:rFonts w:ascii="Palatino Linotype" w:cs="Palatino Linotype" w:eastAsia="Palatino Linotype" w:hAnsi="Palatino Linotype"/>
          <w:b w:val="1"/>
          <w:bCs w:val="1"/>
          <w:sz w:val="22"/>
          <w:szCs w:val="22"/>
          <w:rtl w:val="0"/>
        </w:rPr>
        <w:t xml:space="preserve">recibo de pago</w:t>
      </w:r>
      <w:r w:rsidDel="00000000" w:rsidR="00000000" w:rsidRPr="00000000">
        <w:rPr>
          <w:rFonts w:ascii="Palatino Linotype" w:cs="Palatino Linotype" w:eastAsia="Palatino Linotype" w:hAnsi="Palatino Linotype"/>
          <w:sz w:val="22"/>
          <w:szCs w:val="22"/>
          <w:rtl w:val="0"/>
        </w:rPr>
        <w:t xml:space="preserve">.</w:t>
      </w:r>
    </w:p>
    <w:p w:rsidR="00000000" w:rsidDel="00000000" w:rsidP="00000000" w:rsidRDefault="00000000" w:rsidRPr="00000000" w14:paraId="00000069">
      <w:pPr>
        <w:spacing w:line="276" w:lineRule="auto"/>
        <w:ind w:left="851" w:right="616" w:firstLine="0"/>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i w:val="1"/>
          <w:iCs w:val="1"/>
          <w:sz w:val="22"/>
          <w:szCs w:val="22"/>
          <w:rtl w:val="0"/>
        </w:rPr>
        <w:t xml:space="preserve">…”</w:t>
      </w:r>
      <w:r w:rsidDel="00000000" w:rsidR="00000000" w:rsidRPr="00000000">
        <w:rPr>
          <w:rtl w:val="0"/>
        </w:rPr>
      </w:r>
    </w:p>
    <w:p w:rsidR="00000000" w:rsidDel="00000000" w:rsidP="00000000" w:rsidRDefault="00000000" w:rsidRPr="00000000" w14:paraId="0000006A">
      <w:pPr>
        <w:spacing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Por su parte la Ley del Trabajo de los Servidores Públicos del Estado y Municipios, en su artículo 220-K fracciones II y IV y último párrafo, establecen lo siguiente:</w:t>
      </w:r>
    </w:p>
    <w:p w:rsidR="00000000" w:rsidDel="00000000" w:rsidP="00000000" w:rsidRDefault="00000000" w:rsidRPr="00000000" w14:paraId="0000006B">
      <w:pPr>
        <w:spacing w:line="276" w:lineRule="auto"/>
        <w:ind w:left="851" w:right="616" w:firstLine="0"/>
        <w:jc w:val="both"/>
        <w:rPr>
          <w:rFonts w:ascii="Palatino Linotype" w:cs="Palatino Linotype" w:eastAsia="Palatino Linotype" w:hAnsi="Palatino Linotype"/>
          <w:i w:val="1"/>
          <w:iCs w:val="1"/>
          <w:sz w:val="22"/>
          <w:szCs w:val="22"/>
        </w:rPr>
      </w:pPr>
      <w:r w:rsidDel="00000000" w:rsidR="00000000" w:rsidRPr="00000000">
        <w:rPr>
          <w:rtl w:val="0"/>
        </w:rPr>
      </w:r>
    </w:p>
    <w:p w:rsidR="00000000" w:rsidDel="00000000" w:rsidP="00000000" w:rsidRDefault="00000000" w:rsidRPr="00000000" w14:paraId="0000006C">
      <w:pPr>
        <w:spacing w:line="276" w:lineRule="auto"/>
        <w:ind w:left="851" w:right="616" w:firstLine="0"/>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i w:val="1"/>
          <w:iCs w:val="1"/>
          <w:sz w:val="22"/>
          <w:szCs w:val="22"/>
          <w:rtl w:val="0"/>
        </w:rPr>
        <w:t xml:space="preserve">“</w:t>
      </w:r>
      <w:r w:rsidDel="00000000" w:rsidR="00000000" w:rsidRPr="00000000">
        <w:rPr>
          <w:rFonts w:ascii="Palatino Linotype" w:cs="Palatino Linotype" w:eastAsia="Palatino Linotype" w:hAnsi="Palatino Linotype"/>
          <w:b w:val="1"/>
          <w:bCs w:val="1"/>
          <w:i w:val="1"/>
          <w:iCs w:val="1"/>
          <w:sz w:val="22"/>
          <w:szCs w:val="22"/>
          <w:rtl w:val="0"/>
        </w:rPr>
        <w:t xml:space="preserve">ARTÍCULO 220 K.-</w:t>
      </w:r>
      <w:r w:rsidDel="00000000" w:rsidR="00000000" w:rsidRPr="00000000">
        <w:rPr>
          <w:rFonts w:ascii="Palatino Linotype" w:cs="Palatino Linotype" w:eastAsia="Palatino Linotype" w:hAnsi="Palatino Linotype"/>
          <w:i w:val="1"/>
          <w:iCs w:val="1"/>
          <w:sz w:val="22"/>
          <w:szCs w:val="22"/>
          <w:rtl w:val="0"/>
        </w:rPr>
        <w:t xml:space="preserve"> La institución o dependencia pública tiene la obligación de conservar y exhibir en el proceso los documentos que a continuación se precisan:</w:t>
      </w:r>
      <w:r w:rsidDel="00000000" w:rsidR="00000000" w:rsidRPr="00000000">
        <w:rPr>
          <w:rtl w:val="0"/>
        </w:rPr>
      </w:r>
    </w:p>
    <w:p w:rsidR="00000000" w:rsidDel="00000000" w:rsidP="00000000" w:rsidRDefault="00000000" w:rsidRPr="00000000" w14:paraId="0000006D">
      <w:pPr>
        <w:spacing w:line="276" w:lineRule="auto"/>
        <w:ind w:left="851" w:right="616" w:firstLine="0"/>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i w:val="1"/>
          <w:iCs w:val="1"/>
          <w:sz w:val="22"/>
          <w:szCs w:val="22"/>
          <w:rtl w:val="0"/>
        </w:rPr>
        <w:t xml:space="preserve">(…)</w:t>
      </w:r>
      <w:r w:rsidDel="00000000" w:rsidR="00000000" w:rsidRPr="00000000">
        <w:rPr>
          <w:rtl w:val="0"/>
        </w:rPr>
      </w:r>
    </w:p>
    <w:p w:rsidR="00000000" w:rsidDel="00000000" w:rsidP="00000000" w:rsidRDefault="00000000" w:rsidRPr="00000000" w14:paraId="0000006E">
      <w:pPr>
        <w:spacing w:line="276" w:lineRule="auto"/>
        <w:ind w:left="851" w:right="616" w:firstLine="0"/>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i w:val="1"/>
          <w:iCs w:val="1"/>
          <w:sz w:val="22"/>
          <w:szCs w:val="22"/>
          <w:rtl w:val="0"/>
        </w:rPr>
        <w:t xml:space="preserve">II. </w:t>
      </w:r>
      <w:r w:rsidDel="00000000" w:rsidR="00000000" w:rsidRPr="00000000">
        <w:rPr>
          <w:rFonts w:ascii="Palatino Linotype" w:cs="Palatino Linotype" w:eastAsia="Palatino Linotype" w:hAnsi="Palatino Linotype"/>
          <w:b w:val="1"/>
          <w:bCs w:val="1"/>
          <w:i w:val="1"/>
          <w:iCs w:val="1"/>
          <w:sz w:val="22"/>
          <w:szCs w:val="22"/>
          <w:rtl w:val="0"/>
        </w:rPr>
        <w:t xml:space="preserve">Recibos de pagos de salarios</w:t>
      </w:r>
      <w:r w:rsidDel="00000000" w:rsidR="00000000" w:rsidRPr="00000000">
        <w:rPr>
          <w:rFonts w:ascii="Palatino Linotype" w:cs="Palatino Linotype" w:eastAsia="Palatino Linotype" w:hAnsi="Palatino Linotype"/>
          <w:i w:val="1"/>
          <w:iCs w:val="1"/>
          <w:sz w:val="22"/>
          <w:szCs w:val="22"/>
          <w:rtl w:val="0"/>
        </w:rPr>
        <w:t xml:space="preserve"> o las constancias documentales del pago de salario cuando sea por depósito o mediante información electrónica;</w:t>
      </w:r>
      <w:r w:rsidDel="00000000" w:rsidR="00000000" w:rsidRPr="00000000">
        <w:rPr>
          <w:rtl w:val="0"/>
        </w:rPr>
      </w:r>
    </w:p>
    <w:p w:rsidR="00000000" w:rsidDel="00000000" w:rsidP="00000000" w:rsidRDefault="00000000" w:rsidRPr="00000000" w14:paraId="0000006F">
      <w:pPr>
        <w:spacing w:line="276" w:lineRule="auto"/>
        <w:ind w:left="851" w:right="616" w:firstLine="0"/>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i w:val="1"/>
          <w:iCs w:val="1"/>
          <w:sz w:val="22"/>
          <w:szCs w:val="22"/>
          <w:rtl w:val="0"/>
        </w:rPr>
        <w:t xml:space="preserve">(…)</w:t>
      </w:r>
      <w:r w:rsidDel="00000000" w:rsidR="00000000" w:rsidRPr="00000000">
        <w:rPr>
          <w:rtl w:val="0"/>
        </w:rPr>
      </w:r>
    </w:p>
    <w:p w:rsidR="00000000" w:rsidDel="00000000" w:rsidP="00000000" w:rsidRDefault="00000000" w:rsidRPr="00000000" w14:paraId="00000070">
      <w:pPr>
        <w:spacing w:line="276" w:lineRule="auto"/>
        <w:ind w:left="851" w:right="616" w:firstLine="0"/>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71">
      <w:pPr>
        <w:spacing w:line="276" w:lineRule="auto"/>
        <w:ind w:left="851"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IV. Recibos</w:t>
      </w:r>
      <w:r w:rsidDel="00000000" w:rsidR="00000000" w:rsidRPr="00000000">
        <w:rPr>
          <w:rFonts w:ascii="Palatino Linotype" w:cs="Palatino Linotype" w:eastAsia="Palatino Linotype" w:hAnsi="Palatino Linotype"/>
          <w:i w:val="1"/>
          <w:iCs w:val="1"/>
          <w:sz w:val="22"/>
          <w:szCs w:val="22"/>
          <w:rtl w:val="0"/>
        </w:rPr>
        <w:t xml:space="preserve"> o las constancias de depósito o del medio de información magnética o electrónica que sean utilizadas </w:t>
      </w:r>
      <w:r w:rsidDel="00000000" w:rsidR="00000000" w:rsidRPr="00000000">
        <w:rPr>
          <w:rFonts w:ascii="Palatino Linotype" w:cs="Palatino Linotype" w:eastAsia="Palatino Linotype" w:hAnsi="Palatino Linotype"/>
          <w:b w:val="1"/>
          <w:bCs w:val="1"/>
          <w:i w:val="1"/>
          <w:iCs w:val="1"/>
          <w:sz w:val="22"/>
          <w:szCs w:val="22"/>
          <w:rtl w:val="0"/>
        </w:rPr>
        <w:t xml:space="preserve">para el pago de salarios, prima vacacional, aguinaldo y demás prestaciones establecidas en la presente ley</w:t>
      </w:r>
      <w:r w:rsidDel="00000000" w:rsidR="00000000" w:rsidRPr="00000000">
        <w:rPr>
          <w:rFonts w:ascii="Palatino Linotype" w:cs="Palatino Linotype" w:eastAsia="Palatino Linotype" w:hAnsi="Palatino Linotype"/>
          <w:i w:val="1"/>
          <w:iCs w:val="1"/>
          <w:sz w:val="22"/>
          <w:szCs w:val="22"/>
          <w:rtl w:val="0"/>
        </w:rPr>
        <w:t xml:space="preserve">; y…</w:t>
      </w:r>
    </w:p>
    <w:p w:rsidR="00000000" w:rsidDel="00000000" w:rsidP="00000000" w:rsidRDefault="00000000" w:rsidRPr="00000000" w14:paraId="00000072">
      <w:pPr>
        <w:spacing w:line="276" w:lineRule="auto"/>
        <w:ind w:left="851" w:right="616" w:firstLine="0"/>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73">
      <w:pPr>
        <w:spacing w:line="276" w:lineRule="auto"/>
        <w:ind w:left="851" w:right="616" w:firstLine="0"/>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i w:val="1"/>
          <w:iCs w:val="1"/>
          <w:sz w:val="22"/>
          <w:szCs w:val="22"/>
          <w:rtl w:val="0"/>
        </w:rPr>
        <w:t xml:space="preserve">Los documentos señalados en la fracción I de este artículo, deberán conservarse mientras dure la relación laboral y hasta un año después; los señalados por las fracciones II, III, IV durante el último año y un año después de que se extinga la relación laboral, y los mencionados en la fracción V, conforme lo señalen las leyes que los rijan.</w:t>
      </w:r>
      <w:r w:rsidDel="00000000" w:rsidR="00000000" w:rsidRPr="00000000">
        <w:rPr>
          <w:rtl w:val="0"/>
        </w:rPr>
      </w:r>
    </w:p>
    <w:p w:rsidR="00000000" w:rsidDel="00000000" w:rsidP="00000000" w:rsidRDefault="00000000" w:rsidRPr="00000000" w14:paraId="00000074">
      <w:pPr>
        <w:spacing w:line="276" w:lineRule="auto"/>
        <w:ind w:left="851" w:right="616" w:firstLine="0"/>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i w:val="1"/>
          <w:iCs w:val="1"/>
          <w:sz w:val="22"/>
          <w:szCs w:val="22"/>
          <w:rtl w:val="0"/>
        </w:rPr>
        <w:t xml:space="preserve">Los documentos y constancias aquí señalados, la institución o dependencia podrá conservarlos por medio de los sistemas de digitalización o de información magnética o electrónica o cualquier medio descubierto por la ciencia y las constancias expedidas por el encargado del área de personal de éstas, harán prueba plena.</w:t>
      </w:r>
      <w:r w:rsidDel="00000000" w:rsidR="00000000" w:rsidRPr="00000000">
        <w:rPr>
          <w:rtl w:val="0"/>
        </w:rPr>
      </w:r>
    </w:p>
    <w:p w:rsidR="00000000" w:rsidDel="00000000" w:rsidP="00000000" w:rsidRDefault="00000000" w:rsidRPr="00000000" w14:paraId="00000075">
      <w:pPr>
        <w:spacing w:line="276" w:lineRule="auto"/>
        <w:ind w:left="851" w:right="616" w:firstLine="0"/>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i w:val="1"/>
          <w:iCs w:val="1"/>
          <w:sz w:val="22"/>
          <w:szCs w:val="22"/>
          <w:rtl w:val="0"/>
        </w:rPr>
        <w:t xml:space="preserve">El incumplimiento por lo dispuesto por este artículo, establecerá la presunción de ser ciertos los hechos que el actor exprese en su demanda, en relación con tales documentos, salvo prueba en contrario.”</w:t>
      </w:r>
      <w:r w:rsidDel="00000000" w:rsidR="00000000" w:rsidRPr="00000000">
        <w:rPr>
          <w:rtl w:val="0"/>
        </w:rPr>
      </w:r>
    </w:p>
    <w:p w:rsidR="00000000" w:rsidDel="00000000" w:rsidP="00000000" w:rsidRDefault="00000000" w:rsidRPr="00000000" w14:paraId="00000076">
      <w:pP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77">
      <w:pPr>
        <w:spacing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Sobre la base del precepto legal citado, se advierte que toda institución pública o dependencia pública del Estado de México </w:t>
      </w:r>
      <w:r w:rsidDel="00000000" w:rsidR="00000000" w:rsidRPr="00000000">
        <w:rPr>
          <w:rFonts w:ascii="Palatino Linotype" w:cs="Palatino Linotype" w:eastAsia="Palatino Linotype" w:hAnsi="Palatino Linotype"/>
          <w:b w:val="1"/>
          <w:bCs w:val="1"/>
          <w:sz w:val="22"/>
          <w:szCs w:val="22"/>
          <w:rtl w:val="0"/>
        </w:rPr>
        <w:t xml:space="preserve">debe conservar las constancias de pago de salarios y demás prestaciones legales de acuerdo con la forma en que se haya realizado el pago;</w:t>
      </w:r>
      <w:r w:rsidDel="00000000" w:rsidR="00000000" w:rsidRPr="00000000">
        <w:rPr>
          <w:rFonts w:ascii="Palatino Linotype" w:cs="Palatino Linotype" w:eastAsia="Palatino Linotype" w:hAnsi="Palatino Linotype"/>
          <w:sz w:val="22"/>
          <w:szCs w:val="22"/>
          <w:rtl w:val="0"/>
        </w:rPr>
        <w:t xml:space="preserve"> es decir, en efectivo, cheque, depósito, transferencia u otra, debiendo conservar dicha documentación durante el último año y un año después de que se extingue la relación laboral a través de los sistemas de digitalización o de información magnética o electrónica.</w:t>
      </w:r>
    </w:p>
    <w:p w:rsidR="00000000" w:rsidDel="00000000" w:rsidP="00000000" w:rsidRDefault="00000000" w:rsidRPr="00000000" w14:paraId="00000078">
      <w:pPr>
        <w:spacing w:line="360" w:lineRule="auto"/>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79">
      <w:pPr>
        <w:spacing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En estas condiciones, resulta claro que la información de mérito es generada en ejercicio de las atribuciones del </w:t>
      </w:r>
      <w:r w:rsidDel="00000000" w:rsidR="00000000" w:rsidRPr="00000000">
        <w:rPr>
          <w:rFonts w:ascii="Palatino Linotype" w:cs="Palatino Linotype" w:eastAsia="Palatino Linotype" w:hAnsi="Palatino Linotype"/>
          <w:b w:val="1"/>
          <w:bCs w:val="1"/>
          <w:sz w:val="22"/>
          <w:szCs w:val="22"/>
          <w:rtl w:val="0"/>
        </w:rPr>
        <w:t xml:space="preserve">Sujeto Obligado</w:t>
      </w:r>
      <w:r w:rsidDel="00000000" w:rsidR="00000000" w:rsidRPr="00000000">
        <w:rPr>
          <w:rFonts w:ascii="Palatino Linotype" w:cs="Palatino Linotype" w:eastAsia="Palatino Linotype" w:hAnsi="Palatino Linotype"/>
          <w:sz w:val="22"/>
          <w:szCs w:val="22"/>
          <w:rtl w:val="0"/>
        </w:rPr>
        <w:t xml:space="preserve"> de acuerdo a lo dispuesto por los artículos 4, segundo párrafo y 12, segundo párrafo de la Ley de Transparencia y Acceso a la Información Pública del Estado de México y Municipios; consecuentemente debe obrar en sus archivos de conformidad a lo que señala el artículo 19 de la Ley de Transparencia Local que establece que debe presumirse la existencia de la información, si se refiere a las facultades, competencias y funciones que los ordenamientos jurídicos aplicables otorgan a los Sujetos Obligados.</w:t>
      </w:r>
    </w:p>
    <w:p w:rsidR="00000000" w:rsidDel="00000000" w:rsidP="00000000" w:rsidRDefault="00000000" w:rsidRPr="00000000" w14:paraId="0000007A">
      <w:pPr>
        <w:spacing w:line="360" w:lineRule="auto"/>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7B">
      <w:pPr>
        <w:spacing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Por lo tanto, se desprende que los recibos de nómina que amparen el pago de los sueldos, de los servidores públicos adscritos al </w:t>
      </w:r>
      <w:r w:rsidDel="00000000" w:rsidR="00000000" w:rsidRPr="00000000">
        <w:rPr>
          <w:rFonts w:ascii="Palatino Linotype" w:cs="Palatino Linotype" w:eastAsia="Palatino Linotype" w:hAnsi="Palatino Linotype"/>
          <w:b w:val="1"/>
          <w:bCs w:val="1"/>
          <w:sz w:val="22"/>
          <w:szCs w:val="22"/>
          <w:rtl w:val="0"/>
        </w:rPr>
        <w:t xml:space="preserve">Ayuntamiento de Toluca</w:t>
      </w:r>
      <w:r w:rsidDel="00000000" w:rsidR="00000000" w:rsidRPr="00000000">
        <w:rPr>
          <w:rFonts w:ascii="Palatino Linotype" w:cs="Palatino Linotype" w:eastAsia="Palatino Linotype" w:hAnsi="Palatino Linotype"/>
          <w:sz w:val="22"/>
          <w:szCs w:val="22"/>
          <w:rtl w:val="0"/>
        </w:rPr>
        <w:t xml:space="preserve">, se encuentra dentro de las atribuciones del ente público.</w:t>
      </w:r>
    </w:p>
    <w:p w:rsidR="00000000" w:rsidDel="00000000" w:rsidP="00000000" w:rsidRDefault="00000000" w:rsidRPr="00000000" w14:paraId="0000007C">
      <w:pPr>
        <w:spacing w:line="360" w:lineRule="auto"/>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7D">
      <w:pPr>
        <w:spacing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Además, de que la información de análisis, es de interés general y de alcance público, puesto que la ciudadanía tiene derecho a saber cuál es el gasto ejercido para el pago de remuneraciones por servicios personales al realizar las funciones públicas; esto es, su acceso permite transparentar la aplicación de los recursos públicos que son otorgados para el cumplimiento de sus funciones, ello conforme a lo dispuesto por los artículos 7 y 23 de la Ley de Transparencia y Acceso a la Información Pública del Estado de México y Municipios, que establece como deber de los Sujetos Obligados el hacer pública toda la información respecto a los montos y nombres de las personas a quienes se entreguen recursos públicos y con ello transparentar la forma, términos, causas y finalidad en la disposición de esos recursos; precepto legal que es del tenor siguiente:</w:t>
      </w:r>
    </w:p>
    <w:p w:rsidR="00000000" w:rsidDel="00000000" w:rsidP="00000000" w:rsidRDefault="00000000" w:rsidRPr="00000000" w14:paraId="0000007E">
      <w:pPr>
        <w:spacing w:line="276" w:lineRule="auto"/>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7F">
      <w:pPr>
        <w:spacing w:line="276" w:lineRule="auto"/>
        <w:ind w:left="851"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u w:val="single"/>
          <w:rtl w:val="0"/>
        </w:rPr>
        <w:t xml:space="preserve">“</w:t>
      </w:r>
      <w:r w:rsidDel="00000000" w:rsidR="00000000" w:rsidRPr="00000000">
        <w:rPr>
          <w:rFonts w:ascii="Palatino Linotype" w:cs="Palatino Linotype" w:eastAsia="Palatino Linotype" w:hAnsi="Palatino Linotype"/>
          <w:b w:val="1"/>
          <w:bCs w:val="1"/>
          <w:i w:val="1"/>
          <w:iCs w:val="1"/>
          <w:sz w:val="22"/>
          <w:szCs w:val="22"/>
          <w:u w:val="single"/>
          <w:rtl w:val="0"/>
        </w:rPr>
        <w:t xml:space="preserve">Artículo 7. El Estado de México garantizará el efectivo acceso de toda persona a la información en posesión de cualquier entidad,</w:t>
      </w:r>
      <w:r w:rsidDel="00000000" w:rsidR="00000000" w:rsidRPr="00000000">
        <w:rPr>
          <w:rFonts w:ascii="Palatino Linotype" w:cs="Palatino Linotype" w:eastAsia="Palatino Linotype" w:hAnsi="Palatino Linotype"/>
          <w:i w:val="1"/>
          <w:iCs w:val="1"/>
          <w:sz w:val="22"/>
          <w:szCs w:val="22"/>
          <w:rtl w:val="0"/>
        </w:rPr>
        <w:t xml:space="preserve"> autoridad, órgano y organismo de los poderes Ejecutivo, Legislativo y Judicial, órganos autónomos, partidos políticos, fideicomisos y fondos públicos, así como de cualquier persona física, jurídico colectiva o sindicato </w:t>
      </w:r>
      <w:r w:rsidDel="00000000" w:rsidR="00000000" w:rsidRPr="00000000">
        <w:rPr>
          <w:rFonts w:ascii="Palatino Linotype" w:cs="Palatino Linotype" w:eastAsia="Palatino Linotype" w:hAnsi="Palatino Linotype"/>
          <w:b w:val="1"/>
          <w:bCs w:val="1"/>
          <w:i w:val="1"/>
          <w:iCs w:val="1"/>
          <w:sz w:val="22"/>
          <w:szCs w:val="22"/>
          <w:u w:val="single"/>
          <w:rtl w:val="0"/>
        </w:rPr>
        <w:t xml:space="preserve">que reciba y ejerza recursos públicos</w:t>
      </w:r>
      <w:r w:rsidDel="00000000" w:rsidR="00000000" w:rsidRPr="00000000">
        <w:rPr>
          <w:rFonts w:ascii="Palatino Linotype" w:cs="Palatino Linotype" w:eastAsia="Palatino Linotype" w:hAnsi="Palatino Linotype"/>
          <w:i w:val="1"/>
          <w:iCs w:val="1"/>
          <w:sz w:val="22"/>
          <w:szCs w:val="22"/>
          <w:rtl w:val="0"/>
        </w:rPr>
        <w:t xml:space="preserve"> o realice actos de autoridad </w:t>
      </w:r>
      <w:r w:rsidDel="00000000" w:rsidR="00000000" w:rsidRPr="00000000">
        <w:rPr>
          <w:rFonts w:ascii="Palatino Linotype" w:cs="Palatino Linotype" w:eastAsia="Palatino Linotype" w:hAnsi="Palatino Linotype"/>
          <w:b w:val="1"/>
          <w:bCs w:val="1"/>
          <w:i w:val="1"/>
          <w:iCs w:val="1"/>
          <w:sz w:val="22"/>
          <w:szCs w:val="22"/>
          <w:u w:val="single"/>
          <w:rtl w:val="0"/>
        </w:rPr>
        <w:t xml:space="preserve">en el ámbito de competencia del Estado de México </w:t>
      </w:r>
      <w:r w:rsidDel="00000000" w:rsidR="00000000" w:rsidRPr="00000000">
        <w:rPr>
          <w:rFonts w:ascii="Palatino Linotype" w:cs="Palatino Linotype" w:eastAsia="Palatino Linotype" w:hAnsi="Palatino Linotype"/>
          <w:i w:val="1"/>
          <w:iCs w:val="1"/>
          <w:sz w:val="22"/>
          <w:szCs w:val="22"/>
          <w:rtl w:val="0"/>
        </w:rPr>
        <w:t xml:space="preserve">y sus municipios.</w:t>
      </w:r>
    </w:p>
    <w:p w:rsidR="00000000" w:rsidDel="00000000" w:rsidP="00000000" w:rsidRDefault="00000000" w:rsidRPr="00000000" w14:paraId="00000080">
      <w:pPr>
        <w:spacing w:line="276" w:lineRule="auto"/>
        <w:ind w:left="851"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Artículo 23</w:t>
      </w:r>
      <w:r w:rsidDel="00000000" w:rsidR="00000000" w:rsidRPr="00000000">
        <w:rPr>
          <w:rFonts w:ascii="Palatino Linotype" w:cs="Palatino Linotype" w:eastAsia="Palatino Linotype" w:hAnsi="Palatino Linotype"/>
          <w:i w:val="1"/>
          <w:iCs w:val="1"/>
          <w:sz w:val="22"/>
          <w:szCs w:val="22"/>
          <w:rtl w:val="0"/>
        </w:rPr>
        <w:t xml:space="preserve">. Son sujetos obligados a transparentar y permitir el acceso a su información y proteger los datos personales que obren en su poder:</w:t>
      </w:r>
    </w:p>
    <w:p w:rsidR="00000000" w:rsidDel="00000000" w:rsidP="00000000" w:rsidRDefault="00000000" w:rsidRPr="00000000" w14:paraId="00000081">
      <w:pPr>
        <w:spacing w:line="276" w:lineRule="auto"/>
        <w:ind w:left="851"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w:t>
      </w:r>
    </w:p>
    <w:p w:rsidR="00000000" w:rsidDel="00000000" w:rsidP="00000000" w:rsidRDefault="00000000" w:rsidRPr="00000000" w14:paraId="00000082">
      <w:pPr>
        <w:spacing w:line="276" w:lineRule="auto"/>
        <w:ind w:left="851" w:right="616" w:firstLine="0"/>
        <w:jc w:val="both"/>
        <w:rPr>
          <w:rFonts w:ascii="Palatino Linotype" w:cs="Palatino Linotype" w:eastAsia="Palatino Linotype" w:hAnsi="Palatino Linotype"/>
          <w:b w:val="1"/>
          <w:bCs w:val="1"/>
          <w:i w:val="1"/>
          <w:iCs w:val="1"/>
          <w:sz w:val="22"/>
          <w:szCs w:val="22"/>
          <w:u w:val="single"/>
        </w:rPr>
      </w:pPr>
      <w:r w:rsidDel="00000000" w:rsidR="00000000" w:rsidRPr="00000000">
        <w:rPr>
          <w:rFonts w:ascii="Palatino Linotype" w:cs="Palatino Linotype" w:eastAsia="Palatino Linotype" w:hAnsi="Palatino Linotype"/>
          <w:b w:val="1"/>
          <w:bCs w:val="1"/>
          <w:i w:val="1"/>
          <w:iCs w:val="1"/>
          <w:sz w:val="22"/>
          <w:szCs w:val="22"/>
          <w:u w:val="single"/>
          <w:rtl w:val="0"/>
        </w:rPr>
        <w:t xml:space="preserve">IV. Los ayuntamientos y las dependencias, organismos, órganos y entidades de la administración municipal;</w:t>
      </w:r>
    </w:p>
    <w:p w:rsidR="00000000" w:rsidDel="00000000" w:rsidP="00000000" w:rsidRDefault="00000000" w:rsidRPr="00000000" w14:paraId="00000083">
      <w:pPr>
        <w:spacing w:line="276" w:lineRule="auto"/>
        <w:ind w:left="851" w:right="616" w:firstLine="0"/>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i w:val="1"/>
          <w:iCs w:val="1"/>
          <w:sz w:val="22"/>
          <w:szCs w:val="22"/>
          <w:rtl w:val="0"/>
        </w:rPr>
        <w:t xml:space="preserve">(…)</w:t>
      </w:r>
      <w:r w:rsidDel="00000000" w:rsidR="00000000" w:rsidRPr="00000000">
        <w:rPr>
          <w:rtl w:val="0"/>
        </w:rPr>
      </w:r>
    </w:p>
    <w:p w:rsidR="00000000" w:rsidDel="00000000" w:rsidP="00000000" w:rsidRDefault="00000000" w:rsidRPr="00000000" w14:paraId="00000084">
      <w:pPr>
        <w:spacing w:line="276" w:lineRule="auto"/>
        <w:ind w:left="851" w:right="616" w:firstLine="0"/>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b w:val="1"/>
          <w:bCs w:val="1"/>
          <w:i w:val="1"/>
          <w:iCs w:val="1"/>
          <w:sz w:val="22"/>
          <w:szCs w:val="22"/>
          <w:u w:val="single"/>
          <w:rtl w:val="0"/>
        </w:rPr>
        <w:t xml:space="preserve">Los sujetos obligados deberán hacer pública toda aquella información relativa a los montos y las personas a quienes entreguen, por cualquier motivo, recursos públicos, así como los informes que dichas personas les entreguen sobre el uso y destino de dichos recursos.</w:t>
      </w:r>
      <w:r w:rsidDel="00000000" w:rsidR="00000000" w:rsidRPr="00000000">
        <w:rPr>
          <w:rtl w:val="0"/>
        </w:rPr>
      </w:r>
    </w:p>
    <w:p w:rsidR="00000000" w:rsidDel="00000000" w:rsidP="00000000" w:rsidRDefault="00000000" w:rsidRPr="00000000" w14:paraId="00000085">
      <w:pPr>
        <w:spacing w:line="276" w:lineRule="auto"/>
        <w:ind w:left="851" w:right="616" w:firstLine="0"/>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i w:val="1"/>
          <w:iCs w:val="1"/>
          <w:sz w:val="22"/>
          <w:szCs w:val="22"/>
          <w:rtl w:val="0"/>
        </w:rPr>
        <w:t xml:space="preserve">Los servidores públicos deberán transparentar sus acciones así como garantizar y respetar el derecho de acceso a la información pública.”</w:t>
      </w:r>
      <w:r w:rsidDel="00000000" w:rsidR="00000000" w:rsidRPr="00000000">
        <w:rPr>
          <w:rFonts w:ascii="Palatino Linotype" w:cs="Palatino Linotype" w:eastAsia="Palatino Linotype" w:hAnsi="Palatino Linotype"/>
          <w:b w:val="1"/>
          <w:bCs w:val="1"/>
          <w:i w:val="1"/>
          <w:iCs w:val="1"/>
          <w:sz w:val="22"/>
          <w:szCs w:val="22"/>
          <w:rtl w:val="0"/>
        </w:rPr>
        <w:t xml:space="preserve"> </w:t>
      </w:r>
      <w:r w:rsidDel="00000000" w:rsidR="00000000" w:rsidRPr="00000000">
        <w:rPr>
          <w:rtl w:val="0"/>
        </w:rPr>
      </w:r>
    </w:p>
    <w:p w:rsidR="00000000" w:rsidDel="00000000" w:rsidP="00000000" w:rsidRDefault="00000000" w:rsidRPr="00000000" w14:paraId="00000086">
      <w:pPr>
        <w:spacing w:line="276" w:lineRule="auto"/>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87">
      <w:pPr>
        <w:spacing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Sirve de sustento por analogía, para justificar la publicidad sobre los datos relativos a los montos por concepto de pago de las remuneraciones, los criterios </w:t>
      </w:r>
      <w:r w:rsidDel="00000000" w:rsidR="00000000" w:rsidRPr="00000000">
        <w:rPr>
          <w:rFonts w:ascii="Palatino Linotype" w:cs="Palatino Linotype" w:eastAsia="Palatino Linotype" w:hAnsi="Palatino Linotype"/>
          <w:b w:val="1"/>
          <w:bCs w:val="1"/>
          <w:sz w:val="22"/>
          <w:szCs w:val="22"/>
          <w:rtl w:val="0"/>
        </w:rPr>
        <w:t xml:space="preserve">01/2003</w:t>
      </w:r>
      <w:r w:rsidDel="00000000" w:rsidR="00000000" w:rsidRPr="00000000">
        <w:rPr>
          <w:rFonts w:ascii="Palatino Linotype" w:cs="Palatino Linotype" w:eastAsia="Palatino Linotype" w:hAnsi="Palatino Linotype"/>
          <w:sz w:val="22"/>
          <w:szCs w:val="22"/>
          <w:rtl w:val="0"/>
        </w:rPr>
        <w:t xml:space="preserve"> y </w:t>
      </w:r>
      <w:r w:rsidDel="00000000" w:rsidR="00000000" w:rsidRPr="00000000">
        <w:rPr>
          <w:rFonts w:ascii="Palatino Linotype" w:cs="Palatino Linotype" w:eastAsia="Palatino Linotype" w:hAnsi="Palatino Linotype"/>
          <w:b w:val="1"/>
          <w:bCs w:val="1"/>
          <w:sz w:val="22"/>
          <w:szCs w:val="22"/>
          <w:rtl w:val="0"/>
        </w:rPr>
        <w:t xml:space="preserve">02/2003</w:t>
      </w:r>
      <w:r w:rsidDel="00000000" w:rsidR="00000000" w:rsidRPr="00000000">
        <w:rPr>
          <w:rFonts w:ascii="Palatino Linotype" w:cs="Palatino Linotype" w:eastAsia="Palatino Linotype" w:hAnsi="Palatino Linotype"/>
          <w:sz w:val="22"/>
          <w:szCs w:val="22"/>
          <w:rtl w:val="0"/>
        </w:rPr>
        <w:t xml:space="preserve"> emitidos por el Comité de Acceso a la Información Pública y Protección de Datos Personales de la Suprema Corte de Justicia de la Nación que a continuación se citan: </w:t>
      </w:r>
    </w:p>
    <w:p w:rsidR="00000000" w:rsidDel="00000000" w:rsidP="00000000" w:rsidRDefault="00000000" w:rsidRPr="00000000" w14:paraId="00000088">
      <w:pP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89">
      <w:pPr>
        <w:tabs>
          <w:tab w:val="left" w:leader="none" w:pos="7513"/>
        </w:tabs>
        <w:spacing w:line="276" w:lineRule="auto"/>
        <w:ind w:left="851" w:right="616" w:firstLine="0"/>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i w:val="1"/>
          <w:iCs w:val="1"/>
          <w:sz w:val="22"/>
          <w:szCs w:val="22"/>
          <w:rtl w:val="0"/>
        </w:rPr>
        <w:t xml:space="preserve">“</w:t>
      </w:r>
      <w:r w:rsidDel="00000000" w:rsidR="00000000" w:rsidRPr="00000000">
        <w:rPr>
          <w:rFonts w:ascii="Palatino Linotype" w:cs="Palatino Linotype" w:eastAsia="Palatino Linotype" w:hAnsi="Palatino Linotype"/>
          <w:b w:val="1"/>
          <w:bCs w:val="1"/>
          <w:i w:val="1"/>
          <w:iCs w:val="1"/>
          <w:sz w:val="22"/>
          <w:szCs w:val="22"/>
          <w:rtl w:val="0"/>
        </w:rPr>
        <w:t xml:space="preserve">Criterio 01/2003.</w:t>
      </w:r>
      <w:r w:rsidDel="00000000" w:rsidR="00000000" w:rsidRPr="00000000">
        <w:rPr>
          <w:rtl w:val="0"/>
        </w:rPr>
      </w:r>
    </w:p>
    <w:p w:rsidR="00000000" w:rsidDel="00000000" w:rsidP="00000000" w:rsidRDefault="00000000" w:rsidRPr="00000000" w14:paraId="0000008A">
      <w:pPr>
        <w:tabs>
          <w:tab w:val="left" w:leader="none" w:pos="7513"/>
        </w:tabs>
        <w:spacing w:line="276" w:lineRule="auto"/>
        <w:ind w:left="851" w:right="616" w:firstLine="0"/>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INGRESOS DE LOS SERVIDORES PÚBLICOS. CONSTITUYEN INFORMACIÓN PÚBLICA AÚN Y CUANDO SU DIFUSIÓN PUEDE AFECTAR LA VIDA O LA SEGURIDAD DE AQUELLOS.</w:t>
      </w:r>
      <w:r w:rsidDel="00000000" w:rsidR="00000000" w:rsidRPr="00000000">
        <w:rPr>
          <w:rFonts w:ascii="Palatino Linotype" w:cs="Palatino Linotype" w:eastAsia="Palatino Linotype" w:hAnsi="Palatino Linotype"/>
          <w:i w:val="1"/>
          <w:iCs w:val="1"/>
          <w:sz w:val="22"/>
          <w:szCs w:val="22"/>
          <w:rtl w:val="0"/>
        </w:rPr>
        <w:t xml:space="preserve"> </w:t>
      </w:r>
      <w:r w:rsidDel="00000000" w:rsidR="00000000" w:rsidRPr="00000000">
        <w:rPr>
          <w:rtl w:val="0"/>
        </w:rPr>
      </w:r>
    </w:p>
    <w:p w:rsidR="00000000" w:rsidDel="00000000" w:rsidP="00000000" w:rsidRDefault="00000000" w:rsidRPr="00000000" w14:paraId="0000008B">
      <w:pPr>
        <w:tabs>
          <w:tab w:val="left" w:leader="none" w:pos="7513"/>
        </w:tabs>
        <w:spacing w:line="276" w:lineRule="auto"/>
        <w:ind w:left="851" w:right="616" w:firstLine="0"/>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i w:val="1"/>
          <w:iCs w:val="1"/>
          <w:sz w:val="22"/>
          <w:szCs w:val="22"/>
          <w:rtl w:val="0"/>
        </w:rPr>
        <w:t xml:space="preserve">Si bien el artículo 13, fracción IV, de la Ley Federal de Transparencia y  Acceso  a la información Pública Gubernamental establece que debe clasificarse como información confidencial la que conste en expedientes administrativos cuya difusión  pueda poner en riesgo la vida, la seguridad o la salud de cualquier persona, debe reconocerse que aun y  cuando en ese supuesto podría encuadrar la relativa a las percepciones ordinarias y extraordinaria de los servidores públicos, ello no obsta para reconocer que el legislador estableció en el artículo 7 de ese mismo ordenamiento que la referida información, como una obligación de trasparencia, </w:t>
      </w:r>
      <w:r w:rsidDel="00000000" w:rsidR="00000000" w:rsidRPr="00000000">
        <w:rPr>
          <w:rFonts w:ascii="Palatino Linotype" w:cs="Palatino Linotype" w:eastAsia="Palatino Linotype" w:hAnsi="Palatino Linotype"/>
          <w:b w:val="1"/>
          <w:bCs w:val="1"/>
          <w:i w:val="1"/>
          <w:iCs w:val="1"/>
          <w:sz w:val="22"/>
          <w:szCs w:val="22"/>
          <w:u w:val="single"/>
          <w:rtl w:val="0"/>
        </w:rPr>
        <w:t xml:space="preserve">deben publicarse en medios remotos o locales de comunicación electrónica, lo que se sustenta en el hecho de que el monto de todos los ingresos que recibe un servidor público por desarrollar las labores que les son encomendadas con motivo del desempeño del cargo respecto. Constituyen información pública, en tanto que se trata de erogaciones que realiza un órgano del Estado en base con los recursos que encuentran su origen en mayor medida en las contribuciones aportados por los gobernados</w:t>
      </w:r>
      <w:r w:rsidDel="00000000" w:rsidR="00000000" w:rsidRPr="00000000">
        <w:rPr>
          <w:rFonts w:ascii="Palatino Linotype" w:cs="Palatino Linotype" w:eastAsia="Palatino Linotype" w:hAnsi="Palatino Linotype"/>
          <w:i w:val="1"/>
          <w:iCs w:val="1"/>
          <w:sz w:val="22"/>
          <w:szCs w:val="22"/>
          <w:u w:val="single"/>
          <w:rtl w:val="0"/>
        </w:rPr>
        <w:t xml:space="preserve">…”</w:t>
      </w:r>
      <w:r w:rsidDel="00000000" w:rsidR="00000000" w:rsidRPr="00000000">
        <w:rPr>
          <w:rtl w:val="0"/>
        </w:rPr>
      </w:r>
    </w:p>
    <w:p w:rsidR="00000000" w:rsidDel="00000000" w:rsidP="00000000" w:rsidRDefault="00000000" w:rsidRPr="00000000" w14:paraId="0000008C">
      <w:pPr>
        <w:tabs>
          <w:tab w:val="left" w:leader="none" w:pos="7513"/>
        </w:tabs>
        <w:spacing w:line="276" w:lineRule="auto"/>
        <w:ind w:left="851" w:right="616" w:firstLine="0"/>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8D">
      <w:pPr>
        <w:tabs>
          <w:tab w:val="left" w:leader="none" w:pos="7513"/>
        </w:tabs>
        <w:spacing w:line="276" w:lineRule="auto"/>
        <w:ind w:left="851" w:right="616" w:firstLine="0"/>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“Criterio 02/2003.</w:t>
      </w:r>
      <w:r w:rsidDel="00000000" w:rsidR="00000000" w:rsidRPr="00000000">
        <w:rPr>
          <w:rtl w:val="0"/>
        </w:rPr>
      </w:r>
    </w:p>
    <w:p w:rsidR="00000000" w:rsidDel="00000000" w:rsidP="00000000" w:rsidRDefault="00000000" w:rsidRPr="00000000" w14:paraId="0000008E">
      <w:pPr>
        <w:tabs>
          <w:tab w:val="left" w:leader="none" w:pos="7513"/>
        </w:tabs>
        <w:spacing w:line="276" w:lineRule="auto"/>
        <w:ind w:left="851" w:right="616" w:firstLine="0"/>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INGRESOS DE LOS SERVIDORES PÚBLICOS, SON INFORMACIÓN PÚBLICA AÚN Y CUANDO CONSTITUYEN DATOS PERSONALES QUE SE REFIEREN AL PATRIMONIO DE AQUÉLLOS.</w:t>
      </w:r>
      <w:r w:rsidDel="00000000" w:rsidR="00000000" w:rsidRPr="00000000">
        <w:rPr>
          <w:rFonts w:ascii="Palatino Linotype" w:cs="Palatino Linotype" w:eastAsia="Palatino Linotype" w:hAnsi="Palatino Linotype"/>
          <w:i w:val="1"/>
          <w:iCs w:val="1"/>
          <w:sz w:val="22"/>
          <w:szCs w:val="22"/>
          <w:rtl w:val="0"/>
        </w:rPr>
        <w:t xml:space="preserve"> </w:t>
      </w:r>
      <w:r w:rsidDel="00000000" w:rsidR="00000000" w:rsidRPr="00000000">
        <w:rPr>
          <w:rtl w:val="0"/>
        </w:rPr>
      </w:r>
    </w:p>
    <w:p w:rsidR="00000000" w:rsidDel="00000000" w:rsidP="00000000" w:rsidRDefault="00000000" w:rsidRPr="00000000" w14:paraId="0000008F">
      <w:pPr>
        <w:tabs>
          <w:tab w:val="left" w:leader="none" w:pos="7513"/>
        </w:tabs>
        <w:spacing w:line="276" w:lineRule="auto"/>
        <w:ind w:left="851" w:right="616" w:firstLine="0"/>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i w:val="1"/>
          <w:iCs w:val="1"/>
          <w:sz w:val="22"/>
          <w:szCs w:val="22"/>
          <w:rtl w:val="0"/>
        </w:rPr>
        <w:t xml:space="preserve">De la interpretación sistemática de lo previsto en los artículos 3º, fracción II; 7º, 9º y 18, fracción II, de la Ley Federal de Transparencia y Acceso a la Información Pública Gubernamental se advierte que no constituye información confidencial la relativa a los ingresos que reciben los servidores públicos, ya que aun y cuando se trata de datos personales relativos a su patrimonio, para su difusión no se requiere consentimiento de aquellos, </w:t>
      </w:r>
      <w:r w:rsidDel="00000000" w:rsidR="00000000" w:rsidRPr="00000000">
        <w:rPr>
          <w:rFonts w:ascii="Palatino Linotype" w:cs="Palatino Linotype" w:eastAsia="Palatino Linotype" w:hAnsi="Palatino Linotype"/>
          <w:b w:val="1"/>
          <w:bCs w:val="1"/>
          <w:i w:val="1"/>
          <w:iCs w:val="1"/>
          <w:sz w:val="22"/>
          <w:szCs w:val="22"/>
          <w:u w:val="single"/>
          <w:rtl w:val="0"/>
        </w:rPr>
        <w:t xml:space="preserve">lo que deriva del hecho de que en términos de los previsto en el citado ordenamiento deben ponerse a disposición del público a través de medios remotos o locales de comunicación electrónica, tanto el directorio de servidores públicos como las remuneraciones mensuales por puesto incluso</w:t>
      </w:r>
      <w:r w:rsidDel="00000000" w:rsidR="00000000" w:rsidRPr="00000000">
        <w:rPr>
          <w:rFonts w:ascii="Palatino Linotype" w:cs="Palatino Linotype" w:eastAsia="Palatino Linotype" w:hAnsi="Palatino Linotype"/>
          <w:i w:val="1"/>
          <w:iCs w:val="1"/>
          <w:sz w:val="22"/>
          <w:szCs w:val="22"/>
          <w:rtl w:val="0"/>
        </w:rPr>
        <w:t xml:space="preserve"> el sistema de compensación…”</w:t>
      </w:r>
      <w:r w:rsidDel="00000000" w:rsidR="00000000" w:rsidRPr="00000000">
        <w:rPr>
          <w:rtl w:val="0"/>
        </w:rPr>
      </w:r>
    </w:p>
    <w:p w:rsidR="00000000" w:rsidDel="00000000" w:rsidP="00000000" w:rsidRDefault="00000000" w:rsidRPr="00000000" w14:paraId="00000090">
      <w:pP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91">
      <w:pPr>
        <w:spacing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Máxime que lo solicitado está relacionado con la obligación de transparencia común prevista en el artículo 92, fracción VIII de la Ley de Transparencia y Acceso a la Información Pública del Estado de México y Municipios, </w:t>
      </w:r>
      <w:r w:rsidDel="00000000" w:rsidR="00000000" w:rsidRPr="00000000">
        <w:rPr>
          <w:rFonts w:ascii="Palatino Linotype" w:cs="Palatino Linotype" w:eastAsia="Palatino Linotype" w:hAnsi="Palatino Linotype"/>
          <w:b w:val="1"/>
          <w:bCs w:val="1"/>
          <w:sz w:val="22"/>
          <w:szCs w:val="22"/>
          <w:rtl w:val="0"/>
        </w:rPr>
        <w:t xml:space="preserve">relativa a las remuneraciones de los servidores públicos, que incluye, entre otros, sueldos y demás prestaciones</w:t>
      </w:r>
      <w:r w:rsidDel="00000000" w:rsidR="00000000" w:rsidRPr="00000000">
        <w:rPr>
          <w:rFonts w:ascii="Palatino Linotype" w:cs="Palatino Linotype" w:eastAsia="Palatino Linotype" w:hAnsi="Palatino Linotype"/>
          <w:sz w:val="22"/>
          <w:szCs w:val="22"/>
          <w:rtl w:val="0"/>
        </w:rPr>
        <w:t xml:space="preserve">, como se sigue: </w:t>
      </w:r>
    </w:p>
    <w:p w:rsidR="00000000" w:rsidDel="00000000" w:rsidP="00000000" w:rsidRDefault="00000000" w:rsidRPr="00000000" w14:paraId="00000092">
      <w:pPr>
        <w:spacing w:line="276" w:lineRule="auto"/>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93">
      <w:pPr>
        <w:spacing w:line="276" w:lineRule="auto"/>
        <w:ind w:left="851" w:right="616" w:firstLine="0"/>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i w:val="1"/>
          <w:iCs w:val="1"/>
          <w:sz w:val="22"/>
          <w:szCs w:val="22"/>
          <w:rtl w:val="0"/>
        </w:rPr>
        <w:t xml:space="preserve">“</w:t>
      </w:r>
      <w:r w:rsidDel="00000000" w:rsidR="00000000" w:rsidRPr="00000000">
        <w:rPr>
          <w:rFonts w:ascii="Palatino Linotype" w:cs="Palatino Linotype" w:eastAsia="Palatino Linotype" w:hAnsi="Palatino Linotype"/>
          <w:b w:val="1"/>
          <w:bCs w:val="1"/>
          <w:i w:val="1"/>
          <w:iCs w:val="1"/>
          <w:sz w:val="22"/>
          <w:szCs w:val="22"/>
          <w:rtl w:val="0"/>
        </w:rPr>
        <w:t xml:space="preserve">Artículo 92.</w:t>
      </w:r>
      <w:r w:rsidDel="00000000" w:rsidR="00000000" w:rsidRPr="00000000">
        <w:rPr>
          <w:rFonts w:ascii="Palatino Linotype" w:cs="Palatino Linotype" w:eastAsia="Palatino Linotype" w:hAnsi="Palatino Linotype"/>
          <w:i w:val="1"/>
          <w:iCs w:val="1"/>
          <w:sz w:val="22"/>
          <w:szCs w:val="22"/>
          <w:rtl w:val="0"/>
        </w:rPr>
        <w:t xml:space="preserve"> Los sujetos obligados deberán poner a disposición del público de manera permanente y actualizada de forma sencilla, precisa y entendible, en los respectivos medios electrónicos, de acuerdo con sus facultades, atribuciones, funciones u objeto social, según corresponda, la información, por lo menos, de los temas, documentos y políticas que a continuación se señalan: </w:t>
      </w:r>
      <w:r w:rsidDel="00000000" w:rsidR="00000000" w:rsidRPr="00000000">
        <w:rPr>
          <w:rtl w:val="0"/>
        </w:rPr>
      </w:r>
    </w:p>
    <w:p w:rsidR="00000000" w:rsidDel="00000000" w:rsidP="00000000" w:rsidRDefault="00000000" w:rsidRPr="00000000" w14:paraId="00000094">
      <w:pPr>
        <w:spacing w:line="276" w:lineRule="auto"/>
        <w:ind w:left="851" w:right="616" w:firstLine="0"/>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i w:val="1"/>
          <w:iCs w:val="1"/>
          <w:sz w:val="22"/>
          <w:szCs w:val="22"/>
          <w:rtl w:val="0"/>
        </w:rPr>
        <w:t xml:space="preserve">(…)</w:t>
      </w:r>
      <w:r w:rsidDel="00000000" w:rsidR="00000000" w:rsidRPr="00000000">
        <w:rPr>
          <w:rtl w:val="0"/>
        </w:rPr>
      </w:r>
    </w:p>
    <w:p w:rsidR="00000000" w:rsidDel="00000000" w:rsidP="00000000" w:rsidRDefault="00000000" w:rsidRPr="00000000" w14:paraId="00000095">
      <w:pPr>
        <w:spacing w:line="276" w:lineRule="auto"/>
        <w:ind w:left="851" w:right="616" w:firstLine="0"/>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VIII.</w:t>
      </w:r>
      <w:r w:rsidDel="00000000" w:rsidR="00000000" w:rsidRPr="00000000">
        <w:rPr>
          <w:rFonts w:ascii="Palatino Linotype" w:cs="Palatino Linotype" w:eastAsia="Palatino Linotype" w:hAnsi="Palatino Linotype"/>
          <w:i w:val="1"/>
          <w:iCs w:val="1"/>
          <w:sz w:val="22"/>
          <w:szCs w:val="22"/>
          <w:rtl w:val="0"/>
        </w:rPr>
        <w:t xml:space="preserve"> La remuneración bruta y neta de todos los servidores públicos de base o de confianza, de todas las percepciones, incluyendo sueldos, prestaciones, gratificaciones, primas, comisiones, dietas, bonos, estímulos, ingresos y sistemas de compensación, señalando la periodicidad de dicha remuneración;”</w:t>
      </w:r>
      <w:r w:rsidDel="00000000" w:rsidR="00000000" w:rsidRPr="00000000">
        <w:rPr>
          <w:rtl w:val="0"/>
        </w:rPr>
      </w:r>
    </w:p>
    <w:p w:rsidR="00000000" w:rsidDel="00000000" w:rsidP="00000000" w:rsidRDefault="00000000" w:rsidRPr="00000000" w14:paraId="00000096">
      <w:pPr>
        <w:pBdr>
          <w:top w:space="0" w:sz="0" w:val="nil"/>
          <w:left w:space="0" w:sz="0" w:val="nil"/>
          <w:bottom w:space="0" w:sz="0" w:val="nil"/>
          <w:right w:space="0" w:sz="0" w:val="nil"/>
          <w:between w:space="0" w:sz="0" w:val="nil"/>
        </w:pBdr>
        <w:spacing w:line="360" w:lineRule="auto"/>
        <w:ind w:right="49"/>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97">
      <w:pPr>
        <w:pBdr>
          <w:top w:space="0" w:sz="0" w:val="nil"/>
          <w:left w:space="0" w:sz="0" w:val="nil"/>
          <w:bottom w:space="0" w:sz="0" w:val="nil"/>
          <w:right w:space="0" w:sz="0" w:val="nil"/>
          <w:between w:space="0" w:sz="0" w:val="nil"/>
        </w:pBdr>
        <w:spacing w:line="360" w:lineRule="auto"/>
        <w:ind w:right="49"/>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Ahora, sobre lo requerido, de las constancias que obran en el SAIMEX, del apartado de requerimientos, se desprende que la solicitud fue turnada la Dirección de Recursos Humanos de la Dirección de Administración, haciendo falta el turno a la Tesorería Municipal, misma que conforme los artículos 93 y 95 de la Ley Orgánica Municipal del Estado de México, tiene dentro de sus atribuciones las siguientes:</w:t>
      </w:r>
    </w:p>
    <w:p w:rsidR="00000000" w:rsidDel="00000000" w:rsidP="00000000" w:rsidRDefault="00000000" w:rsidRPr="00000000" w14:paraId="00000098">
      <w:pP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9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Administrar la hacienda pública municipal, de conformidad con las disposiciones legales aplicables.</w:t>
      </w:r>
    </w:p>
    <w:p w:rsidR="00000000" w:rsidDel="00000000" w:rsidP="00000000" w:rsidRDefault="00000000" w:rsidRPr="00000000" w14:paraId="0000009A">
      <w:pP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9B">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Llevar los registros contables, financieros y administrativos de los ingresos, egresos, e inventarios.</w:t>
      </w:r>
    </w:p>
    <w:p w:rsidR="00000000" w:rsidDel="00000000" w:rsidP="00000000" w:rsidRDefault="00000000" w:rsidRPr="00000000" w14:paraId="0000009C">
      <w:pP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9D">
      <w:pPr>
        <w:widowControl w:val="0"/>
        <w:spacing w:line="360" w:lineRule="auto"/>
        <w:ind w:right="49"/>
        <w:jc w:val="both"/>
        <w:rPr>
          <w:rFonts w:ascii="Palatino Linotype" w:cs="Palatino Linotype" w:eastAsia="Palatino Linotype" w:hAnsi="Palatino Linotype"/>
        </w:rPr>
      </w:pPr>
      <w:r w:rsidDel="00000000" w:rsidR="00000000" w:rsidRPr="00000000">
        <w:rPr>
          <w:rFonts w:ascii="Palatino Linotype" w:cs="Palatino Linotype" w:eastAsia="Palatino Linotype" w:hAnsi="Palatino Linotype"/>
          <w:rtl w:val="0"/>
        </w:rPr>
        <w:t xml:space="preserve">En consecuencia, conforme lo expuesto, no se siguió con el procedimiento establecido por el artículo 162 de la Ley de Transparencia y Acceso a la Información Pública del Estado de México y Municipios, ya que no se turnó la solicitud al área competente en la que podría obrar la información de conformidad con la fracción XXXIX del artículo tercero de la legislación local vigente en materia de transparencia: </w:t>
      </w:r>
    </w:p>
    <w:p w:rsidR="00000000" w:rsidDel="00000000" w:rsidP="00000000" w:rsidRDefault="00000000" w:rsidRPr="00000000" w14:paraId="0000009E">
      <w:pPr>
        <w:rPr/>
      </w:pPr>
      <w:r w:rsidDel="00000000" w:rsidR="00000000" w:rsidRPr="00000000">
        <w:rPr>
          <w:rtl w:val="0"/>
        </w:rPr>
      </w:r>
    </w:p>
    <w:p w:rsidR="00000000" w:rsidDel="00000000" w:rsidP="00000000" w:rsidRDefault="00000000" w:rsidRPr="00000000" w14:paraId="0000009F">
      <w:pPr>
        <w:pBdr>
          <w:top w:space="0" w:sz="0" w:val="nil"/>
          <w:left w:space="0" w:sz="0" w:val="nil"/>
          <w:bottom w:space="0" w:sz="0" w:val="nil"/>
          <w:right w:space="0" w:sz="0" w:val="nil"/>
          <w:between w:space="0" w:sz="0" w:val="nil"/>
        </w:pBdr>
        <w:ind w:left="864" w:right="864" w:firstLine="0"/>
        <w:jc w:val="both"/>
        <w:rPr/>
      </w:pPr>
      <w:r w:rsidDel="00000000" w:rsidR="00000000" w:rsidRPr="00000000">
        <w:rPr>
          <w:rFonts w:ascii="Palatino Linotype" w:cs="Palatino Linotype" w:eastAsia="Palatino Linotype" w:hAnsi="Palatino Linotype"/>
          <w:i w:val="1"/>
          <w:iCs w:val="1"/>
          <w:rtl w:val="0"/>
        </w:rPr>
        <w:t xml:space="preserve">XXXIX. Servidor público habilitado: Persona encargada dentro de las diversas unidades administrativas o áreas del sujeto obligado, de apoyar, gestionar y entregar la información o datos personales que se ubiquen en la misma, a sus respectivas unidades de transparencia; respecto de las solicitudes presentadas y aportar en primera instancia el fundamento y motivación de la clasificación de la información. </w:t>
      </w:r>
      <w:r w:rsidDel="00000000" w:rsidR="00000000" w:rsidRPr="00000000">
        <w:rPr>
          <w:rtl w:val="0"/>
        </w:rPr>
      </w:r>
    </w:p>
    <w:p w:rsidR="00000000" w:rsidDel="00000000" w:rsidP="00000000" w:rsidRDefault="00000000" w:rsidRPr="00000000" w14:paraId="000000A0">
      <w:pPr>
        <w:rPr/>
      </w:pPr>
      <w:r w:rsidDel="00000000" w:rsidR="00000000" w:rsidRPr="00000000">
        <w:rPr>
          <w:rtl w:val="0"/>
        </w:rPr>
      </w:r>
    </w:p>
    <w:p w:rsidR="00000000" w:rsidDel="00000000" w:rsidP="00000000" w:rsidRDefault="00000000" w:rsidRPr="00000000" w14:paraId="000000A1">
      <w:pPr>
        <w:pBdr>
          <w:top w:space="0" w:sz="0" w:val="nil"/>
          <w:left w:space="0" w:sz="0" w:val="nil"/>
          <w:bottom w:space="0" w:sz="0" w:val="nil"/>
          <w:right w:space="0" w:sz="0" w:val="nil"/>
          <w:between w:space="0" w:sz="0" w:val="nil"/>
        </w:pBdr>
        <w:shd w:fill="ffffff" w:val="clear"/>
        <w:spacing w:line="360" w:lineRule="auto"/>
        <w:jc w:val="both"/>
        <w:rPr/>
      </w:pPr>
      <w:r w:rsidDel="00000000" w:rsidR="00000000" w:rsidRPr="00000000">
        <w:rPr>
          <w:rFonts w:ascii="Palatino Linotype" w:cs="Palatino Linotype" w:eastAsia="Palatino Linotype" w:hAnsi="Palatino Linotype"/>
          <w:rtl w:val="0"/>
        </w:rPr>
        <w:t xml:space="preserve">En este orden de ideas, se advierte que la Unidad de Transparencia no cumplió con lo expresado en el artículo 162 de la Ley de Transparencia y Acceso a la Información Pública del Estado de México y Municipios, el cual menciona lo siguiente:</w:t>
      </w:r>
      <w:r w:rsidDel="00000000" w:rsidR="00000000" w:rsidRPr="00000000">
        <w:rPr>
          <w:rtl w:val="0"/>
        </w:rPr>
      </w:r>
    </w:p>
    <w:p w:rsidR="00000000" w:rsidDel="00000000" w:rsidP="00000000" w:rsidRDefault="00000000" w:rsidRPr="00000000" w14:paraId="000000A2">
      <w:pPr>
        <w:rPr/>
      </w:pPr>
      <w:r w:rsidDel="00000000" w:rsidR="00000000" w:rsidRPr="00000000">
        <w:rPr>
          <w:rtl w:val="0"/>
        </w:rPr>
      </w:r>
    </w:p>
    <w:p w:rsidR="00000000" w:rsidDel="00000000" w:rsidP="00000000" w:rsidRDefault="00000000" w:rsidRPr="00000000" w14:paraId="000000A3">
      <w:pPr>
        <w:pBdr>
          <w:top w:space="0" w:sz="0" w:val="nil"/>
          <w:left w:space="0" w:sz="0" w:val="nil"/>
          <w:bottom w:space="0" w:sz="0" w:val="nil"/>
          <w:right w:space="0" w:sz="0" w:val="nil"/>
          <w:between w:space="0" w:sz="0" w:val="nil"/>
        </w:pBdr>
        <w:ind w:left="864" w:right="864" w:firstLine="0"/>
        <w:jc w:val="both"/>
        <w:rPr/>
      </w:pPr>
      <w:r w:rsidDel="00000000" w:rsidR="00000000" w:rsidRPr="00000000">
        <w:rPr>
          <w:rFonts w:ascii="Palatino Linotype" w:cs="Palatino Linotype" w:eastAsia="Palatino Linotype" w:hAnsi="Palatino Linotype"/>
          <w:i w:val="1"/>
          <w:iCs w:val="1"/>
          <w:rtl w:val="0"/>
        </w:rPr>
        <w:t xml:space="preserve">“Artículo 162. Las unidades de transparencia deberán garantizar que las solicitudes </w:t>
      </w:r>
      <w:r w:rsidDel="00000000" w:rsidR="00000000" w:rsidRPr="00000000">
        <w:rPr>
          <w:rFonts w:ascii="Palatino Linotype" w:cs="Palatino Linotype" w:eastAsia="Palatino Linotype" w:hAnsi="Palatino Linotype"/>
          <w:b w:val="1"/>
          <w:bCs w:val="1"/>
          <w:i w:val="1"/>
          <w:iCs w:val="1"/>
          <w:rtl w:val="0"/>
        </w:rPr>
        <w:t xml:space="preserve">se turnen a todas las Áreas competentes </w:t>
      </w:r>
      <w:r w:rsidDel="00000000" w:rsidR="00000000" w:rsidRPr="00000000">
        <w:rPr>
          <w:rFonts w:ascii="Palatino Linotype" w:cs="Palatino Linotype" w:eastAsia="Palatino Linotype" w:hAnsi="Palatino Linotype"/>
          <w:i w:val="1"/>
          <w:iCs w:val="1"/>
          <w:rtl w:val="0"/>
        </w:rPr>
        <w:t xml:space="preserve">que cuenten con la información o deban tenerla de acuerdo a sus facultades, competencias y funciones, con el objeto de que realicen una búsqueda exhaustiva y razonable de la información solicitada.”</w:t>
      </w:r>
      <w:r w:rsidDel="00000000" w:rsidR="00000000" w:rsidRPr="00000000">
        <w:rPr>
          <w:rtl w:val="0"/>
        </w:rPr>
      </w:r>
    </w:p>
    <w:p w:rsidR="00000000" w:rsidDel="00000000" w:rsidP="00000000" w:rsidRDefault="00000000" w:rsidRPr="00000000" w14:paraId="000000A4">
      <w:pPr>
        <w:widowControl w:val="0"/>
        <w:spacing w:line="360" w:lineRule="auto"/>
        <w:ind w:right="49"/>
        <w:jc w:val="both"/>
        <w:rPr>
          <w:rFonts w:ascii="Palatino Linotype" w:cs="Palatino Linotype" w:eastAsia="Palatino Linotype" w:hAnsi="Palatino Linotype"/>
        </w:rPr>
      </w:pPr>
      <w:r w:rsidDel="00000000" w:rsidR="00000000" w:rsidRPr="00000000">
        <w:rPr>
          <w:rtl w:val="0"/>
        </w:rPr>
      </w:r>
    </w:p>
    <w:p w:rsidR="00000000" w:rsidDel="00000000" w:rsidP="00000000" w:rsidRDefault="00000000" w:rsidRPr="00000000" w14:paraId="000000A5">
      <w:pPr>
        <w:spacing w:line="360" w:lineRule="auto"/>
        <w:jc w:val="both"/>
        <w:rPr>
          <w:rFonts w:ascii="Palatino Linotype" w:cs="Palatino Linotype" w:eastAsia="Palatino Linotype" w:hAnsi="Palatino Linotype"/>
        </w:rPr>
      </w:pPr>
      <w:r w:rsidDel="00000000" w:rsidR="00000000" w:rsidRPr="00000000">
        <w:rPr>
          <w:rFonts w:ascii="Palatino Linotype" w:cs="Palatino Linotype" w:eastAsia="Palatino Linotype" w:hAnsi="Palatino Linotype"/>
          <w:rtl w:val="0"/>
        </w:rPr>
        <w:t xml:space="preserve">Ahora, es de recordar que en respuesta la Dirección de Recursos Humanos proporcionó un enlace de consulta de ipomex sobre las remuneraciones de los servidores públicos; sin embargo, dicha información no es la requerida, ya que dicho enlace únicamente remite a las percepciones de los servidores públicos adscritos al Ayuntamiento de Toluca, más no así a la expresión documental requerida, esto es a los recibos de nómina.</w:t>
      </w:r>
    </w:p>
    <w:p w:rsidR="00000000" w:rsidDel="00000000" w:rsidP="00000000" w:rsidRDefault="00000000" w:rsidRPr="00000000" w14:paraId="000000A6">
      <w:pPr>
        <w:pBdr>
          <w:top w:space="0" w:sz="0" w:val="nil"/>
          <w:left w:space="0" w:sz="0" w:val="nil"/>
          <w:bottom w:space="0" w:sz="0" w:val="nil"/>
          <w:right w:space="0" w:sz="0" w:val="nil"/>
          <w:between w:space="0" w:sz="0" w:val="nil"/>
        </w:pBdr>
        <w:spacing w:line="360" w:lineRule="auto"/>
        <w:ind w:right="49"/>
        <w:jc w:val="both"/>
        <w:rPr>
          <w:rFonts w:ascii="Palatino Linotype" w:cs="Palatino Linotype" w:eastAsia="Palatino Linotype" w:hAnsi="Palatino Linotype"/>
        </w:rPr>
      </w:pPr>
      <w:r w:rsidDel="00000000" w:rsidR="00000000" w:rsidRPr="00000000">
        <w:rPr>
          <w:rtl w:val="0"/>
        </w:rPr>
      </w:r>
    </w:p>
    <w:p w:rsidR="00000000" w:rsidDel="00000000" w:rsidP="00000000" w:rsidRDefault="00000000" w:rsidRPr="00000000" w14:paraId="000000A7">
      <w:pPr>
        <w:spacing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Por tanto, se considera en el caso no se garantizó el derecho de acceso a la información pública, siendo procedente </w:t>
      </w:r>
      <w:r w:rsidDel="00000000" w:rsidR="00000000" w:rsidRPr="00000000">
        <w:rPr>
          <w:rFonts w:ascii="Palatino Linotype" w:cs="Palatino Linotype" w:eastAsia="Palatino Linotype" w:hAnsi="Palatino Linotype"/>
          <w:b w:val="1"/>
          <w:bCs w:val="1"/>
          <w:sz w:val="22"/>
          <w:szCs w:val="22"/>
          <w:rtl w:val="0"/>
        </w:rPr>
        <w:t xml:space="preserve">Revocar </w:t>
      </w:r>
      <w:r w:rsidDel="00000000" w:rsidR="00000000" w:rsidRPr="00000000">
        <w:rPr>
          <w:rFonts w:ascii="Palatino Linotype" w:cs="Palatino Linotype" w:eastAsia="Palatino Linotype" w:hAnsi="Palatino Linotype"/>
          <w:sz w:val="22"/>
          <w:szCs w:val="22"/>
          <w:rtl w:val="0"/>
        </w:rPr>
        <w:t xml:space="preserve">la respuesta del ente obligado y ordenar que en cumplimiento a la presente se haga entrega, en versión pública, de lo siguiente:</w:t>
      </w:r>
    </w:p>
    <w:p w:rsidR="00000000" w:rsidDel="00000000" w:rsidP="00000000" w:rsidRDefault="00000000" w:rsidRPr="00000000" w14:paraId="000000A8">
      <w:pP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A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720" w:right="51" w:hanging="360"/>
        <w:jc w:val="both"/>
        <w:rPr>
          <w:b w:val="1"/>
          <w:bCs w:val="1"/>
          <w:i w:val="0"/>
          <w:iCs w:val="0"/>
          <w:smallCaps w:val="0"/>
          <w:strike w:val="0"/>
          <w:color w:val="000000"/>
          <w:sz w:val="22"/>
          <w:szCs w:val="22"/>
          <w:u w:val="none"/>
          <w:shd w:fill="auto" w:val="clear"/>
          <w:vertAlign w:val="baseline"/>
        </w:rPr>
      </w:pPr>
      <w:r w:rsidDel="00000000" w:rsidR="00000000" w:rsidRPr="00000000">
        <w:rPr>
          <w:rFonts w:ascii="Palatino Linotype" w:cs="Palatino Linotype" w:eastAsia="Palatino Linotype" w:hAnsi="Palatino Linotype"/>
          <w:b w:val="1"/>
          <w:bCs w:val="1"/>
          <w:i w:val="0"/>
          <w:iCs w:val="0"/>
          <w:smallCaps w:val="0"/>
          <w:strike w:val="0"/>
          <w:color w:val="000000"/>
          <w:sz w:val="22"/>
          <w:szCs w:val="22"/>
          <w:u w:val="none"/>
          <w:shd w:fill="auto" w:val="clear"/>
          <w:vertAlign w:val="baseline"/>
          <w:rtl w:val="0"/>
        </w:rPr>
        <w:t xml:space="preserve">Los recibos de nómina de los integrantes del cabildo (Presidente Municipal, Síndico y Regidores) del periodo comprendido del 01 de enero al 15 de mayo de 2026.</w:t>
      </w:r>
    </w:p>
    <w:p w:rsidR="00000000" w:rsidDel="00000000" w:rsidP="00000000" w:rsidRDefault="00000000" w:rsidRPr="00000000" w14:paraId="000000AA">
      <w:pP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AB">
      <w:pP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AC">
      <w:pPr>
        <w:spacing w:after="240" w:before="240" w:line="360" w:lineRule="auto"/>
        <w:ind w:right="51"/>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b w:val="1"/>
          <w:bCs w:val="1"/>
          <w:sz w:val="22"/>
          <w:szCs w:val="22"/>
          <w:rtl w:val="0"/>
        </w:rPr>
        <w:t xml:space="preserve">Quinto. Versión Pública. </w:t>
      </w:r>
      <w:r w:rsidDel="00000000" w:rsidR="00000000" w:rsidRPr="00000000">
        <w:rPr>
          <w:rFonts w:ascii="Palatino Linotype" w:cs="Palatino Linotype" w:eastAsia="Palatino Linotype" w:hAnsi="Palatino Linotype"/>
          <w:sz w:val="22"/>
          <w:szCs w:val="22"/>
          <w:rtl w:val="0"/>
        </w:rPr>
        <w:t xml:space="preserve">Como fue debidamente apuntado, el </w:t>
      </w:r>
      <w:r w:rsidDel="00000000" w:rsidR="00000000" w:rsidRPr="00000000">
        <w:rPr>
          <w:rFonts w:ascii="Palatino Linotype" w:cs="Palatino Linotype" w:eastAsia="Palatino Linotype" w:hAnsi="Palatino Linotype"/>
          <w:b w:val="1"/>
          <w:bCs w:val="1"/>
          <w:sz w:val="22"/>
          <w:szCs w:val="22"/>
          <w:rtl w:val="0"/>
        </w:rPr>
        <w:t xml:space="preserve">Sujeto Obligado</w:t>
      </w:r>
      <w:r w:rsidDel="00000000" w:rsidR="00000000" w:rsidRPr="00000000">
        <w:rPr>
          <w:rFonts w:ascii="Palatino Linotype" w:cs="Palatino Linotype" w:eastAsia="Palatino Linotype" w:hAnsi="Palatino Linotype"/>
          <w:sz w:val="22"/>
          <w:szCs w:val="22"/>
          <w:rtl w:val="0"/>
        </w:rPr>
        <w:t xml:space="preserve"> debe satisfacer la solicitud de acceso a la información; sin embargo, dada la naturaleza de la información de la cual se ordena su entrega, deberá hacerse en versión pública, toda vez que en los documentos que se ordenan, existe la posibilidad de que obren datos que son considerados confidenciales, cuyo acceso debe ser restringido que deben testarse al momento de la versión pública, atento a lo siguiente:</w:t>
      </w:r>
    </w:p>
    <w:p w:rsidR="00000000" w:rsidDel="00000000" w:rsidP="00000000" w:rsidRDefault="00000000" w:rsidRPr="00000000" w14:paraId="000000AD">
      <w:pPr>
        <w:spacing w:after="240" w:before="240" w:line="360" w:lineRule="auto"/>
        <w:ind w:right="49"/>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El derecho de acceso a la información pública tiene como limitante el respeto a la intimidad y a la vida privada de las personas, es por ello que este Instituto debe cuidar que los datos personales que obren en poder de los Sujetos Obligados sean protegidos y únicamente se den a conocer aquéllos que garanticen la rendición de cuentas y la transparencia en el ejercicio de las atribuciones que tienen conferidas.</w:t>
      </w:r>
    </w:p>
    <w:p w:rsidR="00000000" w:rsidDel="00000000" w:rsidP="00000000" w:rsidRDefault="00000000" w:rsidRPr="00000000" w14:paraId="000000AE">
      <w:pPr>
        <w:spacing w:after="240" w:before="240" w:line="360" w:lineRule="auto"/>
        <w:ind w:right="49"/>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De este modo, en armonía entre los principios constitucionales de máxima publicidad y de protección de datos personales, la ley permite la elaboración de versiones públicas en las que se suprima aquella información relacionada con la vida privada de las personas.</w:t>
      </w:r>
    </w:p>
    <w:p w:rsidR="00000000" w:rsidDel="00000000" w:rsidP="00000000" w:rsidRDefault="00000000" w:rsidRPr="00000000" w14:paraId="000000AF">
      <w:pPr>
        <w:spacing w:after="240" w:before="240" w:line="360" w:lineRule="auto"/>
        <w:ind w:right="49"/>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Al respecto, los artículos 3, fracciones IX, XX, XXI, XXXII, XLV; 6, 91, 132, 137, 143, fracción I, de la Ley de Transparencia y Acceso a la Información Pública del Estado de México y Municipios vigente establecen:</w:t>
      </w:r>
    </w:p>
    <w:p w:rsidR="00000000" w:rsidDel="00000000" w:rsidP="00000000" w:rsidRDefault="00000000" w:rsidRPr="00000000" w14:paraId="000000B0">
      <w:pPr>
        <w:spacing w:line="276" w:lineRule="auto"/>
        <w:ind w:left="851"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sz w:val="22"/>
          <w:szCs w:val="22"/>
          <w:rtl w:val="0"/>
        </w:rPr>
        <w:t xml:space="preserve"> </w:t>
      </w:r>
      <w:r w:rsidDel="00000000" w:rsidR="00000000" w:rsidRPr="00000000">
        <w:rPr>
          <w:rFonts w:ascii="Palatino Linotype" w:cs="Palatino Linotype" w:eastAsia="Palatino Linotype" w:hAnsi="Palatino Linotype"/>
          <w:i w:val="1"/>
          <w:iCs w:val="1"/>
          <w:sz w:val="22"/>
          <w:szCs w:val="22"/>
          <w:rtl w:val="0"/>
        </w:rPr>
        <w:t xml:space="preserve">“</w:t>
      </w:r>
      <w:r w:rsidDel="00000000" w:rsidR="00000000" w:rsidRPr="00000000">
        <w:rPr>
          <w:rFonts w:ascii="Palatino Linotype" w:cs="Palatino Linotype" w:eastAsia="Palatino Linotype" w:hAnsi="Palatino Linotype"/>
          <w:b w:val="1"/>
          <w:bCs w:val="1"/>
          <w:i w:val="1"/>
          <w:iCs w:val="1"/>
          <w:sz w:val="22"/>
          <w:szCs w:val="22"/>
          <w:rtl w:val="0"/>
        </w:rPr>
        <w:t xml:space="preserve">Artículo 3.</w:t>
      </w:r>
      <w:r w:rsidDel="00000000" w:rsidR="00000000" w:rsidRPr="00000000">
        <w:rPr>
          <w:rFonts w:ascii="Palatino Linotype" w:cs="Palatino Linotype" w:eastAsia="Palatino Linotype" w:hAnsi="Palatino Linotype"/>
          <w:i w:val="1"/>
          <w:iCs w:val="1"/>
          <w:sz w:val="22"/>
          <w:szCs w:val="22"/>
          <w:rtl w:val="0"/>
        </w:rPr>
        <w:t xml:space="preserve"> Para los efectos de la presente Ley se entenderá por:</w:t>
      </w:r>
    </w:p>
    <w:p w:rsidR="00000000" w:rsidDel="00000000" w:rsidP="00000000" w:rsidRDefault="00000000" w:rsidRPr="00000000" w14:paraId="000000B1">
      <w:pPr>
        <w:tabs>
          <w:tab w:val="left" w:leader="none" w:pos="1276"/>
        </w:tabs>
        <w:spacing w:line="276" w:lineRule="auto"/>
        <w:ind w:left="851"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w:t>
      </w:r>
    </w:p>
    <w:p w:rsidR="00000000" w:rsidDel="00000000" w:rsidP="00000000" w:rsidRDefault="00000000" w:rsidRPr="00000000" w14:paraId="000000B2">
      <w:pPr>
        <w:tabs>
          <w:tab w:val="left" w:leader="none" w:pos="1276"/>
        </w:tabs>
        <w:spacing w:line="276" w:lineRule="auto"/>
        <w:ind w:left="851"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IX. Datos personales</w:t>
      </w:r>
      <w:r w:rsidDel="00000000" w:rsidR="00000000" w:rsidRPr="00000000">
        <w:rPr>
          <w:rFonts w:ascii="Palatino Linotype" w:cs="Palatino Linotype" w:eastAsia="Palatino Linotype" w:hAnsi="Palatino Linotype"/>
          <w:i w:val="1"/>
          <w:iCs w:val="1"/>
          <w:sz w:val="22"/>
          <w:szCs w:val="22"/>
          <w:rtl w:val="0"/>
        </w:rPr>
        <w:t xml:space="preserve">: La información concerniente a una persona, identificada o identificable según lo dispuesto por la Ley de Protección de Datos Personales del Estado de México;</w:t>
      </w:r>
    </w:p>
    <w:p w:rsidR="00000000" w:rsidDel="00000000" w:rsidP="00000000" w:rsidRDefault="00000000" w:rsidRPr="00000000" w14:paraId="000000B3">
      <w:pPr>
        <w:tabs>
          <w:tab w:val="left" w:leader="none" w:pos="1276"/>
        </w:tabs>
        <w:spacing w:line="276" w:lineRule="auto"/>
        <w:ind w:left="851"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w:t>
      </w:r>
    </w:p>
    <w:p w:rsidR="00000000" w:rsidDel="00000000" w:rsidP="00000000" w:rsidRDefault="00000000" w:rsidRPr="00000000" w14:paraId="000000B4">
      <w:pPr>
        <w:tabs>
          <w:tab w:val="left" w:leader="none" w:pos="1276"/>
        </w:tabs>
        <w:spacing w:line="276" w:lineRule="auto"/>
        <w:ind w:left="851"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XX. Información clasificada</w:t>
      </w:r>
      <w:r w:rsidDel="00000000" w:rsidR="00000000" w:rsidRPr="00000000">
        <w:rPr>
          <w:rFonts w:ascii="Palatino Linotype" w:cs="Palatino Linotype" w:eastAsia="Palatino Linotype" w:hAnsi="Palatino Linotype"/>
          <w:i w:val="1"/>
          <w:iCs w:val="1"/>
          <w:sz w:val="22"/>
          <w:szCs w:val="22"/>
          <w:rtl w:val="0"/>
        </w:rPr>
        <w:t xml:space="preserve">: Aquella considerada por la presente Ley como reservada o confidencial;</w:t>
      </w:r>
    </w:p>
    <w:p w:rsidR="00000000" w:rsidDel="00000000" w:rsidP="00000000" w:rsidRDefault="00000000" w:rsidRPr="00000000" w14:paraId="000000B5">
      <w:pPr>
        <w:tabs>
          <w:tab w:val="left" w:leader="none" w:pos="1276"/>
        </w:tabs>
        <w:spacing w:line="276" w:lineRule="auto"/>
        <w:ind w:left="851"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XXI. Información confidencial</w:t>
      </w:r>
      <w:r w:rsidDel="00000000" w:rsidR="00000000" w:rsidRPr="00000000">
        <w:rPr>
          <w:rFonts w:ascii="Palatino Linotype" w:cs="Palatino Linotype" w:eastAsia="Palatino Linotype" w:hAnsi="Palatino Linotype"/>
          <w:i w:val="1"/>
          <w:iCs w:val="1"/>
          <w:sz w:val="22"/>
          <w:szCs w:val="22"/>
          <w:rtl w:val="0"/>
        </w:rPr>
        <w:t xml:space="preserve">: Se considera como información confidencial los secretos bancario, fiduciario, industrial, comercial, fiscal, bursátil y postal, cuya titularidad corresponda a particulares, sujetos de derecho internacional o a sujetos obligados cuando no involucren el ejercicio de recursos públicos;</w:t>
      </w:r>
    </w:p>
    <w:p w:rsidR="00000000" w:rsidDel="00000000" w:rsidP="00000000" w:rsidRDefault="00000000" w:rsidRPr="00000000" w14:paraId="000000B6">
      <w:pPr>
        <w:tabs>
          <w:tab w:val="left" w:leader="none" w:pos="1276"/>
        </w:tabs>
        <w:spacing w:line="276" w:lineRule="auto"/>
        <w:ind w:left="851"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w:t>
      </w:r>
    </w:p>
    <w:p w:rsidR="00000000" w:rsidDel="00000000" w:rsidP="00000000" w:rsidRDefault="00000000" w:rsidRPr="00000000" w14:paraId="000000B7">
      <w:pPr>
        <w:tabs>
          <w:tab w:val="left" w:leader="none" w:pos="1276"/>
        </w:tabs>
        <w:spacing w:line="276" w:lineRule="auto"/>
        <w:ind w:left="851"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XXXII. Protección de Datos Personales</w:t>
      </w:r>
      <w:r w:rsidDel="00000000" w:rsidR="00000000" w:rsidRPr="00000000">
        <w:rPr>
          <w:rFonts w:ascii="Palatino Linotype" w:cs="Palatino Linotype" w:eastAsia="Palatino Linotype" w:hAnsi="Palatino Linotype"/>
          <w:i w:val="1"/>
          <w:iCs w:val="1"/>
          <w:sz w:val="22"/>
          <w:szCs w:val="22"/>
          <w:rtl w:val="0"/>
        </w:rPr>
        <w:t xml:space="preserve">: Derecho humano que tutela la privacidad de datos personales en poder de los sujetos obligados y sujetos particulares;</w:t>
      </w:r>
    </w:p>
    <w:p w:rsidR="00000000" w:rsidDel="00000000" w:rsidP="00000000" w:rsidRDefault="00000000" w:rsidRPr="00000000" w14:paraId="000000B8">
      <w:pPr>
        <w:tabs>
          <w:tab w:val="left" w:leader="none" w:pos="1276"/>
        </w:tabs>
        <w:spacing w:line="276" w:lineRule="auto"/>
        <w:ind w:left="851"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w:t>
      </w:r>
    </w:p>
    <w:p w:rsidR="00000000" w:rsidDel="00000000" w:rsidP="00000000" w:rsidRDefault="00000000" w:rsidRPr="00000000" w14:paraId="000000B9">
      <w:pPr>
        <w:tabs>
          <w:tab w:val="left" w:leader="none" w:pos="1276"/>
        </w:tabs>
        <w:spacing w:line="276" w:lineRule="auto"/>
        <w:ind w:left="851"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XLV. Versión pública</w:t>
      </w:r>
      <w:r w:rsidDel="00000000" w:rsidR="00000000" w:rsidRPr="00000000">
        <w:rPr>
          <w:rFonts w:ascii="Palatino Linotype" w:cs="Palatino Linotype" w:eastAsia="Palatino Linotype" w:hAnsi="Palatino Linotype"/>
          <w:i w:val="1"/>
          <w:iCs w:val="1"/>
          <w:sz w:val="22"/>
          <w:szCs w:val="22"/>
          <w:rtl w:val="0"/>
        </w:rPr>
        <w:t xml:space="preserve">: Documento en el que se elimine, suprime o borra la información clasificada como reservada o confidencial para permitir su acceso.</w:t>
      </w:r>
    </w:p>
    <w:p w:rsidR="00000000" w:rsidDel="00000000" w:rsidP="00000000" w:rsidRDefault="00000000" w:rsidRPr="00000000" w14:paraId="000000BA">
      <w:pPr>
        <w:spacing w:line="276" w:lineRule="auto"/>
        <w:ind w:left="851"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 Artículo 6</w:t>
      </w:r>
      <w:r w:rsidDel="00000000" w:rsidR="00000000" w:rsidRPr="00000000">
        <w:rPr>
          <w:rFonts w:ascii="Palatino Linotype" w:cs="Palatino Linotype" w:eastAsia="Palatino Linotype" w:hAnsi="Palatino Linotype"/>
          <w:i w:val="1"/>
          <w:iCs w:val="1"/>
          <w:sz w:val="22"/>
          <w:szCs w:val="22"/>
          <w:rtl w:val="0"/>
        </w:rPr>
        <w:t xml:space="preserve">. Los datos personales son irrenunciables, intransferibles e indelegables, por lo que los sujetos obligados no deberán proporcionar o hacer pública la información que contenga, con excepción de aquellos casos en que deban hacerlo en observancia de las disposiciones aplicables. En el caso de los derechos de acceso, rectificación, cancelación u oposición; los principios, procedimientos, medidas de seguridad en el tratamiento y demás disposiciones en materia de datos personales, se deberá estar a lo dispuesto en las leyes de la materia.</w:t>
      </w:r>
    </w:p>
    <w:p w:rsidR="00000000" w:rsidDel="00000000" w:rsidP="00000000" w:rsidRDefault="00000000" w:rsidRPr="00000000" w14:paraId="000000BB">
      <w:pPr>
        <w:spacing w:line="276" w:lineRule="auto"/>
        <w:ind w:left="851"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w:t>
      </w:r>
    </w:p>
    <w:p w:rsidR="00000000" w:rsidDel="00000000" w:rsidP="00000000" w:rsidRDefault="00000000" w:rsidRPr="00000000" w14:paraId="000000BC">
      <w:pPr>
        <w:spacing w:line="276" w:lineRule="auto"/>
        <w:ind w:left="851"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Artículo 91.</w:t>
      </w:r>
      <w:r w:rsidDel="00000000" w:rsidR="00000000" w:rsidRPr="00000000">
        <w:rPr>
          <w:rFonts w:ascii="Palatino Linotype" w:cs="Palatino Linotype" w:eastAsia="Palatino Linotype" w:hAnsi="Palatino Linotype"/>
          <w:i w:val="1"/>
          <w:iCs w:val="1"/>
          <w:sz w:val="22"/>
          <w:szCs w:val="22"/>
          <w:rtl w:val="0"/>
        </w:rPr>
        <w:t xml:space="preserve"> El acceso a la información pública será restringido excepcionalmente, cuando ésta sea clasificada como reservada o confidencial.</w:t>
        <w:br w:type="textWrapping"/>
        <w:t xml:space="preserve">…</w:t>
      </w:r>
    </w:p>
    <w:p w:rsidR="00000000" w:rsidDel="00000000" w:rsidP="00000000" w:rsidRDefault="00000000" w:rsidRPr="00000000" w14:paraId="000000BD">
      <w:pPr>
        <w:spacing w:line="276" w:lineRule="auto"/>
        <w:ind w:left="851"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Artículo 132.</w:t>
      </w:r>
      <w:r w:rsidDel="00000000" w:rsidR="00000000" w:rsidRPr="00000000">
        <w:rPr>
          <w:rFonts w:ascii="Palatino Linotype" w:cs="Palatino Linotype" w:eastAsia="Palatino Linotype" w:hAnsi="Palatino Linotype"/>
          <w:i w:val="1"/>
          <w:iCs w:val="1"/>
          <w:sz w:val="22"/>
          <w:szCs w:val="22"/>
          <w:rtl w:val="0"/>
        </w:rPr>
        <w:t xml:space="preserve"> La clasificación de la información se llevará a cabo en el momento en que:</w:t>
      </w:r>
    </w:p>
    <w:p w:rsidR="00000000" w:rsidDel="00000000" w:rsidP="00000000" w:rsidRDefault="00000000" w:rsidRPr="00000000" w14:paraId="000000BE">
      <w:pPr>
        <w:spacing w:line="276" w:lineRule="auto"/>
        <w:ind w:left="851"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I</w:t>
      </w:r>
      <w:r w:rsidDel="00000000" w:rsidR="00000000" w:rsidRPr="00000000">
        <w:rPr>
          <w:rFonts w:ascii="Palatino Linotype" w:cs="Palatino Linotype" w:eastAsia="Palatino Linotype" w:hAnsi="Palatino Linotype"/>
          <w:i w:val="1"/>
          <w:iCs w:val="1"/>
          <w:sz w:val="22"/>
          <w:szCs w:val="22"/>
          <w:rtl w:val="0"/>
        </w:rPr>
        <w:t xml:space="preserve">. Se reciba una solicitud de acceso a la información;</w:t>
      </w:r>
    </w:p>
    <w:p w:rsidR="00000000" w:rsidDel="00000000" w:rsidP="00000000" w:rsidRDefault="00000000" w:rsidRPr="00000000" w14:paraId="000000BF">
      <w:pPr>
        <w:spacing w:line="276" w:lineRule="auto"/>
        <w:ind w:left="851"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II.</w:t>
      </w:r>
      <w:r w:rsidDel="00000000" w:rsidR="00000000" w:rsidRPr="00000000">
        <w:rPr>
          <w:rFonts w:ascii="Palatino Linotype" w:cs="Palatino Linotype" w:eastAsia="Palatino Linotype" w:hAnsi="Palatino Linotype"/>
          <w:i w:val="1"/>
          <w:iCs w:val="1"/>
          <w:sz w:val="22"/>
          <w:szCs w:val="22"/>
          <w:rtl w:val="0"/>
        </w:rPr>
        <w:t xml:space="preserve"> Se determine mediante resolución de autoridad competente; o</w:t>
      </w:r>
    </w:p>
    <w:p w:rsidR="00000000" w:rsidDel="00000000" w:rsidP="00000000" w:rsidRDefault="00000000" w:rsidRPr="00000000" w14:paraId="000000C0">
      <w:pPr>
        <w:spacing w:line="276" w:lineRule="auto"/>
        <w:ind w:left="851"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III.</w:t>
      </w:r>
      <w:r w:rsidDel="00000000" w:rsidR="00000000" w:rsidRPr="00000000">
        <w:rPr>
          <w:rFonts w:ascii="Palatino Linotype" w:cs="Palatino Linotype" w:eastAsia="Palatino Linotype" w:hAnsi="Palatino Linotype"/>
          <w:i w:val="1"/>
          <w:iCs w:val="1"/>
          <w:sz w:val="22"/>
          <w:szCs w:val="22"/>
          <w:rtl w:val="0"/>
        </w:rPr>
        <w:t xml:space="preserve"> Se generen versiones públicas para dar cumplimiento a las obligaciones de transparencia previstas en esta Ley.</w:t>
      </w:r>
    </w:p>
    <w:p w:rsidR="00000000" w:rsidDel="00000000" w:rsidP="00000000" w:rsidRDefault="00000000" w:rsidRPr="00000000" w14:paraId="000000C1">
      <w:pPr>
        <w:spacing w:line="276" w:lineRule="auto"/>
        <w:ind w:left="851"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w:t>
      </w:r>
      <w:r w:rsidDel="00000000" w:rsidR="00000000" w:rsidRPr="00000000">
        <w:rPr>
          <w:rtl w:val="0"/>
        </w:rPr>
      </w:r>
    </w:p>
    <w:p w:rsidR="00000000" w:rsidDel="00000000" w:rsidP="00000000" w:rsidRDefault="00000000" w:rsidRPr="00000000" w14:paraId="000000C2">
      <w:pPr>
        <w:spacing w:line="276" w:lineRule="auto"/>
        <w:ind w:left="851"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Artículo 137.</w:t>
      </w:r>
      <w:r w:rsidDel="00000000" w:rsidR="00000000" w:rsidRPr="00000000">
        <w:rPr>
          <w:rFonts w:ascii="Palatino Linotype" w:cs="Palatino Linotype" w:eastAsia="Palatino Linotype" w:hAnsi="Palatino Linotype"/>
          <w:i w:val="1"/>
          <w:iCs w:val="1"/>
          <w:sz w:val="22"/>
          <w:szCs w:val="22"/>
          <w:rtl w:val="0"/>
        </w:rPr>
        <w:t xml:space="preserve"> Cuando un mismo medio, impreso o electrónico, contenga información pública y reservada o confidencial, la Unidad de Transparencia para efectos de atender una solicitud de información, deberán elaborar una versión pública en la que se testen las partes o secciones clasificadas, indicando su contenido de manera genérica y fundando y motivando su clasificación.</w:t>
      </w:r>
    </w:p>
    <w:p w:rsidR="00000000" w:rsidDel="00000000" w:rsidP="00000000" w:rsidRDefault="00000000" w:rsidRPr="00000000" w14:paraId="000000C3">
      <w:pPr>
        <w:spacing w:line="276" w:lineRule="auto"/>
        <w:ind w:left="851"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 Artículo 143.</w:t>
      </w:r>
      <w:r w:rsidDel="00000000" w:rsidR="00000000" w:rsidRPr="00000000">
        <w:rPr>
          <w:rFonts w:ascii="Palatino Linotype" w:cs="Palatino Linotype" w:eastAsia="Palatino Linotype" w:hAnsi="Palatino Linotype"/>
          <w:i w:val="1"/>
          <w:iCs w:val="1"/>
          <w:sz w:val="22"/>
          <w:szCs w:val="22"/>
          <w:rtl w:val="0"/>
        </w:rPr>
        <w:t xml:space="preserve"> Para los efectos de esta Ley se considera información confidencial, la clasificada como tal, de manera permanente, por su naturaleza, cuando:</w:t>
      </w:r>
    </w:p>
    <w:p w:rsidR="00000000" w:rsidDel="00000000" w:rsidP="00000000" w:rsidRDefault="00000000" w:rsidRPr="00000000" w14:paraId="000000C4">
      <w:pPr>
        <w:spacing w:line="276" w:lineRule="auto"/>
        <w:ind w:left="851"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I.</w:t>
      </w:r>
      <w:r w:rsidDel="00000000" w:rsidR="00000000" w:rsidRPr="00000000">
        <w:rPr>
          <w:rFonts w:ascii="Palatino Linotype" w:cs="Palatino Linotype" w:eastAsia="Palatino Linotype" w:hAnsi="Palatino Linotype"/>
          <w:i w:val="1"/>
          <w:iCs w:val="1"/>
          <w:sz w:val="22"/>
          <w:szCs w:val="22"/>
          <w:rtl w:val="0"/>
        </w:rPr>
        <w:t xml:space="preserve"> Se refiera a la información privada y los datos personales concernientes a una persona física o jurídico colectiva identificada o identificable...”</w:t>
      </w:r>
    </w:p>
    <w:p w:rsidR="00000000" w:rsidDel="00000000" w:rsidP="00000000" w:rsidRDefault="00000000" w:rsidRPr="00000000" w14:paraId="000000C5">
      <w:pPr>
        <w:spacing w:after="240" w:before="240" w:line="360" w:lineRule="auto"/>
        <w:ind w:right="50"/>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De los preceptos anteriores se desprende que cuando un documento que vaya a ser entregado vía acceso a la información pública, contenga tanto información de interés público como información que debe ser clasificada, se hará la entrega del mismo, testando las secciones o datos que deban ser clasificados; por ende el </w:t>
      </w:r>
      <w:r w:rsidDel="00000000" w:rsidR="00000000" w:rsidRPr="00000000">
        <w:rPr>
          <w:rFonts w:ascii="Palatino Linotype" w:cs="Palatino Linotype" w:eastAsia="Palatino Linotype" w:hAnsi="Palatino Linotype"/>
          <w:b w:val="1"/>
          <w:bCs w:val="1"/>
          <w:sz w:val="22"/>
          <w:szCs w:val="22"/>
          <w:rtl w:val="0"/>
        </w:rPr>
        <w:t xml:space="preserve">Sujeto Obligado</w:t>
      </w:r>
      <w:r w:rsidDel="00000000" w:rsidR="00000000" w:rsidRPr="00000000">
        <w:rPr>
          <w:rFonts w:ascii="Palatino Linotype" w:cs="Palatino Linotype" w:eastAsia="Palatino Linotype" w:hAnsi="Palatino Linotype"/>
          <w:sz w:val="22"/>
          <w:szCs w:val="22"/>
          <w:rtl w:val="0"/>
        </w:rPr>
        <w:t xml:space="preserve"> deberá proceder a testar los datos personales que se encuentre contenidos en los documentos a entregar para satisfacer el derecho de acceso a la información pública de la parte Recurrente, esto es, los datos concernientes a una persona identificada o identificable, o aquellos datos que tengan el carácter de sensibles, es decir los que afectan  la esfera más íntima de su titular o cuya utilización indebida pueda dar origen a discriminación o conlleven un riesgo grave para aquel de acuerdo a los que señala la fracción XII del artículo 4 de la Ley de Protección de Datos Personales en posesión de Sujeto Obligados del Estado de México.</w:t>
      </w:r>
    </w:p>
    <w:p w:rsidR="00000000" w:rsidDel="00000000" w:rsidP="00000000" w:rsidRDefault="00000000" w:rsidRPr="00000000" w14:paraId="000000C6">
      <w:pPr>
        <w:spacing w:after="240" w:before="240" w:line="360" w:lineRule="auto"/>
        <w:ind w:right="50"/>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Datos que deberá clasificar como confidenciales por tratarse precisamente de información privada, puesto que los datos personales son irrenunciables, intransferibles e indelegables y los Sujetos Obligados no deberán hacer entrega de los mismos a personas ajenas a su titular.</w:t>
      </w:r>
    </w:p>
    <w:p w:rsidR="00000000" w:rsidDel="00000000" w:rsidP="00000000" w:rsidRDefault="00000000" w:rsidRPr="00000000" w14:paraId="000000C7">
      <w:pPr>
        <w:spacing w:after="240" w:before="240"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En el caso específico, la información que se ordena si bien tiene el carácter información pública en razón de que se trata de documentos que se encuentran en posesión del </w:t>
      </w:r>
      <w:r w:rsidDel="00000000" w:rsidR="00000000" w:rsidRPr="00000000">
        <w:rPr>
          <w:rFonts w:ascii="Palatino Linotype" w:cs="Palatino Linotype" w:eastAsia="Palatino Linotype" w:hAnsi="Palatino Linotype"/>
          <w:b w:val="1"/>
          <w:bCs w:val="1"/>
          <w:sz w:val="22"/>
          <w:szCs w:val="22"/>
          <w:rtl w:val="0"/>
        </w:rPr>
        <w:t xml:space="preserve">Sujeto Obligado</w:t>
      </w:r>
      <w:r w:rsidDel="00000000" w:rsidR="00000000" w:rsidRPr="00000000">
        <w:rPr>
          <w:rFonts w:ascii="Palatino Linotype" w:cs="Palatino Linotype" w:eastAsia="Palatino Linotype" w:hAnsi="Palatino Linotype"/>
          <w:sz w:val="22"/>
          <w:szCs w:val="22"/>
          <w:rtl w:val="0"/>
        </w:rPr>
        <w:t xml:space="preserve"> derivado del ejercicio de sus atribuciones, tal como quedo acotado en el cuerpo de la presente Resolución, también contienen los datos personales de servidores públicos, que de hacerse públicos afectarían su intimidad y vida privada; es por ello que es criterio reiterado en las resoluciones de este Pleno que, además de los datos especificados en la Ley de Transparencia y Acceso a la Información Pública del Estado de México y Municipios, se consideran confidenciales y por tanto deben testarse al momento de la elaboración de versiones públicas el </w:t>
      </w:r>
      <w:r w:rsidDel="00000000" w:rsidR="00000000" w:rsidRPr="00000000">
        <w:rPr>
          <w:rFonts w:ascii="Palatino Linotype" w:cs="Palatino Linotype" w:eastAsia="Palatino Linotype" w:hAnsi="Palatino Linotype"/>
          <w:b w:val="1"/>
          <w:bCs w:val="1"/>
          <w:sz w:val="22"/>
          <w:szCs w:val="22"/>
          <w:rtl w:val="0"/>
        </w:rPr>
        <w:t xml:space="preserve">Registro Federal de Contribuyentes</w:t>
      </w:r>
      <w:r w:rsidDel="00000000" w:rsidR="00000000" w:rsidRPr="00000000">
        <w:rPr>
          <w:rFonts w:ascii="Palatino Linotype" w:cs="Palatino Linotype" w:eastAsia="Palatino Linotype" w:hAnsi="Palatino Linotype"/>
          <w:sz w:val="22"/>
          <w:szCs w:val="22"/>
          <w:rtl w:val="0"/>
        </w:rPr>
        <w:t xml:space="preserve"> (RFC), la </w:t>
      </w:r>
      <w:r w:rsidDel="00000000" w:rsidR="00000000" w:rsidRPr="00000000">
        <w:rPr>
          <w:rFonts w:ascii="Palatino Linotype" w:cs="Palatino Linotype" w:eastAsia="Palatino Linotype" w:hAnsi="Palatino Linotype"/>
          <w:b w:val="1"/>
          <w:bCs w:val="1"/>
          <w:sz w:val="22"/>
          <w:szCs w:val="22"/>
          <w:rtl w:val="0"/>
        </w:rPr>
        <w:t xml:space="preserve">Clave Única de Registro de Población</w:t>
      </w:r>
      <w:r w:rsidDel="00000000" w:rsidR="00000000" w:rsidRPr="00000000">
        <w:rPr>
          <w:rFonts w:ascii="Palatino Linotype" w:cs="Palatino Linotype" w:eastAsia="Palatino Linotype" w:hAnsi="Palatino Linotype"/>
          <w:sz w:val="22"/>
          <w:szCs w:val="22"/>
          <w:rtl w:val="0"/>
        </w:rPr>
        <w:t xml:space="preserve"> (CURP), la </w:t>
      </w:r>
      <w:r w:rsidDel="00000000" w:rsidR="00000000" w:rsidRPr="00000000">
        <w:rPr>
          <w:rFonts w:ascii="Palatino Linotype" w:cs="Palatino Linotype" w:eastAsia="Palatino Linotype" w:hAnsi="Palatino Linotype"/>
          <w:b w:val="1"/>
          <w:bCs w:val="1"/>
          <w:sz w:val="22"/>
          <w:szCs w:val="22"/>
          <w:rtl w:val="0"/>
        </w:rPr>
        <w:t xml:space="preserve">Clave de cualquier tipo de seguridad social</w:t>
      </w:r>
      <w:r w:rsidDel="00000000" w:rsidR="00000000" w:rsidRPr="00000000">
        <w:rPr>
          <w:rFonts w:ascii="Palatino Linotype" w:cs="Palatino Linotype" w:eastAsia="Palatino Linotype" w:hAnsi="Palatino Linotype"/>
          <w:sz w:val="22"/>
          <w:szCs w:val="22"/>
          <w:rtl w:val="0"/>
        </w:rPr>
        <w:t xml:space="preserve"> (ISSEMYM, u otros), los </w:t>
      </w:r>
      <w:r w:rsidDel="00000000" w:rsidR="00000000" w:rsidRPr="00000000">
        <w:rPr>
          <w:rFonts w:ascii="Palatino Linotype" w:cs="Palatino Linotype" w:eastAsia="Palatino Linotype" w:hAnsi="Palatino Linotype"/>
          <w:b w:val="1"/>
          <w:bCs w:val="1"/>
          <w:sz w:val="22"/>
          <w:szCs w:val="22"/>
          <w:rtl w:val="0"/>
        </w:rPr>
        <w:t xml:space="preserve">números de cuentas bancarias</w:t>
      </w:r>
      <w:r w:rsidDel="00000000" w:rsidR="00000000" w:rsidRPr="00000000">
        <w:rPr>
          <w:rFonts w:ascii="Palatino Linotype" w:cs="Palatino Linotype" w:eastAsia="Palatino Linotype" w:hAnsi="Palatino Linotype"/>
          <w:sz w:val="22"/>
          <w:szCs w:val="22"/>
          <w:rtl w:val="0"/>
        </w:rPr>
        <w:t xml:space="preserve">, claves estandarizadas – interbancarias - (CLABES) y de tarjetas, los </w:t>
      </w:r>
      <w:r w:rsidDel="00000000" w:rsidR="00000000" w:rsidRPr="00000000">
        <w:rPr>
          <w:rFonts w:ascii="Palatino Linotype" w:cs="Palatino Linotype" w:eastAsia="Palatino Linotype" w:hAnsi="Palatino Linotype"/>
          <w:b w:val="1"/>
          <w:bCs w:val="1"/>
          <w:sz w:val="22"/>
          <w:szCs w:val="22"/>
          <w:rtl w:val="0"/>
        </w:rPr>
        <w:t xml:space="preserve">préstamos o descuentos</w:t>
      </w:r>
      <w:r w:rsidDel="00000000" w:rsidR="00000000" w:rsidRPr="00000000">
        <w:rPr>
          <w:rFonts w:ascii="Palatino Linotype" w:cs="Palatino Linotype" w:eastAsia="Palatino Linotype" w:hAnsi="Palatino Linotype"/>
          <w:sz w:val="22"/>
          <w:szCs w:val="22"/>
          <w:rtl w:val="0"/>
        </w:rPr>
        <w:t xml:space="preserve"> que se le hagan a la persona y que no tengan relación con los impuestos o la cuota por seguridad social, el</w:t>
      </w:r>
      <w:r w:rsidDel="00000000" w:rsidR="00000000" w:rsidRPr="00000000">
        <w:rPr>
          <w:rFonts w:ascii="Palatino Linotype" w:cs="Palatino Linotype" w:eastAsia="Palatino Linotype" w:hAnsi="Palatino Linotype"/>
          <w:b w:val="1"/>
          <w:bCs w:val="1"/>
          <w:sz w:val="22"/>
          <w:szCs w:val="22"/>
          <w:rtl w:val="0"/>
        </w:rPr>
        <w:t xml:space="preserve"> número de empleado, </w:t>
      </w:r>
      <w:r w:rsidDel="00000000" w:rsidR="00000000" w:rsidRPr="00000000">
        <w:rPr>
          <w:rFonts w:ascii="Palatino Linotype" w:cs="Palatino Linotype" w:eastAsia="Palatino Linotype" w:hAnsi="Palatino Linotype"/>
          <w:sz w:val="22"/>
          <w:szCs w:val="22"/>
          <w:rtl w:val="0"/>
        </w:rPr>
        <w:t xml:space="preserve">y, de ser el caso, el </w:t>
      </w:r>
      <w:r w:rsidDel="00000000" w:rsidR="00000000" w:rsidRPr="00000000">
        <w:rPr>
          <w:rFonts w:ascii="Palatino Linotype" w:cs="Palatino Linotype" w:eastAsia="Palatino Linotype" w:hAnsi="Palatino Linotype"/>
          <w:b w:val="1"/>
          <w:bCs w:val="1"/>
          <w:sz w:val="22"/>
          <w:szCs w:val="22"/>
          <w:rtl w:val="0"/>
        </w:rPr>
        <w:t xml:space="preserve">folio fiscal</w:t>
      </w:r>
      <w:r w:rsidDel="00000000" w:rsidR="00000000" w:rsidRPr="00000000">
        <w:rPr>
          <w:rFonts w:ascii="Palatino Linotype" w:cs="Palatino Linotype" w:eastAsia="Palatino Linotype" w:hAnsi="Palatino Linotype"/>
          <w:sz w:val="22"/>
          <w:szCs w:val="22"/>
          <w:rtl w:val="0"/>
        </w:rPr>
        <w:t xml:space="preserve">, la </w:t>
      </w:r>
      <w:r w:rsidDel="00000000" w:rsidR="00000000" w:rsidRPr="00000000">
        <w:rPr>
          <w:rFonts w:ascii="Palatino Linotype" w:cs="Palatino Linotype" w:eastAsia="Palatino Linotype" w:hAnsi="Palatino Linotype"/>
          <w:b w:val="1"/>
          <w:bCs w:val="1"/>
          <w:sz w:val="22"/>
          <w:szCs w:val="22"/>
          <w:rtl w:val="0"/>
        </w:rPr>
        <w:t xml:space="preserve">cadena original, </w:t>
      </w:r>
      <w:r w:rsidDel="00000000" w:rsidR="00000000" w:rsidRPr="00000000">
        <w:rPr>
          <w:rFonts w:ascii="Palatino Linotype" w:cs="Palatino Linotype" w:eastAsia="Palatino Linotype" w:hAnsi="Palatino Linotype"/>
          <w:sz w:val="22"/>
          <w:szCs w:val="22"/>
          <w:rtl w:val="0"/>
        </w:rPr>
        <w:t xml:space="preserve">los</w:t>
      </w:r>
      <w:r w:rsidDel="00000000" w:rsidR="00000000" w:rsidRPr="00000000">
        <w:rPr>
          <w:rFonts w:ascii="Palatino Linotype" w:cs="Palatino Linotype" w:eastAsia="Palatino Linotype" w:hAnsi="Palatino Linotype"/>
          <w:b w:val="1"/>
          <w:bCs w:val="1"/>
          <w:sz w:val="22"/>
          <w:szCs w:val="22"/>
          <w:rtl w:val="0"/>
        </w:rPr>
        <w:t xml:space="preserve"> códigos bidimensionales o códigos QR,</w:t>
      </w:r>
      <w:r w:rsidDel="00000000" w:rsidR="00000000" w:rsidRPr="00000000">
        <w:rPr>
          <w:rFonts w:ascii="Palatino Linotype" w:cs="Palatino Linotype" w:eastAsia="Palatino Linotype" w:hAnsi="Palatino Linotype"/>
          <w:sz w:val="22"/>
          <w:szCs w:val="22"/>
          <w:rtl w:val="0"/>
        </w:rPr>
        <w:t xml:space="preserve"> y cualquier información de carácter fiscal.</w:t>
      </w:r>
    </w:p>
    <w:p w:rsidR="00000000" w:rsidDel="00000000" w:rsidP="00000000" w:rsidRDefault="00000000" w:rsidRPr="00000000" w14:paraId="000000C8">
      <w:pPr>
        <w:spacing w:after="240" w:before="240" w:line="360" w:lineRule="auto"/>
        <w:ind w:right="50"/>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Datos que deberá clasificar como confidenciales por tratarse precisamente de información privada, puesto que los datos personales son irrenunciables, intransferibles e indelegables y los Sujetos Obligados no deberán hacer entrega de los mismos a personas ajenas a su titular.</w:t>
      </w:r>
    </w:p>
    <w:p w:rsidR="00000000" w:rsidDel="00000000" w:rsidP="00000000" w:rsidRDefault="00000000" w:rsidRPr="00000000" w14:paraId="000000C9">
      <w:pPr>
        <w:spacing w:after="240" w:before="240"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Por cuanto hace al </w:t>
      </w:r>
      <w:r w:rsidDel="00000000" w:rsidR="00000000" w:rsidRPr="00000000">
        <w:rPr>
          <w:rFonts w:ascii="Palatino Linotype" w:cs="Palatino Linotype" w:eastAsia="Palatino Linotype" w:hAnsi="Palatino Linotype"/>
          <w:b w:val="1"/>
          <w:bCs w:val="1"/>
          <w:sz w:val="22"/>
          <w:szCs w:val="22"/>
          <w:rtl w:val="0"/>
        </w:rPr>
        <w:t xml:space="preserve">Registro Federal de Contribuyentes, RFC,</w:t>
      </w:r>
      <w:r w:rsidDel="00000000" w:rsidR="00000000" w:rsidRPr="00000000">
        <w:rPr>
          <w:rFonts w:ascii="Palatino Linotype" w:cs="Palatino Linotype" w:eastAsia="Palatino Linotype" w:hAnsi="Palatino Linotype"/>
          <w:sz w:val="22"/>
          <w:szCs w:val="22"/>
          <w:rtl w:val="0"/>
        </w:rPr>
        <w:t xml:space="preserve"> de las personas físicas, constituye un dato personal, pues se genera con caracteres alfanuméricos a partir del nombre y la fecha de nacimiento de cada persona, y finalmente la homoclave, por lo que para su obtención es necesario acreditar ante la autoridad fiscal previamente la identidad de la persona, su fecha de nacimiento, entre otros aspectos.</w:t>
      </w:r>
    </w:p>
    <w:p w:rsidR="00000000" w:rsidDel="00000000" w:rsidP="00000000" w:rsidRDefault="00000000" w:rsidRPr="00000000" w14:paraId="000000CA">
      <w:pPr>
        <w:spacing w:after="240" w:before="240"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Ahora bien, las personas físicas tramitan su inscripción en el registro con el propósito de realizar —mediante esa clave de identificación— operaciones o actividades de naturaleza fiscal, la cual, les permite hacerse identificables respecto de una situación fiscal determinada.</w:t>
      </w:r>
    </w:p>
    <w:p w:rsidR="00000000" w:rsidDel="00000000" w:rsidP="00000000" w:rsidRDefault="00000000" w:rsidRPr="00000000" w14:paraId="000000CB">
      <w:pPr>
        <w:spacing w:after="240" w:before="240"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Lo anterior fue compartido por el entonces Instituto Nacional de Transparencia, Acceso a la Información y Protección de Datos Personales, INAI, a través del Criterio orientador con clave de control SO/019/2017, el cual es del tenor literal siguiente:</w:t>
      </w:r>
    </w:p>
    <w:p w:rsidR="00000000" w:rsidDel="00000000" w:rsidP="00000000" w:rsidRDefault="00000000" w:rsidRPr="00000000" w14:paraId="000000CC">
      <w:pPr>
        <w:spacing w:after="200" w:line="276" w:lineRule="auto"/>
        <w:ind w:left="851"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w:t>
      </w:r>
      <w:r w:rsidDel="00000000" w:rsidR="00000000" w:rsidRPr="00000000">
        <w:rPr>
          <w:rFonts w:ascii="Palatino Linotype" w:cs="Palatino Linotype" w:eastAsia="Palatino Linotype" w:hAnsi="Palatino Linotype"/>
          <w:b w:val="1"/>
          <w:bCs w:val="1"/>
          <w:i w:val="1"/>
          <w:iCs w:val="1"/>
          <w:sz w:val="22"/>
          <w:szCs w:val="22"/>
          <w:rtl w:val="0"/>
        </w:rPr>
        <w:t xml:space="preserve">Registro Federal de Contribuyentes (RFC) de personas físicas</w:t>
      </w:r>
      <w:r w:rsidDel="00000000" w:rsidR="00000000" w:rsidRPr="00000000">
        <w:rPr>
          <w:rFonts w:ascii="Palatino Linotype" w:cs="Palatino Linotype" w:eastAsia="Palatino Linotype" w:hAnsi="Palatino Linotype"/>
          <w:i w:val="1"/>
          <w:iCs w:val="1"/>
          <w:sz w:val="22"/>
          <w:szCs w:val="22"/>
          <w:rtl w:val="0"/>
        </w:rPr>
        <w:t xml:space="preserve">. El RFC es una clave de carácter fiscal, única e irrepetible, que permite identificar al titular, su edad y fecha de nacimiento, por lo que es un dato personal de carácter confidencial.”</w:t>
      </w:r>
    </w:p>
    <w:p w:rsidR="00000000" w:rsidDel="00000000" w:rsidP="00000000" w:rsidRDefault="00000000" w:rsidRPr="00000000" w14:paraId="000000CD">
      <w:pPr>
        <w:pBdr>
          <w:top w:space="0" w:sz="0" w:val="nil"/>
          <w:left w:space="0" w:sz="0" w:val="nil"/>
          <w:bottom w:space="0" w:sz="0" w:val="nil"/>
          <w:right w:space="0" w:sz="0" w:val="nil"/>
          <w:between w:space="0" w:sz="0" w:val="nil"/>
        </w:pBdr>
        <w:spacing w:after="240" w:before="240"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Así, el Registro Federal de Contribuyentes, RFC, se vincula al nombre de su titular y permite identificar la edad de la persona, su fecha de nacimiento, así como su homoclave, la cual es única e irrepetible y determina la identificación de dicha persona para efectos fiscales, por lo que constituye un dato personal que concierne a una persona física identificada e identificable en términos de los artículos 3, fracción IX de la Ley de Transparencia y Acceso a la Información Pública del Estado de México y Municipios, y  4 fracciones XI y XII de la Ley de Protección de Datos Personales en Posesión de los Sujetos Obligados del Estado de México y Municipios.</w:t>
      </w:r>
    </w:p>
    <w:p w:rsidR="00000000" w:rsidDel="00000000" w:rsidP="00000000" w:rsidRDefault="00000000" w:rsidRPr="00000000" w14:paraId="000000CE">
      <w:pPr>
        <w:pBdr>
          <w:top w:space="0" w:sz="0" w:val="nil"/>
          <w:left w:space="0" w:sz="0" w:val="nil"/>
          <w:bottom w:space="0" w:sz="0" w:val="nil"/>
          <w:right w:space="0" w:sz="0" w:val="nil"/>
          <w:between w:space="0" w:sz="0" w:val="nil"/>
        </w:pBdr>
        <w:spacing w:after="240" w:before="240" w:line="360" w:lineRule="auto"/>
        <w:jc w:val="both"/>
        <w:rPr>
          <w:rFonts w:ascii="Palatino Linotype" w:cs="Palatino Linotype" w:eastAsia="Palatino Linotype" w:hAnsi="Palatino Linotype"/>
          <w:sz w:val="22"/>
          <w:szCs w:val="22"/>
        </w:rPr>
      </w:pPr>
      <w:bookmarkStart w:colFirst="0" w:colLast="0" w:name="_heading=h.44sinio" w:id="8"/>
      <w:bookmarkEnd w:id="8"/>
      <w:r w:rsidDel="00000000" w:rsidR="00000000" w:rsidRPr="00000000">
        <w:rPr>
          <w:rFonts w:ascii="Palatino Linotype" w:cs="Palatino Linotype" w:eastAsia="Palatino Linotype" w:hAnsi="Palatino Linotype"/>
          <w:sz w:val="22"/>
          <w:szCs w:val="22"/>
          <w:rtl w:val="0"/>
        </w:rPr>
        <w:t xml:space="preserve">De igual manera la </w:t>
      </w:r>
      <w:r w:rsidDel="00000000" w:rsidR="00000000" w:rsidRPr="00000000">
        <w:rPr>
          <w:rFonts w:ascii="Palatino Linotype" w:cs="Palatino Linotype" w:eastAsia="Palatino Linotype" w:hAnsi="Palatino Linotype"/>
          <w:b w:val="1"/>
          <w:bCs w:val="1"/>
          <w:sz w:val="22"/>
          <w:szCs w:val="22"/>
          <w:rtl w:val="0"/>
        </w:rPr>
        <w:t xml:space="preserve">Clave Única de Registro de Población</w:t>
      </w:r>
      <w:r w:rsidDel="00000000" w:rsidR="00000000" w:rsidRPr="00000000">
        <w:rPr>
          <w:rFonts w:ascii="Palatino Linotype" w:cs="Palatino Linotype" w:eastAsia="Palatino Linotype" w:hAnsi="Palatino Linotype"/>
          <w:sz w:val="22"/>
          <w:szCs w:val="22"/>
          <w:rtl w:val="0"/>
        </w:rPr>
        <w:t xml:space="preserve">, </w:t>
      </w:r>
      <w:r w:rsidDel="00000000" w:rsidR="00000000" w:rsidRPr="00000000">
        <w:rPr>
          <w:rFonts w:ascii="Palatino Linotype" w:cs="Palatino Linotype" w:eastAsia="Palatino Linotype" w:hAnsi="Palatino Linotype"/>
          <w:b w:val="1"/>
          <w:bCs w:val="1"/>
          <w:sz w:val="22"/>
          <w:szCs w:val="22"/>
          <w:rtl w:val="0"/>
        </w:rPr>
        <w:t xml:space="preserve">CURP,</w:t>
      </w:r>
      <w:r w:rsidDel="00000000" w:rsidR="00000000" w:rsidRPr="00000000">
        <w:rPr>
          <w:rFonts w:ascii="Palatino Linotype" w:cs="Palatino Linotype" w:eastAsia="Palatino Linotype" w:hAnsi="Palatino Linotype"/>
          <w:sz w:val="22"/>
          <w:szCs w:val="22"/>
          <w:rtl w:val="0"/>
        </w:rPr>
        <w:t xml:space="preserve"> constituye un dato personal, ya que tiene como finalidad registrar a cada una de las personas que integran la población del país, con datos que permitan certificar y acreditar fehacientemente su identidad, en virtud de que se integra por datos personales que únicamente le conciernen a un particular como son su fecha de nacimiento, su nombre, sus apellidos y su lugar de nacimiento; información que permite distinguirlo del resto de los habitantes, por tal motivo, se considera que es de carácter confidencial.</w:t>
      </w:r>
    </w:p>
    <w:p w:rsidR="00000000" w:rsidDel="00000000" w:rsidP="00000000" w:rsidRDefault="00000000" w:rsidRPr="00000000" w14:paraId="000000CF">
      <w:pPr>
        <w:pBdr>
          <w:top w:space="0" w:sz="0" w:val="nil"/>
          <w:left w:space="0" w:sz="0" w:val="nil"/>
          <w:bottom w:space="0" w:sz="0" w:val="nil"/>
          <w:right w:space="0" w:sz="0" w:val="nil"/>
          <w:between w:space="0" w:sz="0" w:val="nil"/>
        </w:pBdr>
        <w:spacing w:after="240" w:before="240"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Argumento que era compartido por el entonces Instituto Nacional de Transparencia, Acceso a la Información y Protección de Datos Personales, INAI, conforme al Criterio de orientador con Clave de control SO/018/2017, el cual refiere:</w:t>
      </w:r>
    </w:p>
    <w:p w:rsidR="00000000" w:rsidDel="00000000" w:rsidP="00000000" w:rsidRDefault="00000000" w:rsidRPr="00000000" w14:paraId="000000D0">
      <w:pPr>
        <w:spacing w:after="200" w:line="276" w:lineRule="auto"/>
        <w:ind w:left="851"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 “Clave Única de Registro de Población (CURP). </w:t>
      </w:r>
      <w:r w:rsidDel="00000000" w:rsidR="00000000" w:rsidRPr="00000000">
        <w:rPr>
          <w:rFonts w:ascii="Palatino Linotype" w:cs="Palatino Linotype" w:eastAsia="Palatino Linotype" w:hAnsi="Palatino Linotype"/>
          <w:i w:val="1"/>
          <w:iCs w:val="1"/>
          <w:sz w:val="22"/>
          <w:szCs w:val="22"/>
          <w:rtl w:val="0"/>
        </w:rPr>
        <w:t xml:space="preserve">La Clave Única de Registro de Población se integra por datos personales que sólo conciernen al particular titular de la misma, como lo son su nombre, apellidos, fecha de nacimiento, lugar de nacimiento y sexo. Dichos datos, constituyen información que distingue plenamente a una persona física del resto de los habitantes del país, por lo que la CURP está considerada como información confidencial.”</w:t>
      </w:r>
    </w:p>
    <w:p w:rsidR="00000000" w:rsidDel="00000000" w:rsidP="00000000" w:rsidRDefault="00000000" w:rsidRPr="00000000" w14:paraId="000000D1">
      <w:pPr>
        <w:spacing w:after="240" w:before="240"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Por lo que respecta a la </w:t>
      </w:r>
      <w:r w:rsidDel="00000000" w:rsidR="00000000" w:rsidRPr="00000000">
        <w:rPr>
          <w:rFonts w:ascii="Palatino Linotype" w:cs="Palatino Linotype" w:eastAsia="Palatino Linotype" w:hAnsi="Palatino Linotype"/>
          <w:b w:val="1"/>
          <w:bCs w:val="1"/>
          <w:sz w:val="22"/>
          <w:szCs w:val="22"/>
          <w:rtl w:val="0"/>
        </w:rPr>
        <w:t xml:space="preserve">clave de seguridad social</w:t>
      </w:r>
      <w:r w:rsidDel="00000000" w:rsidR="00000000" w:rsidRPr="00000000">
        <w:rPr>
          <w:rFonts w:ascii="Palatino Linotype" w:cs="Palatino Linotype" w:eastAsia="Palatino Linotype" w:hAnsi="Palatino Linotype"/>
          <w:sz w:val="22"/>
          <w:szCs w:val="22"/>
          <w:rtl w:val="0"/>
        </w:rPr>
        <w:t xml:space="preserve">, en virtud de que su divulgación no aporta a la transparencia o a la rendición de cuentas y sí provoca una transgresión a la vida privada e intimidad de la persona, esta información también resulta ser de carácter confidencial.</w:t>
      </w:r>
    </w:p>
    <w:p w:rsidR="00000000" w:rsidDel="00000000" w:rsidP="00000000" w:rsidRDefault="00000000" w:rsidRPr="00000000" w14:paraId="000000D2">
      <w:pPr>
        <w:spacing w:after="240" w:before="240"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Respecto de los </w:t>
      </w:r>
      <w:r w:rsidDel="00000000" w:rsidR="00000000" w:rsidRPr="00000000">
        <w:rPr>
          <w:rFonts w:ascii="Palatino Linotype" w:cs="Palatino Linotype" w:eastAsia="Palatino Linotype" w:hAnsi="Palatino Linotype"/>
          <w:b w:val="1"/>
          <w:bCs w:val="1"/>
          <w:sz w:val="22"/>
          <w:szCs w:val="22"/>
          <w:rtl w:val="0"/>
        </w:rPr>
        <w:t xml:space="preserve">números de cuentas bancari</w:t>
      </w:r>
      <w:r w:rsidDel="00000000" w:rsidR="00000000" w:rsidRPr="00000000">
        <w:rPr>
          <w:rFonts w:ascii="Palatino Linotype" w:cs="Palatino Linotype" w:eastAsia="Palatino Linotype" w:hAnsi="Palatino Linotype"/>
          <w:sz w:val="22"/>
          <w:szCs w:val="22"/>
          <w:rtl w:val="0"/>
        </w:rPr>
        <w:t xml:space="preserve">as, </w:t>
      </w:r>
      <w:r w:rsidDel="00000000" w:rsidR="00000000" w:rsidRPr="00000000">
        <w:rPr>
          <w:rFonts w:ascii="Palatino Linotype" w:cs="Palatino Linotype" w:eastAsia="Palatino Linotype" w:hAnsi="Palatino Linotype"/>
          <w:b w:val="1"/>
          <w:bCs w:val="1"/>
          <w:sz w:val="22"/>
          <w:szCs w:val="22"/>
          <w:rtl w:val="0"/>
        </w:rPr>
        <w:t xml:space="preserve">claves estandarizadas –interbancarias- (CLABES) y de tarjetas</w:t>
      </w:r>
      <w:r w:rsidDel="00000000" w:rsidR="00000000" w:rsidRPr="00000000">
        <w:rPr>
          <w:rFonts w:ascii="Palatino Linotype" w:cs="Palatino Linotype" w:eastAsia="Palatino Linotype" w:hAnsi="Palatino Linotype"/>
          <w:sz w:val="22"/>
          <w:szCs w:val="22"/>
          <w:rtl w:val="0"/>
        </w:rPr>
        <w:t xml:space="preserve">, el Pleno de este Instituto ha determinado que esa información debe clasificarse como confidencial, y elaborarse una versión pública en la que se teste la misma.</w:t>
      </w:r>
    </w:p>
    <w:p w:rsidR="00000000" w:rsidDel="00000000" w:rsidP="00000000" w:rsidRDefault="00000000" w:rsidRPr="00000000" w14:paraId="000000D3">
      <w:pPr>
        <w:spacing w:after="240" w:before="240"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Igualmente, resulta importante destacar que el número de cuenta bancaria de las personas físicas es información que sólo su titular o personas autorizadas poseen para el acceso o consulta de información patrimonial, o para la realización de operaciones bancarias de diversa naturaleza, por lo que la difusión pública del mismo facilitaría la afectación al patrimonio del titular de la cuenta.</w:t>
      </w:r>
    </w:p>
    <w:p w:rsidR="00000000" w:rsidDel="00000000" w:rsidP="00000000" w:rsidRDefault="00000000" w:rsidRPr="00000000" w14:paraId="000000D4">
      <w:pPr>
        <w:spacing w:after="240" w:before="240"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Por lo anterior, el número de cuenta bancaria debe ser clasificado como confidencial con fundamento en las fracciones I y II del artículo 143 de la Ley de la Materia vigente en la Entidad; en razón de que con su difusión se estaría poniendo en riesgo la seguridad de su titular.</w:t>
      </w:r>
    </w:p>
    <w:p w:rsidR="00000000" w:rsidDel="00000000" w:rsidP="00000000" w:rsidRDefault="00000000" w:rsidRPr="00000000" w14:paraId="000000D5">
      <w:pPr>
        <w:pBdr>
          <w:top w:space="0" w:sz="0" w:val="nil"/>
          <w:left w:space="0" w:sz="0" w:val="nil"/>
          <w:bottom w:space="0" w:sz="0" w:val="nil"/>
          <w:right w:space="0" w:sz="0" w:val="nil"/>
          <w:between w:space="0" w:sz="0" w:val="nil"/>
        </w:pBdr>
        <w:spacing w:after="240" w:before="240"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En esa virtud, este Pleno determina que dicha información no puede ser del dominio público, toda vez que se podría dar un uso inadecuado a la misma o cometer algún ilícito o fraude como ya ha sido expuesto. </w:t>
      </w:r>
    </w:p>
    <w:p w:rsidR="00000000" w:rsidDel="00000000" w:rsidP="00000000" w:rsidRDefault="00000000" w:rsidRPr="00000000" w14:paraId="000000D6">
      <w:pPr>
        <w:spacing w:after="240" w:before="240"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Lo anterior no es así tratándose de las cuentas bancarias o claves interbancarias de los Sujetos Obligados ya que su publicidad cede a la rendición de cuentas al transparentar la forma en que son administrados los recursos públicos.</w:t>
      </w:r>
    </w:p>
    <w:p w:rsidR="00000000" w:rsidDel="00000000" w:rsidP="00000000" w:rsidRDefault="00000000" w:rsidRPr="00000000" w14:paraId="000000D7">
      <w:pPr>
        <w:spacing w:after="240" w:before="240"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Lo argumentado encuentra sustento en los Criterios orientadores con Clave de control SO/010/2017 y SO/011/2017, emitidos por el entonces Instituto Nacional de Transparencia, Acceso a la Información y Protección de Datos Personales, que llevan por rubro y texto los siguientes:</w:t>
      </w:r>
    </w:p>
    <w:p w:rsidR="00000000" w:rsidDel="00000000" w:rsidP="00000000" w:rsidRDefault="00000000" w:rsidRPr="00000000" w14:paraId="000000D8">
      <w:pPr>
        <w:spacing w:after="240" w:before="240" w:line="276" w:lineRule="auto"/>
        <w:ind w:left="851"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w:t>
      </w:r>
      <w:r w:rsidDel="00000000" w:rsidR="00000000" w:rsidRPr="00000000">
        <w:rPr>
          <w:rFonts w:ascii="Palatino Linotype" w:cs="Palatino Linotype" w:eastAsia="Palatino Linotype" w:hAnsi="Palatino Linotype"/>
          <w:b w:val="1"/>
          <w:bCs w:val="1"/>
          <w:i w:val="1"/>
          <w:iCs w:val="1"/>
          <w:sz w:val="22"/>
          <w:szCs w:val="22"/>
          <w:rtl w:val="0"/>
        </w:rPr>
        <w:t xml:space="preserve">Cuentas bancarias y/o CLABE interbancaria de personas físicas y morales privadas.</w:t>
      </w:r>
      <w:r w:rsidDel="00000000" w:rsidR="00000000" w:rsidRPr="00000000">
        <w:rPr>
          <w:rFonts w:ascii="Palatino Linotype" w:cs="Palatino Linotype" w:eastAsia="Palatino Linotype" w:hAnsi="Palatino Linotype"/>
          <w:i w:val="1"/>
          <w:iCs w:val="1"/>
          <w:sz w:val="22"/>
          <w:szCs w:val="22"/>
          <w:rtl w:val="0"/>
        </w:rPr>
        <w:t xml:space="preserve"> El número de cuenta bancaria y/o CLABE interbancaria de particulares es información confidencial, al tratarse de un conjunto de caracteres numéricos utilizados por los grupos financieros para identificar las cuentas de sus clientes, a través de los cuales se puede acceder a información relacionada con su patrimonio y realizar diversas transacciones; por tanto, constituye información clasificada con fundamento en los artículos 116 de la Ley General de Transparencia y Acceso a la Información Pública y 113 de la Ley Federal de Transparencia y Acceso a la Información Pública.”</w:t>
      </w:r>
    </w:p>
    <w:p w:rsidR="00000000" w:rsidDel="00000000" w:rsidP="00000000" w:rsidRDefault="00000000" w:rsidRPr="00000000" w14:paraId="000000D9">
      <w:pPr>
        <w:spacing w:after="240" w:before="240" w:line="276" w:lineRule="auto"/>
        <w:ind w:left="851"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“Cuentas bancarias y/o CLABE interbancaria de sujetos obligados que reciben y/o transfieren recursos públicos, son información pública.</w:t>
      </w:r>
      <w:r w:rsidDel="00000000" w:rsidR="00000000" w:rsidRPr="00000000">
        <w:rPr>
          <w:rFonts w:ascii="Palatino Linotype" w:cs="Palatino Linotype" w:eastAsia="Palatino Linotype" w:hAnsi="Palatino Linotype"/>
          <w:i w:val="1"/>
          <w:iCs w:val="1"/>
          <w:sz w:val="22"/>
          <w:szCs w:val="22"/>
          <w:rtl w:val="0"/>
        </w:rPr>
        <w:t xml:space="preserve"> La difusión de las cuentas bancarias y claves interbancarias pertenecientes a un sujeto obligado favorece la rendición de cuentas al transparentar la forma en que se administran los recursos públicos, razón por la cual no pueden considerarse como información clasificada.”</w:t>
      </w:r>
    </w:p>
    <w:p w:rsidR="00000000" w:rsidDel="00000000" w:rsidP="00000000" w:rsidRDefault="00000000" w:rsidRPr="00000000" w14:paraId="000000DA">
      <w:pPr>
        <w:spacing w:after="240" w:before="240" w:line="360" w:lineRule="auto"/>
        <w:jc w:val="both"/>
        <w:rPr>
          <w:rFonts w:ascii="Palatino Linotype" w:cs="Palatino Linotype" w:eastAsia="Palatino Linotype" w:hAnsi="Palatino Linotype"/>
          <w:sz w:val="22"/>
          <w:szCs w:val="22"/>
        </w:rPr>
      </w:pPr>
      <w:bookmarkStart w:colFirst="0" w:colLast="0" w:name="_heading=h.z337ya" w:id="9"/>
      <w:bookmarkEnd w:id="9"/>
      <w:r w:rsidDel="00000000" w:rsidR="00000000" w:rsidRPr="00000000">
        <w:rPr>
          <w:rFonts w:ascii="Palatino Linotype" w:cs="Palatino Linotype" w:eastAsia="Palatino Linotype" w:hAnsi="Palatino Linotype"/>
          <w:sz w:val="22"/>
          <w:szCs w:val="22"/>
          <w:rtl w:val="0"/>
        </w:rPr>
        <w:t xml:space="preserve">Por cuanto hace a los </w:t>
      </w:r>
      <w:r w:rsidDel="00000000" w:rsidR="00000000" w:rsidRPr="00000000">
        <w:rPr>
          <w:rFonts w:ascii="Palatino Linotype" w:cs="Palatino Linotype" w:eastAsia="Palatino Linotype" w:hAnsi="Palatino Linotype"/>
          <w:b w:val="1"/>
          <w:bCs w:val="1"/>
          <w:sz w:val="22"/>
          <w:szCs w:val="22"/>
          <w:rtl w:val="0"/>
        </w:rPr>
        <w:t xml:space="preserve">préstamos o descuentos de carácter personal</w:t>
      </w:r>
      <w:r w:rsidDel="00000000" w:rsidR="00000000" w:rsidRPr="00000000">
        <w:rPr>
          <w:rFonts w:ascii="Palatino Linotype" w:cs="Palatino Linotype" w:eastAsia="Palatino Linotype" w:hAnsi="Palatino Linotype"/>
          <w:sz w:val="22"/>
          <w:szCs w:val="22"/>
          <w:rtl w:val="0"/>
        </w:rPr>
        <w:t xml:space="preserve">, en virtud de no tener relación con la prestación del servicio y al no involucrar instituciones públicas, se consideran datos confidenciales.</w:t>
      </w:r>
    </w:p>
    <w:p w:rsidR="00000000" w:rsidDel="00000000" w:rsidP="00000000" w:rsidRDefault="00000000" w:rsidRPr="00000000" w14:paraId="000000DB">
      <w:pPr>
        <w:spacing w:after="240" w:before="240"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Para entender los límites y alcances de esta restricción, es oportuno recurrir al artículo 84 de la Ley del Trabajo de los Servidores Públicos del Estado y Municipios:</w:t>
      </w:r>
    </w:p>
    <w:p w:rsidR="00000000" w:rsidDel="00000000" w:rsidP="00000000" w:rsidRDefault="00000000" w:rsidRPr="00000000" w14:paraId="000000DC">
      <w:pPr>
        <w:spacing w:after="200" w:line="276" w:lineRule="auto"/>
        <w:ind w:left="851" w:right="616" w:firstLine="0"/>
        <w:jc w:val="both"/>
        <w:rPr>
          <w:rFonts w:ascii="Palatino Linotype" w:cs="Palatino Linotype" w:eastAsia="Palatino Linotype" w:hAnsi="Palatino Linotype"/>
          <w:b w:val="1"/>
          <w:bCs w:val="1"/>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“ARTÍCULO 84. </w:t>
      </w:r>
      <w:r w:rsidDel="00000000" w:rsidR="00000000" w:rsidRPr="00000000">
        <w:rPr>
          <w:rFonts w:ascii="Palatino Linotype" w:cs="Palatino Linotype" w:eastAsia="Palatino Linotype" w:hAnsi="Palatino Linotype"/>
          <w:i w:val="1"/>
          <w:iCs w:val="1"/>
          <w:sz w:val="22"/>
          <w:szCs w:val="22"/>
          <w:rtl w:val="0"/>
        </w:rPr>
        <w:t xml:space="preserve">Sólo podrán hacerse retenciones, descuentos o deducciones al sueldo de los servidores públicos por concepto de:</w:t>
      </w:r>
      <w:r w:rsidDel="00000000" w:rsidR="00000000" w:rsidRPr="00000000">
        <w:rPr>
          <w:rtl w:val="0"/>
        </w:rPr>
      </w:r>
    </w:p>
    <w:p w:rsidR="00000000" w:rsidDel="00000000" w:rsidP="00000000" w:rsidRDefault="00000000" w:rsidRPr="00000000" w14:paraId="000000DD">
      <w:pPr>
        <w:spacing w:after="200" w:line="276" w:lineRule="auto"/>
        <w:ind w:left="851"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I.</w:t>
      </w:r>
      <w:r w:rsidDel="00000000" w:rsidR="00000000" w:rsidRPr="00000000">
        <w:rPr>
          <w:rFonts w:ascii="Palatino Linotype" w:cs="Palatino Linotype" w:eastAsia="Palatino Linotype" w:hAnsi="Palatino Linotype"/>
          <w:i w:val="1"/>
          <w:iCs w:val="1"/>
          <w:sz w:val="22"/>
          <w:szCs w:val="22"/>
          <w:rtl w:val="0"/>
        </w:rPr>
        <w:t xml:space="preserve"> Gravámenes fiscales relacionados con el sueldo;</w:t>
      </w:r>
    </w:p>
    <w:p w:rsidR="00000000" w:rsidDel="00000000" w:rsidP="00000000" w:rsidRDefault="00000000" w:rsidRPr="00000000" w14:paraId="000000DE">
      <w:pPr>
        <w:spacing w:after="200" w:line="276" w:lineRule="auto"/>
        <w:ind w:left="851"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II.</w:t>
      </w:r>
      <w:r w:rsidDel="00000000" w:rsidR="00000000" w:rsidRPr="00000000">
        <w:rPr>
          <w:rFonts w:ascii="Palatino Linotype" w:cs="Palatino Linotype" w:eastAsia="Palatino Linotype" w:hAnsi="Palatino Linotype"/>
          <w:i w:val="1"/>
          <w:iCs w:val="1"/>
          <w:sz w:val="22"/>
          <w:szCs w:val="22"/>
          <w:rtl w:val="0"/>
        </w:rPr>
        <w:t xml:space="preserve"> Deudas contraídas con las instituciones públicas o dependencias por concepto de anticipos de sueldo, pagos hechos con exceso, errores o pérdidas debidamente comprobados;</w:t>
      </w:r>
    </w:p>
    <w:p w:rsidR="00000000" w:rsidDel="00000000" w:rsidP="00000000" w:rsidRDefault="00000000" w:rsidRPr="00000000" w14:paraId="000000DF">
      <w:pPr>
        <w:spacing w:after="200" w:line="276" w:lineRule="auto"/>
        <w:ind w:left="851"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III.</w:t>
      </w:r>
      <w:r w:rsidDel="00000000" w:rsidR="00000000" w:rsidRPr="00000000">
        <w:rPr>
          <w:rFonts w:ascii="Palatino Linotype" w:cs="Palatino Linotype" w:eastAsia="Palatino Linotype" w:hAnsi="Palatino Linotype"/>
          <w:i w:val="1"/>
          <w:iCs w:val="1"/>
          <w:sz w:val="22"/>
          <w:szCs w:val="22"/>
          <w:rtl w:val="0"/>
        </w:rPr>
        <w:t xml:space="preserve"> </w:t>
      </w:r>
      <w:r w:rsidDel="00000000" w:rsidR="00000000" w:rsidRPr="00000000">
        <w:rPr>
          <w:rFonts w:ascii="Palatino Linotype" w:cs="Palatino Linotype" w:eastAsia="Palatino Linotype" w:hAnsi="Palatino Linotype"/>
          <w:b w:val="1"/>
          <w:bCs w:val="1"/>
          <w:i w:val="1"/>
          <w:iCs w:val="1"/>
          <w:sz w:val="22"/>
          <w:szCs w:val="22"/>
          <w:rtl w:val="0"/>
        </w:rPr>
        <w:t xml:space="preserve">Cuotas sindicales</w:t>
      </w:r>
      <w:r w:rsidDel="00000000" w:rsidR="00000000" w:rsidRPr="00000000">
        <w:rPr>
          <w:rFonts w:ascii="Palatino Linotype" w:cs="Palatino Linotype" w:eastAsia="Palatino Linotype" w:hAnsi="Palatino Linotype"/>
          <w:i w:val="1"/>
          <w:iCs w:val="1"/>
          <w:sz w:val="22"/>
          <w:szCs w:val="22"/>
          <w:rtl w:val="0"/>
        </w:rPr>
        <w:t xml:space="preserve">;</w:t>
      </w:r>
    </w:p>
    <w:p w:rsidR="00000000" w:rsidDel="00000000" w:rsidP="00000000" w:rsidRDefault="00000000" w:rsidRPr="00000000" w14:paraId="000000E0">
      <w:pPr>
        <w:spacing w:after="200" w:line="276" w:lineRule="auto"/>
        <w:ind w:left="851"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IV.</w:t>
      </w:r>
      <w:r w:rsidDel="00000000" w:rsidR="00000000" w:rsidRPr="00000000">
        <w:rPr>
          <w:rFonts w:ascii="Palatino Linotype" w:cs="Palatino Linotype" w:eastAsia="Palatino Linotype" w:hAnsi="Palatino Linotype"/>
          <w:i w:val="1"/>
          <w:iCs w:val="1"/>
          <w:sz w:val="22"/>
          <w:szCs w:val="22"/>
          <w:rtl w:val="0"/>
        </w:rPr>
        <w:t xml:space="preserve"> Cuotas de aportación a fondos para la constitución de cooperativas y de cajas de ahorro, siempre que el servidor público hubiese manifestado previamente, de manera expresa, su conformidad;</w:t>
      </w:r>
    </w:p>
    <w:p w:rsidR="00000000" w:rsidDel="00000000" w:rsidP="00000000" w:rsidRDefault="00000000" w:rsidRPr="00000000" w14:paraId="000000E1">
      <w:pPr>
        <w:spacing w:after="200" w:line="276" w:lineRule="auto"/>
        <w:ind w:left="851"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V.</w:t>
      </w:r>
      <w:r w:rsidDel="00000000" w:rsidR="00000000" w:rsidRPr="00000000">
        <w:rPr>
          <w:rFonts w:ascii="Palatino Linotype" w:cs="Palatino Linotype" w:eastAsia="Palatino Linotype" w:hAnsi="Palatino Linotype"/>
          <w:i w:val="1"/>
          <w:iCs w:val="1"/>
          <w:sz w:val="22"/>
          <w:szCs w:val="22"/>
          <w:rtl w:val="0"/>
        </w:rPr>
        <w:t xml:space="preserve"> Descuentos ordenados por el Instituto de Seguridad Social del Estado de México y Municipios, con motivo de cuotas y obligaciones contraídas con éste por los servidores públicos;</w:t>
      </w:r>
    </w:p>
    <w:p w:rsidR="00000000" w:rsidDel="00000000" w:rsidP="00000000" w:rsidRDefault="00000000" w:rsidRPr="00000000" w14:paraId="000000E2">
      <w:pPr>
        <w:spacing w:after="200" w:line="276" w:lineRule="auto"/>
        <w:ind w:left="851"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VI.</w:t>
      </w:r>
      <w:r w:rsidDel="00000000" w:rsidR="00000000" w:rsidRPr="00000000">
        <w:rPr>
          <w:rFonts w:ascii="Palatino Linotype" w:cs="Palatino Linotype" w:eastAsia="Palatino Linotype" w:hAnsi="Palatino Linotype"/>
          <w:i w:val="1"/>
          <w:iCs w:val="1"/>
          <w:sz w:val="22"/>
          <w:szCs w:val="22"/>
          <w:rtl w:val="0"/>
        </w:rPr>
        <w:t xml:space="preserve"> Obligaciones a cargo del servidor público con las que haya consentido, derivadas de la adquisición o del uso de habitaciones consideradas como de interés social;</w:t>
      </w:r>
    </w:p>
    <w:p w:rsidR="00000000" w:rsidDel="00000000" w:rsidP="00000000" w:rsidRDefault="00000000" w:rsidRPr="00000000" w14:paraId="000000E3">
      <w:pPr>
        <w:spacing w:after="200" w:line="276" w:lineRule="auto"/>
        <w:ind w:left="851"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VII.</w:t>
      </w:r>
      <w:r w:rsidDel="00000000" w:rsidR="00000000" w:rsidRPr="00000000">
        <w:rPr>
          <w:rFonts w:ascii="Palatino Linotype" w:cs="Palatino Linotype" w:eastAsia="Palatino Linotype" w:hAnsi="Palatino Linotype"/>
          <w:i w:val="1"/>
          <w:iCs w:val="1"/>
          <w:sz w:val="22"/>
          <w:szCs w:val="22"/>
          <w:rtl w:val="0"/>
        </w:rPr>
        <w:t xml:space="preserve"> Faltas de puntualidad o de asistencia injustificadas;</w:t>
      </w:r>
    </w:p>
    <w:p w:rsidR="00000000" w:rsidDel="00000000" w:rsidP="00000000" w:rsidRDefault="00000000" w:rsidRPr="00000000" w14:paraId="000000E4">
      <w:pPr>
        <w:spacing w:after="200" w:line="276" w:lineRule="auto"/>
        <w:ind w:left="851"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VIII. Pensiones alimenticias ordenadas por la autoridad judicial;</w:t>
      </w:r>
      <w:r w:rsidDel="00000000" w:rsidR="00000000" w:rsidRPr="00000000">
        <w:rPr>
          <w:rFonts w:ascii="Palatino Linotype" w:cs="Palatino Linotype" w:eastAsia="Palatino Linotype" w:hAnsi="Palatino Linotype"/>
          <w:i w:val="1"/>
          <w:iCs w:val="1"/>
          <w:sz w:val="22"/>
          <w:szCs w:val="22"/>
          <w:rtl w:val="0"/>
        </w:rPr>
        <w:t xml:space="preserve"> o</w:t>
      </w:r>
    </w:p>
    <w:p w:rsidR="00000000" w:rsidDel="00000000" w:rsidP="00000000" w:rsidRDefault="00000000" w:rsidRPr="00000000" w14:paraId="000000E5">
      <w:pPr>
        <w:spacing w:after="200" w:line="276" w:lineRule="auto"/>
        <w:ind w:left="851" w:right="616" w:firstLine="0"/>
        <w:jc w:val="both"/>
        <w:rPr>
          <w:rFonts w:ascii="Palatino Linotype" w:cs="Palatino Linotype" w:eastAsia="Palatino Linotype" w:hAnsi="Palatino Linotype"/>
          <w:b w:val="1"/>
          <w:bCs w:val="1"/>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IX. Cualquier otro convenido con instituciones de servicios y aceptado por el servidor público.</w:t>
      </w:r>
    </w:p>
    <w:p w:rsidR="00000000" w:rsidDel="00000000" w:rsidP="00000000" w:rsidRDefault="00000000" w:rsidRPr="00000000" w14:paraId="000000E6">
      <w:pPr>
        <w:spacing w:after="200" w:line="276" w:lineRule="auto"/>
        <w:ind w:left="851"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El monto total de las retenciones, descuentos o deducciones no podrá exceder del 30% de la remuneración total, excepto en los casos a que se refieren las fracciones IV, V y VI de este artículo, en que podrán ser de hasta el 50%, salvo en los casos en que se demuestre que el crédito se concedió con base en los ingresos familiares para hacer posible el derecho constitucional a una vivienda digna, o se refieran a lo establecido en la fracción VIII de este artículo, en que se ajustará a lo determinado por la autoridad judicial.” </w:t>
      </w:r>
    </w:p>
    <w:p w:rsidR="00000000" w:rsidDel="00000000" w:rsidP="00000000" w:rsidRDefault="00000000" w:rsidRPr="00000000" w14:paraId="000000E7">
      <w:pPr>
        <w:spacing w:after="240" w:before="240"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Como se puede observar, el precepto citado establece claramente cuáles son esos descuentos o gravámenes que directamente se relacionan con las obligaciones adquiridas como servidores públicos y aquéllos que únicamente inciden en su vida privada. </w:t>
      </w:r>
    </w:p>
    <w:p w:rsidR="00000000" w:rsidDel="00000000" w:rsidP="00000000" w:rsidRDefault="00000000" w:rsidRPr="00000000" w14:paraId="000000E8">
      <w:pPr>
        <w:spacing w:after="240" w:before="240"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De este modo, los </w:t>
      </w:r>
      <w:r w:rsidDel="00000000" w:rsidR="00000000" w:rsidRPr="00000000">
        <w:rPr>
          <w:rFonts w:ascii="Palatino Linotype" w:cs="Palatino Linotype" w:eastAsia="Palatino Linotype" w:hAnsi="Palatino Linotype"/>
          <w:b w:val="1"/>
          <w:bCs w:val="1"/>
          <w:sz w:val="22"/>
          <w:szCs w:val="22"/>
          <w:rtl w:val="0"/>
        </w:rPr>
        <w:t xml:space="preserve">descuentos o deducciones por cuotas sindicales</w:t>
      </w:r>
      <w:r w:rsidDel="00000000" w:rsidR="00000000" w:rsidRPr="00000000">
        <w:rPr>
          <w:rFonts w:ascii="Palatino Linotype" w:cs="Palatino Linotype" w:eastAsia="Palatino Linotype" w:hAnsi="Palatino Linotype"/>
          <w:sz w:val="22"/>
          <w:szCs w:val="22"/>
          <w:rtl w:val="0"/>
        </w:rPr>
        <w:t xml:space="preserve">, </w:t>
      </w:r>
      <w:r w:rsidDel="00000000" w:rsidR="00000000" w:rsidRPr="00000000">
        <w:rPr>
          <w:rFonts w:ascii="Palatino Linotype" w:cs="Palatino Linotype" w:eastAsia="Palatino Linotype" w:hAnsi="Palatino Linotype"/>
          <w:b w:val="1"/>
          <w:bCs w:val="1"/>
          <w:sz w:val="22"/>
          <w:szCs w:val="22"/>
          <w:rtl w:val="0"/>
        </w:rPr>
        <w:t xml:space="preserve">pensiones alimenticias</w:t>
      </w:r>
      <w:r w:rsidDel="00000000" w:rsidR="00000000" w:rsidRPr="00000000">
        <w:rPr>
          <w:rFonts w:ascii="Palatino Linotype" w:cs="Palatino Linotype" w:eastAsia="Palatino Linotype" w:hAnsi="Palatino Linotype"/>
          <w:sz w:val="22"/>
          <w:szCs w:val="22"/>
          <w:rtl w:val="0"/>
        </w:rPr>
        <w:t xml:space="preserve"> o </w:t>
      </w:r>
      <w:r w:rsidDel="00000000" w:rsidR="00000000" w:rsidRPr="00000000">
        <w:rPr>
          <w:rFonts w:ascii="Palatino Linotype" w:cs="Palatino Linotype" w:eastAsia="Palatino Linotype" w:hAnsi="Palatino Linotype"/>
          <w:b w:val="1"/>
          <w:bCs w:val="1"/>
          <w:sz w:val="22"/>
          <w:szCs w:val="22"/>
          <w:rtl w:val="0"/>
        </w:rPr>
        <w:t xml:space="preserve">créditos adquiridos con instituciones privadas</w:t>
      </w:r>
      <w:r w:rsidDel="00000000" w:rsidR="00000000" w:rsidRPr="00000000">
        <w:rPr>
          <w:rFonts w:ascii="Palatino Linotype" w:cs="Palatino Linotype" w:eastAsia="Palatino Linotype" w:hAnsi="Palatino Linotype"/>
          <w:sz w:val="22"/>
          <w:szCs w:val="22"/>
          <w:rtl w:val="0"/>
        </w:rPr>
        <w:t xml:space="preserve">, entre otros que no se relacionen con el gasto público, al revelar parte de las decisiones que adopta una persona respecto del uso y destino de su remuneración salarial, lo cual incide en la manera en que se integra su patrimonio, </w:t>
      </w:r>
      <w:r w:rsidDel="00000000" w:rsidR="00000000" w:rsidRPr="00000000">
        <w:rPr>
          <w:rFonts w:ascii="Palatino Linotype" w:cs="Palatino Linotype" w:eastAsia="Palatino Linotype" w:hAnsi="Palatino Linotype"/>
          <w:b w:val="1"/>
          <w:bCs w:val="1"/>
          <w:sz w:val="22"/>
          <w:szCs w:val="22"/>
          <w:rtl w:val="0"/>
        </w:rPr>
        <w:t xml:space="preserve">es información que no es de carácter público, sino que constituye información confidencial</w:t>
      </w:r>
      <w:r w:rsidDel="00000000" w:rsidR="00000000" w:rsidRPr="00000000">
        <w:rPr>
          <w:rFonts w:ascii="Palatino Linotype" w:cs="Palatino Linotype" w:eastAsia="Palatino Linotype" w:hAnsi="Palatino Linotype"/>
          <w:sz w:val="22"/>
          <w:szCs w:val="22"/>
          <w:rtl w:val="0"/>
        </w:rPr>
        <w:t xml:space="preserve"> en virtud de que corresponde con decisiones personales, y por tanto, se debe clasificar.</w:t>
      </w:r>
    </w:p>
    <w:p w:rsidR="00000000" w:rsidDel="00000000" w:rsidP="00000000" w:rsidRDefault="00000000" w:rsidRPr="00000000" w14:paraId="000000E9">
      <w:pPr>
        <w:pBdr>
          <w:top w:space="0" w:sz="0" w:val="nil"/>
          <w:left w:space="0" w:sz="0" w:val="nil"/>
          <w:bottom w:space="0" w:sz="0" w:val="nil"/>
          <w:right w:space="0" w:sz="0" w:val="nil"/>
          <w:between w:space="0" w:sz="0" w:val="nil"/>
        </w:pBdr>
        <w:spacing w:after="200"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Las claves y conceptos de los descuentos personales guardan también la misma naturaleza que los importes, ya que al hacerse públicas, es posible inferir que cierto servidor público tiene determinada deducción personal, misma que se relaciona con su esfera más íntima de privacidad, asimismo, en aquellos casos en los que sólo se tenga una deducción, inclusive es posible deducir el importe de la misma, derivado de los cálculos que se hagan respecto al sueldo bruto y sueldo neto.</w:t>
      </w:r>
    </w:p>
    <w:p w:rsidR="00000000" w:rsidDel="00000000" w:rsidP="00000000" w:rsidRDefault="00000000" w:rsidRPr="00000000" w14:paraId="000000EA">
      <w:pPr>
        <w:pBdr>
          <w:top w:space="0" w:sz="0" w:val="nil"/>
          <w:left w:space="0" w:sz="0" w:val="nil"/>
          <w:bottom w:space="0" w:sz="0" w:val="nil"/>
          <w:right w:space="0" w:sz="0" w:val="nil"/>
          <w:between w:space="0" w:sz="0" w:val="nil"/>
        </w:pBdr>
        <w:spacing w:after="240" w:before="240"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En conclusión, la información relacionada con los préstamos o descuentos de carácter personal, en virtud de no tener relación con la prestación del servicio y al no involucrar instituciones públicas, se consideran datos confidenciales.</w:t>
      </w:r>
    </w:p>
    <w:p w:rsidR="00000000" w:rsidDel="00000000" w:rsidP="00000000" w:rsidRDefault="00000000" w:rsidRPr="00000000" w14:paraId="000000EB">
      <w:pPr>
        <w:spacing w:after="240" w:before="240" w:line="360" w:lineRule="auto"/>
        <w:jc w:val="both"/>
        <w:rPr>
          <w:rFonts w:ascii="Palatino Linotype" w:cs="Palatino Linotype" w:eastAsia="Palatino Linotype" w:hAnsi="Palatino Linotype"/>
          <w:sz w:val="22"/>
          <w:szCs w:val="22"/>
        </w:rPr>
      </w:pPr>
      <w:bookmarkStart w:colFirst="0" w:colLast="0" w:name="_heading=h.3j2qqm3" w:id="10"/>
      <w:bookmarkEnd w:id="10"/>
      <w:r w:rsidDel="00000000" w:rsidR="00000000" w:rsidRPr="00000000">
        <w:rPr>
          <w:rFonts w:ascii="Palatino Linotype" w:cs="Palatino Linotype" w:eastAsia="Palatino Linotype" w:hAnsi="Palatino Linotype"/>
          <w:sz w:val="22"/>
          <w:szCs w:val="22"/>
          <w:rtl w:val="0"/>
        </w:rPr>
        <w:t xml:space="preserve">Con relación al </w:t>
      </w:r>
      <w:r w:rsidDel="00000000" w:rsidR="00000000" w:rsidRPr="00000000">
        <w:rPr>
          <w:rFonts w:ascii="Palatino Linotype" w:cs="Palatino Linotype" w:eastAsia="Palatino Linotype" w:hAnsi="Palatino Linotype"/>
          <w:b w:val="1"/>
          <w:bCs w:val="1"/>
          <w:sz w:val="22"/>
          <w:szCs w:val="22"/>
          <w:rtl w:val="0"/>
        </w:rPr>
        <w:t xml:space="preserve">número de empleado</w:t>
      </w:r>
      <w:r w:rsidDel="00000000" w:rsidR="00000000" w:rsidRPr="00000000">
        <w:rPr>
          <w:rFonts w:ascii="Palatino Linotype" w:cs="Palatino Linotype" w:eastAsia="Palatino Linotype" w:hAnsi="Palatino Linotype"/>
          <w:sz w:val="22"/>
          <w:szCs w:val="22"/>
          <w:rtl w:val="0"/>
        </w:rPr>
        <w:t xml:space="preserve"> debe precisarse que este constituye un código, en virtud del cual, los trabajadores pueden acceder a un sistema de datos o información de la dependencia o entidad a la que pertenecen, a fin de presentar consultas relacionadas con su situación laboral particular, siendo un número único, permanente e intransferible que se asigna para llevar un registro de los trabajadores</w:t>
      </w:r>
      <w:r w:rsidDel="00000000" w:rsidR="00000000" w:rsidRPr="00000000">
        <w:rPr>
          <w:rFonts w:ascii="Palatino Linotype" w:cs="Palatino Linotype" w:eastAsia="Palatino Linotype" w:hAnsi="Palatino Linotype"/>
          <w:sz w:val="22"/>
          <w:szCs w:val="22"/>
          <w:vertAlign w:val="superscript"/>
        </w:rPr>
        <w:footnoteReference w:customMarkFollows="0" w:id="0"/>
      </w:r>
      <w:r w:rsidDel="00000000" w:rsidR="00000000" w:rsidRPr="00000000">
        <w:rPr>
          <w:rFonts w:ascii="Palatino Linotype" w:cs="Palatino Linotype" w:eastAsia="Palatino Linotype" w:hAnsi="Palatino Linotype"/>
          <w:sz w:val="22"/>
          <w:szCs w:val="22"/>
          <w:rtl w:val="0"/>
        </w:rPr>
        <w:t xml:space="preserve">.</w:t>
      </w:r>
    </w:p>
    <w:p w:rsidR="00000000" w:rsidDel="00000000" w:rsidP="00000000" w:rsidRDefault="00000000" w:rsidRPr="00000000" w14:paraId="000000EC">
      <w:pPr>
        <w:spacing w:after="240" w:before="240"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Bajo esos argumentos, se entendería que la información relativa al número de empleado constituye información confidencial al tratarse de un número de identificación personal a través del cual se puede consultar la situación laboral personal, empero el Pleno del entonces Instituto Nacional de Transparencia, Acceso a la Información, y Protección de Datos Personales, se ha pronunciado sobre su publicidad, a través del Criterio orientador con Clave de control SO/006/2019, que indica lo siguiente:</w:t>
      </w:r>
    </w:p>
    <w:p w:rsidR="00000000" w:rsidDel="00000000" w:rsidP="00000000" w:rsidRDefault="00000000" w:rsidRPr="00000000" w14:paraId="000000ED">
      <w:pPr>
        <w:tabs>
          <w:tab w:val="left" w:leader="none" w:pos="7655"/>
        </w:tabs>
        <w:spacing w:after="200" w:line="276" w:lineRule="auto"/>
        <w:ind w:left="851"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w:t>
      </w:r>
      <w:r w:rsidDel="00000000" w:rsidR="00000000" w:rsidRPr="00000000">
        <w:rPr>
          <w:rFonts w:ascii="Palatino Linotype" w:cs="Palatino Linotype" w:eastAsia="Palatino Linotype" w:hAnsi="Palatino Linotype"/>
          <w:b w:val="1"/>
          <w:bCs w:val="1"/>
          <w:i w:val="1"/>
          <w:iCs w:val="1"/>
          <w:sz w:val="22"/>
          <w:szCs w:val="22"/>
          <w:rtl w:val="0"/>
        </w:rPr>
        <w:t xml:space="preserve">Número de empleado. </w:t>
      </w:r>
      <w:r w:rsidDel="00000000" w:rsidR="00000000" w:rsidRPr="00000000">
        <w:rPr>
          <w:rFonts w:ascii="Palatino Linotype" w:cs="Palatino Linotype" w:eastAsia="Palatino Linotype" w:hAnsi="Palatino Linotype"/>
          <w:i w:val="1"/>
          <w:iCs w:val="1"/>
          <w:sz w:val="22"/>
          <w:szCs w:val="22"/>
          <w:rtl w:val="0"/>
        </w:rPr>
        <w:t xml:space="preserve">Cuando el número de empleado o su equivalente, se integra con datos personales de los trabajadores o funciona como una clave de acceso que no requiere adicionalmente de una contraseña para ingresar a sistemas o bases de datos personales, procede su clasificación como información confidencial.”</w:t>
      </w:r>
    </w:p>
    <w:p w:rsidR="00000000" w:rsidDel="00000000" w:rsidP="00000000" w:rsidRDefault="00000000" w:rsidRPr="00000000" w14:paraId="000000EE">
      <w:pPr>
        <w:spacing w:after="240" w:before="240"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En atención al criterio de interpretación, se advierten dos supuestos para catalogar la información concerniente al número de empleado o equivalente, el primero es considerar la información como confidencial, siempre y cuando se integre con datos personales o que permita acceder a ellos sin necesidad de alguna contraseña, y el segundo supuesto es considerar que la información es susceptible de entregarse siempre que requiera una contraseña para acceder a los datos personales o cuando su conformación no revele los mismos, por consiguiente, en el caso concreto, el </w:t>
      </w:r>
      <w:r w:rsidDel="00000000" w:rsidR="00000000" w:rsidRPr="00000000">
        <w:rPr>
          <w:rFonts w:ascii="Palatino Linotype" w:cs="Palatino Linotype" w:eastAsia="Palatino Linotype" w:hAnsi="Palatino Linotype"/>
          <w:b w:val="1"/>
          <w:bCs w:val="1"/>
          <w:sz w:val="22"/>
          <w:szCs w:val="22"/>
          <w:rtl w:val="0"/>
        </w:rPr>
        <w:t xml:space="preserve">Sujeto Obligado</w:t>
      </w:r>
      <w:r w:rsidDel="00000000" w:rsidR="00000000" w:rsidRPr="00000000">
        <w:rPr>
          <w:rFonts w:ascii="Palatino Linotype" w:cs="Palatino Linotype" w:eastAsia="Palatino Linotype" w:hAnsi="Palatino Linotype"/>
          <w:sz w:val="22"/>
          <w:szCs w:val="22"/>
          <w:rtl w:val="0"/>
        </w:rPr>
        <w:t xml:space="preserve"> deberá acatar lo establecido y de ser procedente, entregará el número de empleado o equivalente de los servidores públicos materia de la solicitud, o en su caso, los clasificará como información confidencial, a través del Acuerdo emitido por su Comité de Transparencia conforme a la Ley de la Materia.</w:t>
      </w:r>
    </w:p>
    <w:p w:rsidR="00000000" w:rsidDel="00000000" w:rsidP="00000000" w:rsidRDefault="00000000" w:rsidRPr="00000000" w14:paraId="000000EF">
      <w:pPr>
        <w:spacing w:after="240" w:before="240"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b w:val="1"/>
          <w:bCs w:val="1"/>
          <w:sz w:val="22"/>
          <w:szCs w:val="22"/>
          <w:rtl w:val="0"/>
        </w:rPr>
        <w:t xml:space="preserve">De la información fiscal</w:t>
      </w:r>
      <w:r w:rsidDel="00000000" w:rsidR="00000000" w:rsidRPr="00000000">
        <w:rPr>
          <w:rFonts w:ascii="Palatino Linotype" w:cs="Palatino Linotype" w:eastAsia="Palatino Linotype" w:hAnsi="Palatino Linotype"/>
          <w:sz w:val="22"/>
          <w:szCs w:val="22"/>
          <w:rtl w:val="0"/>
        </w:rPr>
        <w:t xml:space="preserve">: </w:t>
      </w:r>
    </w:p>
    <w:p w:rsidR="00000000" w:rsidDel="00000000" w:rsidP="00000000" w:rsidRDefault="00000000" w:rsidRPr="00000000" w14:paraId="000000F0">
      <w:pPr>
        <w:pBdr>
          <w:top w:space="0" w:sz="0" w:val="nil"/>
          <w:left w:space="0" w:sz="0" w:val="nil"/>
          <w:bottom w:space="0" w:sz="0" w:val="nil"/>
          <w:right w:space="0" w:sz="0" w:val="nil"/>
          <w:between w:space="0" w:sz="0" w:val="nil"/>
        </w:pBdr>
        <w:spacing w:line="360" w:lineRule="auto"/>
        <w:ind w:right="49"/>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b w:val="1"/>
          <w:bCs w:val="1"/>
          <w:sz w:val="22"/>
          <w:szCs w:val="22"/>
          <w:u w:val="single"/>
          <w:rtl w:val="0"/>
        </w:rPr>
        <w:t xml:space="preserve">Por lo que hace al Folio Fiscal</w:t>
      </w:r>
      <w:r w:rsidDel="00000000" w:rsidR="00000000" w:rsidRPr="00000000">
        <w:rPr>
          <w:rFonts w:ascii="Palatino Linotype" w:cs="Palatino Linotype" w:eastAsia="Palatino Linotype" w:hAnsi="Palatino Linotype"/>
          <w:sz w:val="22"/>
          <w:szCs w:val="22"/>
          <w:rtl w:val="0"/>
        </w:rPr>
        <w:t xml:space="preserve">, conforme al ANEXO 20 de la Segunda Resolución de modificaciones a la Resolución Miscelánea Fiscal, el folio fiscal se conforma de treinta seis caracteres alfanuméricos; además, que conforme al documento denominado “Cómo ubicar el Folio Fiscal en una factura”, el dato se ubica dentro de los datos del emisor o en el recuadro de los datos de identificación del comprobante fiscal. Es un número consecutivo contenido en los comprobantes fiscales digitales, compuesto por 5 grupos de números y letras separados por guiones. </w:t>
      </w:r>
    </w:p>
    <w:p w:rsidR="00000000" w:rsidDel="00000000" w:rsidP="00000000" w:rsidRDefault="00000000" w:rsidRPr="00000000" w14:paraId="000000F1">
      <w:pPr>
        <w:pBdr>
          <w:top w:space="0" w:sz="0" w:val="nil"/>
          <w:left w:space="0" w:sz="0" w:val="nil"/>
          <w:bottom w:space="0" w:sz="0" w:val="nil"/>
          <w:right w:space="0" w:sz="0" w:val="nil"/>
          <w:between w:space="0" w:sz="0" w:val="nil"/>
        </w:pBdr>
        <w:spacing w:line="360" w:lineRule="auto"/>
        <w:ind w:right="49"/>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F2">
      <w:pPr>
        <w:pBdr>
          <w:top w:space="0" w:sz="0" w:val="nil"/>
          <w:left w:space="0" w:sz="0" w:val="nil"/>
          <w:bottom w:space="0" w:sz="0" w:val="nil"/>
          <w:right w:space="0" w:sz="0" w:val="nil"/>
          <w:between w:space="0" w:sz="0" w:val="nil"/>
        </w:pBdr>
        <w:spacing w:line="360" w:lineRule="auto"/>
        <w:ind w:right="49"/>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En ese contexto, del folio fiscal no se puede obtener información confidencial del emisor, pues solamente es un identificador del emisor, del cual su transparencia ayuda a legitimar que el documento cumple con todos los requisitos establecidos en la normatividad aplicable, sin necesidad algún dato personal, por lo que, </w:t>
      </w:r>
      <w:r w:rsidDel="00000000" w:rsidR="00000000" w:rsidRPr="00000000">
        <w:rPr>
          <w:rFonts w:ascii="Palatino Linotype" w:cs="Palatino Linotype" w:eastAsia="Palatino Linotype" w:hAnsi="Palatino Linotype"/>
          <w:b w:val="1"/>
          <w:bCs w:val="1"/>
          <w:sz w:val="22"/>
          <w:szCs w:val="22"/>
          <w:rtl w:val="0"/>
        </w:rPr>
        <w:t xml:space="preserve">no se actualiza la clasificación</w:t>
      </w:r>
      <w:r w:rsidDel="00000000" w:rsidR="00000000" w:rsidRPr="00000000">
        <w:rPr>
          <w:rFonts w:ascii="Palatino Linotype" w:cs="Palatino Linotype" w:eastAsia="Palatino Linotype" w:hAnsi="Palatino Linotype"/>
          <w:sz w:val="22"/>
          <w:szCs w:val="22"/>
          <w:rtl w:val="0"/>
        </w:rPr>
        <w:t xml:space="preserve">, en términos del artículo 143, fracción I de la Ley de la materia.</w:t>
      </w:r>
    </w:p>
    <w:p w:rsidR="00000000" w:rsidDel="00000000" w:rsidP="00000000" w:rsidRDefault="00000000" w:rsidRPr="00000000" w14:paraId="000000F3">
      <w:pPr>
        <w:pBdr>
          <w:top w:space="0" w:sz="0" w:val="nil"/>
          <w:left w:space="0" w:sz="0" w:val="nil"/>
          <w:bottom w:space="0" w:sz="0" w:val="nil"/>
          <w:right w:space="0" w:sz="0" w:val="nil"/>
          <w:between w:space="0" w:sz="0" w:val="nil"/>
        </w:pBdr>
        <w:spacing w:line="360" w:lineRule="auto"/>
        <w:ind w:right="49"/>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F4">
      <w:pPr>
        <w:pBdr>
          <w:top w:space="0" w:sz="0" w:val="nil"/>
          <w:left w:space="0" w:sz="0" w:val="nil"/>
          <w:bottom w:space="0" w:sz="0" w:val="nil"/>
          <w:right w:space="0" w:sz="0" w:val="nil"/>
          <w:between w:space="0" w:sz="0" w:val="nil"/>
        </w:pBdr>
        <w:spacing w:line="360" w:lineRule="auto"/>
        <w:ind w:right="49"/>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b w:val="1"/>
          <w:bCs w:val="1"/>
          <w:sz w:val="22"/>
          <w:szCs w:val="22"/>
          <w:u w:val="single"/>
          <w:rtl w:val="0"/>
        </w:rPr>
        <w:t xml:space="preserve">Sobre el lugar y fecha de emisión del comprobante</w:t>
      </w:r>
      <w:r w:rsidDel="00000000" w:rsidR="00000000" w:rsidRPr="00000000">
        <w:rPr>
          <w:rFonts w:ascii="Palatino Linotype" w:cs="Palatino Linotype" w:eastAsia="Palatino Linotype" w:hAnsi="Palatino Linotype"/>
          <w:sz w:val="22"/>
          <w:szCs w:val="22"/>
          <w:rtl w:val="0"/>
        </w:rPr>
        <w:t xml:space="preserve">, se considera que dicha información tampoco actualiza la causal de clasificación en términos del artículo 143, fracción I de la Ley de la materia, en razón de que únicamente darían cuenta de lugar y fecha donde se emitió el comprobante (ejemplo: Toluca, Estado de México a 14 de agosto de 2025).</w:t>
      </w:r>
    </w:p>
    <w:p w:rsidR="00000000" w:rsidDel="00000000" w:rsidP="00000000" w:rsidRDefault="00000000" w:rsidRPr="00000000" w14:paraId="000000F5">
      <w:pPr>
        <w:spacing w:after="240" w:before="240"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Sobre la </w:t>
      </w:r>
      <w:r w:rsidDel="00000000" w:rsidR="00000000" w:rsidRPr="00000000">
        <w:rPr>
          <w:rFonts w:ascii="Palatino Linotype" w:cs="Palatino Linotype" w:eastAsia="Palatino Linotype" w:hAnsi="Palatino Linotype"/>
          <w:b w:val="1"/>
          <w:bCs w:val="1"/>
          <w:sz w:val="22"/>
          <w:szCs w:val="22"/>
          <w:rtl w:val="0"/>
        </w:rPr>
        <w:t xml:space="preserve">Cadena Original</w:t>
      </w:r>
      <w:r w:rsidDel="00000000" w:rsidR="00000000" w:rsidRPr="00000000">
        <w:rPr>
          <w:rFonts w:ascii="Palatino Linotype" w:cs="Palatino Linotype" w:eastAsia="Palatino Linotype" w:hAnsi="Palatino Linotype"/>
          <w:sz w:val="22"/>
          <w:szCs w:val="22"/>
          <w:rtl w:val="0"/>
        </w:rPr>
        <w:t xml:space="preserve"> es la secuencia de datos formada con la información contenida dentro de los comprobantes fiscales, entre los que podría encontrarse de manera enunciativa, más no limitativa, el RFC del receptor, es decir del servidor público. En dicho supuesto, la cadena original constituiría información que únicamente atañe al contribuyente, siendo tarea del </w:t>
      </w:r>
      <w:r w:rsidDel="00000000" w:rsidR="00000000" w:rsidRPr="00000000">
        <w:rPr>
          <w:rFonts w:ascii="Palatino Linotype" w:cs="Palatino Linotype" w:eastAsia="Palatino Linotype" w:hAnsi="Palatino Linotype"/>
          <w:b w:val="1"/>
          <w:bCs w:val="1"/>
          <w:sz w:val="22"/>
          <w:szCs w:val="22"/>
          <w:rtl w:val="0"/>
        </w:rPr>
        <w:t xml:space="preserve">Sujeto Obligado</w:t>
      </w:r>
      <w:r w:rsidDel="00000000" w:rsidR="00000000" w:rsidRPr="00000000">
        <w:rPr>
          <w:rFonts w:ascii="Palatino Linotype" w:cs="Palatino Linotype" w:eastAsia="Palatino Linotype" w:hAnsi="Palatino Linotype"/>
          <w:sz w:val="22"/>
          <w:szCs w:val="22"/>
          <w:rtl w:val="0"/>
        </w:rPr>
        <w:t xml:space="preserve"> analizar dicha circunstancia con la finalidad de proteger, de ser el caso, la información a través de su clasificación por actualizarse el supuesto de confidencialidad.</w:t>
      </w:r>
    </w:p>
    <w:p w:rsidR="00000000" w:rsidDel="00000000" w:rsidP="00000000" w:rsidRDefault="00000000" w:rsidRPr="00000000" w14:paraId="000000F6">
      <w:pPr>
        <w:spacing w:after="240" w:before="240"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Los </w:t>
      </w:r>
      <w:r w:rsidDel="00000000" w:rsidR="00000000" w:rsidRPr="00000000">
        <w:rPr>
          <w:rFonts w:ascii="Palatino Linotype" w:cs="Palatino Linotype" w:eastAsia="Palatino Linotype" w:hAnsi="Palatino Linotype"/>
          <w:b w:val="1"/>
          <w:bCs w:val="1"/>
          <w:sz w:val="22"/>
          <w:szCs w:val="22"/>
          <w:rtl w:val="0"/>
        </w:rPr>
        <w:t xml:space="preserve">códigos bidimensionales</w:t>
      </w:r>
      <w:r w:rsidDel="00000000" w:rsidR="00000000" w:rsidRPr="00000000">
        <w:rPr>
          <w:rFonts w:ascii="Palatino Linotype" w:cs="Palatino Linotype" w:eastAsia="Palatino Linotype" w:hAnsi="Palatino Linotype"/>
          <w:sz w:val="22"/>
          <w:szCs w:val="22"/>
          <w:rtl w:val="0"/>
        </w:rPr>
        <w:t xml:space="preserve"> o </w:t>
      </w:r>
      <w:r w:rsidDel="00000000" w:rsidR="00000000" w:rsidRPr="00000000">
        <w:rPr>
          <w:rFonts w:ascii="Palatino Linotype" w:cs="Palatino Linotype" w:eastAsia="Palatino Linotype" w:hAnsi="Palatino Linotype"/>
          <w:b w:val="1"/>
          <w:bCs w:val="1"/>
          <w:sz w:val="22"/>
          <w:szCs w:val="22"/>
          <w:rtl w:val="0"/>
        </w:rPr>
        <w:t xml:space="preserve">códigos QR, </w:t>
      </w:r>
      <w:r w:rsidDel="00000000" w:rsidR="00000000" w:rsidRPr="00000000">
        <w:rPr>
          <w:rFonts w:ascii="Palatino Linotype" w:cs="Palatino Linotype" w:eastAsia="Palatino Linotype" w:hAnsi="Palatino Linotype"/>
          <w:sz w:val="22"/>
          <w:szCs w:val="22"/>
          <w:rtl w:val="0"/>
        </w:rPr>
        <w:t xml:space="preserve">al corresponder a barras en dos dimensiones que, al igual que los códigos de barras o códigos unidimensionales, son utilizados para almacenar diversos tipos de datos de manera codificada, los cuales a través de lectores que pueden ser obtenidos por cualquier persona, pueden contener datos personales, no susceptibles de conocimiento público, debiendo el </w:t>
      </w:r>
      <w:r w:rsidDel="00000000" w:rsidR="00000000" w:rsidRPr="00000000">
        <w:rPr>
          <w:rFonts w:ascii="Palatino Linotype" w:cs="Palatino Linotype" w:eastAsia="Palatino Linotype" w:hAnsi="Palatino Linotype"/>
          <w:b w:val="1"/>
          <w:bCs w:val="1"/>
          <w:sz w:val="22"/>
          <w:szCs w:val="22"/>
          <w:rtl w:val="0"/>
        </w:rPr>
        <w:t xml:space="preserve">Sujeto Obligado</w:t>
      </w:r>
      <w:r w:rsidDel="00000000" w:rsidR="00000000" w:rsidRPr="00000000">
        <w:rPr>
          <w:rFonts w:ascii="Palatino Linotype" w:cs="Palatino Linotype" w:eastAsia="Palatino Linotype" w:hAnsi="Palatino Linotype"/>
          <w:sz w:val="22"/>
          <w:szCs w:val="22"/>
          <w:rtl w:val="0"/>
        </w:rPr>
        <w:t xml:space="preserve"> analizar dicha circunstancia con la finalidad de determinar si se actualiza algún supuesto de confidencialidad.</w:t>
      </w:r>
    </w:p>
    <w:p w:rsidR="00000000" w:rsidDel="00000000" w:rsidP="00000000" w:rsidRDefault="00000000" w:rsidRPr="00000000" w14:paraId="000000F7">
      <w:pPr>
        <w:spacing w:after="240" w:before="240"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En tal sentido, si derivado del análisis efectuado por el </w:t>
      </w:r>
      <w:r w:rsidDel="00000000" w:rsidR="00000000" w:rsidRPr="00000000">
        <w:rPr>
          <w:rFonts w:ascii="Palatino Linotype" w:cs="Palatino Linotype" w:eastAsia="Palatino Linotype" w:hAnsi="Palatino Linotype"/>
          <w:b w:val="1"/>
          <w:bCs w:val="1"/>
          <w:sz w:val="22"/>
          <w:szCs w:val="22"/>
          <w:rtl w:val="0"/>
        </w:rPr>
        <w:t xml:space="preserve">Sujeto Obligado</w:t>
      </w:r>
      <w:r w:rsidDel="00000000" w:rsidR="00000000" w:rsidRPr="00000000">
        <w:rPr>
          <w:rFonts w:ascii="Palatino Linotype" w:cs="Palatino Linotype" w:eastAsia="Palatino Linotype" w:hAnsi="Palatino Linotype"/>
          <w:sz w:val="22"/>
          <w:szCs w:val="22"/>
          <w:rtl w:val="0"/>
        </w:rPr>
        <w:t xml:space="preserve"> en el presente caso, se desprende que, de la información fiscal contenida en los comprobantes fiscales digitales por internet, tales como cadenas, sellos digitales y/o códigos bidimensionales, se pueden obtener datos personales como el Registro Federal de Contribuyentes, la Clave Única del Registro de Población, entre otros no susceptibles de conocimiento público que, de difundirse, pudieran vulnerar la esfera más íntima de privacidad de su titular, deberá clasificarla como confidencial, de manera fundada y motivada en términos del artículo 143, fracción I de la Ley de Transparencia y Acceso a la Información Pública del Estado de México y Municipios.</w:t>
      </w:r>
    </w:p>
    <w:p w:rsidR="00000000" w:rsidDel="00000000" w:rsidP="00000000" w:rsidRDefault="00000000" w:rsidRPr="00000000" w14:paraId="000000F8">
      <w:pPr>
        <w:spacing w:after="240" w:before="240" w:line="360" w:lineRule="auto"/>
        <w:ind w:right="50"/>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En tal contexto, es de señalar que la clasificación de la información no opera con la simple supresión de datos que se haga en los documentos de que se trate o con la simple decisión que tome el Servidor Público Habilitado o el Responsable de la Unidad de Transparencia del Sujeto Obligado, sino que ello deberá realizarse en términos de lo que disponen los artículos 49 fracción VIII, 53, fracción X y 59, fracción V, de la Ley en consulta, cuyo sentido literal es el siguiente:</w:t>
      </w:r>
    </w:p>
    <w:p w:rsidR="00000000" w:rsidDel="00000000" w:rsidP="00000000" w:rsidRDefault="00000000" w:rsidRPr="00000000" w14:paraId="000000F9">
      <w:pPr>
        <w:spacing w:after="200" w:line="276" w:lineRule="auto"/>
        <w:ind w:left="851"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“Artículo 49.</w:t>
      </w:r>
      <w:r w:rsidDel="00000000" w:rsidR="00000000" w:rsidRPr="00000000">
        <w:rPr>
          <w:rFonts w:ascii="Palatino Linotype" w:cs="Palatino Linotype" w:eastAsia="Palatino Linotype" w:hAnsi="Palatino Linotype"/>
          <w:i w:val="1"/>
          <w:iCs w:val="1"/>
          <w:sz w:val="22"/>
          <w:szCs w:val="22"/>
          <w:rtl w:val="0"/>
        </w:rPr>
        <w:t xml:space="preserve"> </w:t>
      </w:r>
      <w:r w:rsidDel="00000000" w:rsidR="00000000" w:rsidRPr="00000000">
        <w:rPr>
          <w:rFonts w:ascii="Palatino Linotype" w:cs="Palatino Linotype" w:eastAsia="Palatino Linotype" w:hAnsi="Palatino Linotype"/>
          <w:b w:val="1"/>
          <w:bCs w:val="1"/>
          <w:i w:val="1"/>
          <w:iCs w:val="1"/>
          <w:sz w:val="22"/>
          <w:szCs w:val="22"/>
          <w:rtl w:val="0"/>
        </w:rPr>
        <w:t xml:space="preserve">Los Comités de Transparencia</w:t>
      </w:r>
      <w:r w:rsidDel="00000000" w:rsidR="00000000" w:rsidRPr="00000000">
        <w:rPr>
          <w:rFonts w:ascii="Palatino Linotype" w:cs="Palatino Linotype" w:eastAsia="Palatino Linotype" w:hAnsi="Palatino Linotype"/>
          <w:i w:val="1"/>
          <w:iCs w:val="1"/>
          <w:sz w:val="22"/>
          <w:szCs w:val="22"/>
          <w:rtl w:val="0"/>
        </w:rPr>
        <w:t xml:space="preserve"> tendrán las siguientes atribuciones:</w:t>
      </w:r>
    </w:p>
    <w:p w:rsidR="00000000" w:rsidDel="00000000" w:rsidP="00000000" w:rsidRDefault="00000000" w:rsidRPr="00000000" w14:paraId="000000FA">
      <w:pPr>
        <w:spacing w:after="200" w:line="276" w:lineRule="auto"/>
        <w:ind w:left="851"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VIII. Aprobar, modificar o revocar la clasificación de la información</w:t>
      </w:r>
      <w:r w:rsidDel="00000000" w:rsidR="00000000" w:rsidRPr="00000000">
        <w:rPr>
          <w:rFonts w:ascii="Palatino Linotype" w:cs="Palatino Linotype" w:eastAsia="Palatino Linotype" w:hAnsi="Palatino Linotype"/>
          <w:i w:val="1"/>
          <w:iCs w:val="1"/>
          <w:sz w:val="22"/>
          <w:szCs w:val="22"/>
          <w:rtl w:val="0"/>
        </w:rPr>
        <w:t xml:space="preserve">…”</w:t>
      </w:r>
    </w:p>
    <w:p w:rsidR="00000000" w:rsidDel="00000000" w:rsidP="00000000" w:rsidRDefault="00000000" w:rsidRPr="00000000" w14:paraId="000000FB">
      <w:pPr>
        <w:spacing w:after="200" w:line="276" w:lineRule="auto"/>
        <w:ind w:left="851"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w:t>
      </w:r>
      <w:r w:rsidDel="00000000" w:rsidR="00000000" w:rsidRPr="00000000">
        <w:rPr>
          <w:rFonts w:ascii="Palatino Linotype" w:cs="Palatino Linotype" w:eastAsia="Palatino Linotype" w:hAnsi="Palatino Linotype"/>
          <w:b w:val="1"/>
          <w:bCs w:val="1"/>
          <w:i w:val="1"/>
          <w:iCs w:val="1"/>
          <w:sz w:val="22"/>
          <w:szCs w:val="22"/>
          <w:rtl w:val="0"/>
        </w:rPr>
        <w:t xml:space="preserve">Artículo 53.</w:t>
      </w:r>
      <w:r w:rsidDel="00000000" w:rsidR="00000000" w:rsidRPr="00000000">
        <w:rPr>
          <w:rFonts w:ascii="Palatino Linotype" w:cs="Palatino Linotype" w:eastAsia="Palatino Linotype" w:hAnsi="Palatino Linotype"/>
          <w:i w:val="1"/>
          <w:iCs w:val="1"/>
          <w:sz w:val="22"/>
          <w:szCs w:val="22"/>
          <w:rtl w:val="0"/>
        </w:rPr>
        <w:t xml:space="preserve"> Las </w:t>
      </w:r>
      <w:r w:rsidDel="00000000" w:rsidR="00000000" w:rsidRPr="00000000">
        <w:rPr>
          <w:rFonts w:ascii="Palatino Linotype" w:cs="Palatino Linotype" w:eastAsia="Palatino Linotype" w:hAnsi="Palatino Linotype"/>
          <w:b w:val="1"/>
          <w:bCs w:val="1"/>
          <w:i w:val="1"/>
          <w:iCs w:val="1"/>
          <w:sz w:val="22"/>
          <w:szCs w:val="22"/>
          <w:rtl w:val="0"/>
        </w:rPr>
        <w:t xml:space="preserve">Unidades de Transparencia</w:t>
      </w:r>
      <w:r w:rsidDel="00000000" w:rsidR="00000000" w:rsidRPr="00000000">
        <w:rPr>
          <w:rFonts w:ascii="Palatino Linotype" w:cs="Palatino Linotype" w:eastAsia="Palatino Linotype" w:hAnsi="Palatino Linotype"/>
          <w:i w:val="1"/>
          <w:iCs w:val="1"/>
          <w:sz w:val="22"/>
          <w:szCs w:val="22"/>
          <w:rtl w:val="0"/>
        </w:rPr>
        <w:t xml:space="preserve"> tendrán las siguientes </w:t>
      </w:r>
      <w:r w:rsidDel="00000000" w:rsidR="00000000" w:rsidRPr="00000000">
        <w:rPr>
          <w:rFonts w:ascii="Palatino Linotype" w:cs="Palatino Linotype" w:eastAsia="Palatino Linotype" w:hAnsi="Palatino Linotype"/>
          <w:b w:val="1"/>
          <w:bCs w:val="1"/>
          <w:i w:val="1"/>
          <w:iCs w:val="1"/>
          <w:sz w:val="22"/>
          <w:szCs w:val="22"/>
          <w:rtl w:val="0"/>
        </w:rPr>
        <w:t xml:space="preserve">funciones</w:t>
      </w:r>
      <w:r w:rsidDel="00000000" w:rsidR="00000000" w:rsidRPr="00000000">
        <w:rPr>
          <w:rFonts w:ascii="Palatino Linotype" w:cs="Palatino Linotype" w:eastAsia="Palatino Linotype" w:hAnsi="Palatino Linotype"/>
          <w:i w:val="1"/>
          <w:iCs w:val="1"/>
          <w:sz w:val="22"/>
          <w:szCs w:val="22"/>
          <w:rtl w:val="0"/>
        </w:rPr>
        <w:t xml:space="preserve">:</w:t>
      </w:r>
    </w:p>
    <w:p w:rsidR="00000000" w:rsidDel="00000000" w:rsidP="00000000" w:rsidRDefault="00000000" w:rsidRPr="00000000" w14:paraId="000000FC">
      <w:pPr>
        <w:spacing w:after="200" w:line="276" w:lineRule="auto"/>
        <w:ind w:left="851"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X. Presentar ante el Comité, el proyecto de clasificación de información</w:t>
      </w:r>
      <w:r w:rsidDel="00000000" w:rsidR="00000000" w:rsidRPr="00000000">
        <w:rPr>
          <w:rFonts w:ascii="Palatino Linotype" w:cs="Palatino Linotype" w:eastAsia="Palatino Linotype" w:hAnsi="Palatino Linotype"/>
          <w:i w:val="1"/>
          <w:iCs w:val="1"/>
          <w:sz w:val="22"/>
          <w:szCs w:val="22"/>
          <w:rtl w:val="0"/>
        </w:rPr>
        <w:t xml:space="preserve">…” </w:t>
      </w:r>
    </w:p>
    <w:p w:rsidR="00000000" w:rsidDel="00000000" w:rsidP="00000000" w:rsidRDefault="00000000" w:rsidRPr="00000000" w14:paraId="000000FD">
      <w:pPr>
        <w:spacing w:after="200" w:line="276" w:lineRule="auto"/>
        <w:ind w:left="851"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“Artículo 59.</w:t>
      </w:r>
      <w:r w:rsidDel="00000000" w:rsidR="00000000" w:rsidRPr="00000000">
        <w:rPr>
          <w:rFonts w:ascii="Palatino Linotype" w:cs="Palatino Linotype" w:eastAsia="Palatino Linotype" w:hAnsi="Palatino Linotype"/>
          <w:i w:val="1"/>
          <w:iCs w:val="1"/>
          <w:sz w:val="22"/>
          <w:szCs w:val="22"/>
          <w:rtl w:val="0"/>
        </w:rPr>
        <w:t xml:space="preserve"> Los </w:t>
      </w:r>
      <w:r w:rsidDel="00000000" w:rsidR="00000000" w:rsidRPr="00000000">
        <w:rPr>
          <w:rFonts w:ascii="Palatino Linotype" w:cs="Palatino Linotype" w:eastAsia="Palatino Linotype" w:hAnsi="Palatino Linotype"/>
          <w:b w:val="1"/>
          <w:bCs w:val="1"/>
          <w:i w:val="1"/>
          <w:iCs w:val="1"/>
          <w:sz w:val="22"/>
          <w:szCs w:val="22"/>
          <w:rtl w:val="0"/>
        </w:rPr>
        <w:t xml:space="preserve">servidores públicos habilitados</w:t>
      </w:r>
      <w:r w:rsidDel="00000000" w:rsidR="00000000" w:rsidRPr="00000000">
        <w:rPr>
          <w:rFonts w:ascii="Palatino Linotype" w:cs="Palatino Linotype" w:eastAsia="Palatino Linotype" w:hAnsi="Palatino Linotype"/>
          <w:i w:val="1"/>
          <w:iCs w:val="1"/>
          <w:sz w:val="22"/>
          <w:szCs w:val="22"/>
          <w:rtl w:val="0"/>
        </w:rPr>
        <w:t xml:space="preserve"> tendrán las </w:t>
      </w:r>
      <w:r w:rsidDel="00000000" w:rsidR="00000000" w:rsidRPr="00000000">
        <w:rPr>
          <w:rFonts w:ascii="Palatino Linotype" w:cs="Palatino Linotype" w:eastAsia="Palatino Linotype" w:hAnsi="Palatino Linotype"/>
          <w:b w:val="1"/>
          <w:bCs w:val="1"/>
          <w:i w:val="1"/>
          <w:iCs w:val="1"/>
          <w:sz w:val="22"/>
          <w:szCs w:val="22"/>
          <w:rtl w:val="0"/>
        </w:rPr>
        <w:t xml:space="preserve">funciones</w:t>
      </w:r>
      <w:r w:rsidDel="00000000" w:rsidR="00000000" w:rsidRPr="00000000">
        <w:rPr>
          <w:rFonts w:ascii="Palatino Linotype" w:cs="Palatino Linotype" w:eastAsia="Palatino Linotype" w:hAnsi="Palatino Linotype"/>
          <w:i w:val="1"/>
          <w:iCs w:val="1"/>
          <w:sz w:val="22"/>
          <w:szCs w:val="22"/>
          <w:rtl w:val="0"/>
        </w:rPr>
        <w:t xml:space="preserve"> siguientes:</w:t>
      </w:r>
    </w:p>
    <w:p w:rsidR="00000000" w:rsidDel="00000000" w:rsidP="00000000" w:rsidRDefault="00000000" w:rsidRPr="00000000" w14:paraId="000000FE">
      <w:pPr>
        <w:spacing w:after="200" w:line="276" w:lineRule="auto"/>
        <w:ind w:left="851"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V. Integrar y presentar al responsable de la Unidad de Transparencia la propuesta de clasificación de información</w:t>
      </w:r>
      <w:r w:rsidDel="00000000" w:rsidR="00000000" w:rsidRPr="00000000">
        <w:rPr>
          <w:rFonts w:ascii="Palatino Linotype" w:cs="Palatino Linotype" w:eastAsia="Palatino Linotype" w:hAnsi="Palatino Linotype"/>
          <w:i w:val="1"/>
          <w:iCs w:val="1"/>
          <w:sz w:val="22"/>
          <w:szCs w:val="22"/>
          <w:rtl w:val="0"/>
        </w:rPr>
        <w:t xml:space="preserve">, la cual tendrá los fundamentos y argumentos en que se basa dicha propuesta…”</w:t>
      </w:r>
    </w:p>
    <w:p w:rsidR="00000000" w:rsidDel="00000000" w:rsidP="00000000" w:rsidRDefault="00000000" w:rsidRPr="00000000" w14:paraId="000000FF">
      <w:pPr>
        <w:spacing w:after="240" w:before="240"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Denotándose de dichos elementos normativos que el determinar la clasificación de la información es un trabajo en conjunto tanto de los Servidores Públicos Habilitados, de las Unidades de Transparencia y del Comité de Transparencia del Sujeto Obligado, teniendo el deber los primeros de ellos de presentar ante la Unidad de Transparencia la propuesta de la clasificación de la información, para que luego ésta presente ante al Comité de Transparencia de así resultar procedente el proyecto de clasificación de la información y finalmente sea éste último quien apruebe, modifique o revoque la clasificación de la información solicitada.</w:t>
      </w:r>
    </w:p>
    <w:p w:rsidR="00000000" w:rsidDel="00000000" w:rsidP="00000000" w:rsidRDefault="00000000" w:rsidRPr="00000000" w14:paraId="00000100">
      <w:pPr>
        <w:spacing w:after="240" w:before="240"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Para lo cual, a su vez en el caso de información de carácter confidencial, se debe atender a lo que señala el artículo 149 de la Ley de Transparencia Local vigente, que se lee como sigue:</w:t>
      </w:r>
    </w:p>
    <w:p w:rsidR="00000000" w:rsidDel="00000000" w:rsidP="00000000" w:rsidRDefault="00000000" w:rsidRPr="00000000" w14:paraId="00000101">
      <w:pPr>
        <w:spacing w:after="200" w:line="276" w:lineRule="auto"/>
        <w:ind w:left="851"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w:t>
      </w:r>
      <w:r w:rsidDel="00000000" w:rsidR="00000000" w:rsidRPr="00000000">
        <w:rPr>
          <w:rFonts w:ascii="Palatino Linotype" w:cs="Palatino Linotype" w:eastAsia="Palatino Linotype" w:hAnsi="Palatino Linotype"/>
          <w:b w:val="1"/>
          <w:bCs w:val="1"/>
          <w:i w:val="1"/>
          <w:iCs w:val="1"/>
          <w:sz w:val="22"/>
          <w:szCs w:val="22"/>
          <w:rtl w:val="0"/>
        </w:rPr>
        <w:t xml:space="preserve">Artículo 149.</w:t>
      </w:r>
      <w:r w:rsidDel="00000000" w:rsidR="00000000" w:rsidRPr="00000000">
        <w:rPr>
          <w:rFonts w:ascii="Palatino Linotype" w:cs="Palatino Linotype" w:eastAsia="Palatino Linotype" w:hAnsi="Palatino Linotype"/>
          <w:i w:val="1"/>
          <w:iCs w:val="1"/>
          <w:sz w:val="22"/>
          <w:szCs w:val="22"/>
          <w:rtl w:val="0"/>
        </w:rPr>
        <w:t xml:space="preserve"> El </w:t>
      </w:r>
      <w:r w:rsidDel="00000000" w:rsidR="00000000" w:rsidRPr="00000000">
        <w:rPr>
          <w:rFonts w:ascii="Palatino Linotype" w:cs="Palatino Linotype" w:eastAsia="Palatino Linotype" w:hAnsi="Palatino Linotype"/>
          <w:b w:val="1"/>
          <w:bCs w:val="1"/>
          <w:i w:val="1"/>
          <w:iCs w:val="1"/>
          <w:sz w:val="22"/>
          <w:szCs w:val="22"/>
          <w:rtl w:val="0"/>
        </w:rPr>
        <w:t xml:space="preserve">acuerdo que clasifique la información como confidencial</w:t>
      </w:r>
      <w:r w:rsidDel="00000000" w:rsidR="00000000" w:rsidRPr="00000000">
        <w:rPr>
          <w:rFonts w:ascii="Palatino Linotype" w:cs="Palatino Linotype" w:eastAsia="Palatino Linotype" w:hAnsi="Palatino Linotype"/>
          <w:i w:val="1"/>
          <w:iCs w:val="1"/>
          <w:sz w:val="22"/>
          <w:szCs w:val="22"/>
          <w:rtl w:val="0"/>
        </w:rPr>
        <w:t xml:space="preserve"> deberá contener un razonamiento lógico en el que demuestre que la información se encuentra en alguna o algunas de las hipótesis previstas en la presente Ley.” </w:t>
      </w:r>
    </w:p>
    <w:p w:rsidR="00000000" w:rsidDel="00000000" w:rsidP="00000000" w:rsidRDefault="00000000" w:rsidRPr="00000000" w14:paraId="00000102">
      <w:pPr>
        <w:spacing w:after="240" w:before="240" w:line="360" w:lineRule="auto"/>
        <w:ind w:right="51"/>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Es decir, el </w:t>
      </w:r>
      <w:r w:rsidDel="00000000" w:rsidR="00000000" w:rsidRPr="00000000">
        <w:rPr>
          <w:rFonts w:ascii="Palatino Linotype" w:cs="Palatino Linotype" w:eastAsia="Palatino Linotype" w:hAnsi="Palatino Linotype"/>
          <w:b w:val="1"/>
          <w:bCs w:val="1"/>
          <w:sz w:val="22"/>
          <w:szCs w:val="22"/>
          <w:rtl w:val="0"/>
        </w:rPr>
        <w:t xml:space="preserve">Sujeto Obligado</w:t>
      </w:r>
      <w:r w:rsidDel="00000000" w:rsidR="00000000" w:rsidRPr="00000000">
        <w:rPr>
          <w:rFonts w:ascii="Palatino Linotype" w:cs="Palatino Linotype" w:eastAsia="Palatino Linotype" w:hAnsi="Palatino Linotype"/>
          <w:sz w:val="22"/>
          <w:szCs w:val="22"/>
          <w:rtl w:val="0"/>
        </w:rPr>
        <w:t xml:space="preserve"> a través de su Comité de Transparencia, deberá elaborar acuerdo que contenga un razonamiento lógico con el que se demuestre que la información que se testa de las versiones públicas que se sirva elaborar, encuadra en alguna de las hipótesis que contempla la Ley de la Materia en su artículo 143; ya que de lo contrario, se crearía la incertidumbre jurídica en relación a si lo entregado es formalmente una versión pública, o un documento ilegible, incompleto o tachado; en otras palabras si no se exponen de manera puntual las razones de la versión pública de la documentación entregada se estaría violentando el derecho de acceso a la información de la persona solicitante.</w:t>
      </w:r>
    </w:p>
    <w:p w:rsidR="00000000" w:rsidDel="00000000" w:rsidP="00000000" w:rsidRDefault="00000000" w:rsidRPr="00000000" w14:paraId="00000103">
      <w:pPr>
        <w:spacing w:after="240" w:before="240" w:line="360" w:lineRule="auto"/>
        <w:ind w:right="49"/>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Atento a lo anterior, cabe señalar que el Comité de Transparencia del </w:t>
      </w:r>
      <w:r w:rsidDel="00000000" w:rsidR="00000000" w:rsidRPr="00000000">
        <w:rPr>
          <w:rFonts w:ascii="Palatino Linotype" w:cs="Palatino Linotype" w:eastAsia="Palatino Linotype" w:hAnsi="Palatino Linotype"/>
          <w:b w:val="1"/>
          <w:bCs w:val="1"/>
          <w:sz w:val="22"/>
          <w:szCs w:val="22"/>
          <w:rtl w:val="0"/>
        </w:rPr>
        <w:t xml:space="preserve">Sujeto Obligado</w:t>
      </w:r>
      <w:r w:rsidDel="00000000" w:rsidR="00000000" w:rsidRPr="00000000">
        <w:rPr>
          <w:rFonts w:ascii="Palatino Linotype" w:cs="Palatino Linotype" w:eastAsia="Palatino Linotype" w:hAnsi="Palatino Linotype"/>
          <w:sz w:val="22"/>
          <w:szCs w:val="22"/>
          <w:rtl w:val="0"/>
        </w:rPr>
        <w:t xml:space="preserve">, deberá emitir el acuerdo de clasificación de información debidamente fundado y motivado, en términos de los Lineamientos Segundo, fracción XVIII, y del Cuarto al Décimo Primero de los “Lineamientos Generales en materia de Clasificación y Desclasificación de la Información, así como para la elaboración de Versiones Públicas”, vigentes a la fecha de la solicitud que literalmente expresan:</w:t>
      </w:r>
    </w:p>
    <w:p w:rsidR="00000000" w:rsidDel="00000000" w:rsidP="00000000" w:rsidRDefault="00000000" w:rsidRPr="00000000" w14:paraId="00000104">
      <w:pPr>
        <w:tabs>
          <w:tab w:val="left" w:leader="none" w:pos="8222"/>
        </w:tabs>
        <w:spacing w:after="200" w:line="276" w:lineRule="auto"/>
        <w:ind w:left="851"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 “</w:t>
      </w:r>
      <w:r w:rsidDel="00000000" w:rsidR="00000000" w:rsidRPr="00000000">
        <w:rPr>
          <w:rFonts w:ascii="Palatino Linotype" w:cs="Palatino Linotype" w:eastAsia="Palatino Linotype" w:hAnsi="Palatino Linotype"/>
          <w:b w:val="1"/>
          <w:bCs w:val="1"/>
          <w:i w:val="1"/>
          <w:iCs w:val="1"/>
          <w:sz w:val="22"/>
          <w:szCs w:val="22"/>
          <w:rtl w:val="0"/>
        </w:rPr>
        <w:t xml:space="preserve">Segundo.-</w:t>
      </w:r>
      <w:r w:rsidDel="00000000" w:rsidR="00000000" w:rsidRPr="00000000">
        <w:rPr>
          <w:rFonts w:ascii="Palatino Linotype" w:cs="Palatino Linotype" w:eastAsia="Palatino Linotype" w:hAnsi="Palatino Linotype"/>
          <w:i w:val="1"/>
          <w:iCs w:val="1"/>
          <w:sz w:val="22"/>
          <w:szCs w:val="22"/>
          <w:rtl w:val="0"/>
        </w:rPr>
        <w:t xml:space="preserve"> Para efectos de los presentes Lineamientos Generales, se entenderá por:</w:t>
      </w:r>
    </w:p>
    <w:p w:rsidR="00000000" w:rsidDel="00000000" w:rsidP="00000000" w:rsidRDefault="00000000" w:rsidRPr="00000000" w14:paraId="00000105">
      <w:pPr>
        <w:tabs>
          <w:tab w:val="left" w:leader="none" w:pos="8222"/>
        </w:tabs>
        <w:spacing w:after="200" w:line="276" w:lineRule="auto"/>
        <w:ind w:left="851"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XVIII.</w:t>
      </w:r>
      <w:r w:rsidDel="00000000" w:rsidR="00000000" w:rsidRPr="00000000">
        <w:rPr>
          <w:rFonts w:ascii="Palatino Linotype" w:cs="Palatino Linotype" w:eastAsia="Palatino Linotype" w:hAnsi="Palatino Linotype"/>
          <w:i w:val="1"/>
          <w:iCs w:val="1"/>
          <w:sz w:val="22"/>
          <w:szCs w:val="22"/>
          <w:rtl w:val="0"/>
        </w:rPr>
        <w:t xml:space="preserve"> </w:t>
      </w:r>
      <w:r w:rsidDel="00000000" w:rsidR="00000000" w:rsidRPr="00000000">
        <w:rPr>
          <w:rFonts w:ascii="Palatino Linotype" w:cs="Palatino Linotype" w:eastAsia="Palatino Linotype" w:hAnsi="Palatino Linotype"/>
          <w:b w:val="1"/>
          <w:bCs w:val="1"/>
          <w:i w:val="1"/>
          <w:iCs w:val="1"/>
          <w:sz w:val="22"/>
          <w:szCs w:val="22"/>
          <w:rtl w:val="0"/>
        </w:rPr>
        <w:t xml:space="preserve">Versión pública:</w:t>
      </w:r>
      <w:r w:rsidDel="00000000" w:rsidR="00000000" w:rsidRPr="00000000">
        <w:rPr>
          <w:rFonts w:ascii="Palatino Linotype" w:cs="Palatino Linotype" w:eastAsia="Palatino Linotype" w:hAnsi="Palatino Linotype"/>
          <w:i w:val="1"/>
          <w:iCs w:val="1"/>
          <w:sz w:val="22"/>
          <w:szCs w:val="22"/>
          <w:rtl w:val="0"/>
        </w:rPr>
        <w:t xml:space="preserve"> El documento a partir del que se otorga acceso a la información, en el que se testan partes o secciones clasificadas, indicando el contenido de éstas de manera genérica, </w:t>
      </w:r>
      <w:r w:rsidDel="00000000" w:rsidR="00000000" w:rsidRPr="00000000">
        <w:rPr>
          <w:rFonts w:ascii="Palatino Linotype" w:cs="Palatino Linotype" w:eastAsia="Palatino Linotype" w:hAnsi="Palatino Linotype"/>
          <w:b w:val="1"/>
          <w:bCs w:val="1"/>
          <w:i w:val="1"/>
          <w:iCs w:val="1"/>
          <w:sz w:val="22"/>
          <w:szCs w:val="22"/>
          <w:rtl w:val="0"/>
        </w:rPr>
        <w:t xml:space="preserve">fundando y motivando la</w:t>
      </w:r>
      <w:r w:rsidDel="00000000" w:rsidR="00000000" w:rsidRPr="00000000">
        <w:rPr>
          <w:rFonts w:ascii="Palatino Linotype" w:cs="Palatino Linotype" w:eastAsia="Palatino Linotype" w:hAnsi="Palatino Linotype"/>
          <w:i w:val="1"/>
          <w:iCs w:val="1"/>
          <w:sz w:val="22"/>
          <w:szCs w:val="22"/>
          <w:rtl w:val="0"/>
        </w:rPr>
        <w:t xml:space="preserve"> </w:t>
      </w:r>
      <w:r w:rsidDel="00000000" w:rsidR="00000000" w:rsidRPr="00000000">
        <w:rPr>
          <w:rFonts w:ascii="Palatino Linotype" w:cs="Palatino Linotype" w:eastAsia="Palatino Linotype" w:hAnsi="Palatino Linotype"/>
          <w:b w:val="1"/>
          <w:bCs w:val="1"/>
          <w:i w:val="1"/>
          <w:iCs w:val="1"/>
          <w:sz w:val="22"/>
          <w:szCs w:val="22"/>
          <w:rtl w:val="0"/>
        </w:rPr>
        <w:t xml:space="preserve">reserva o confidencialidad</w:t>
      </w:r>
      <w:r w:rsidDel="00000000" w:rsidR="00000000" w:rsidRPr="00000000">
        <w:rPr>
          <w:rFonts w:ascii="Palatino Linotype" w:cs="Palatino Linotype" w:eastAsia="Palatino Linotype" w:hAnsi="Palatino Linotype"/>
          <w:i w:val="1"/>
          <w:iCs w:val="1"/>
          <w:sz w:val="22"/>
          <w:szCs w:val="22"/>
          <w:rtl w:val="0"/>
        </w:rPr>
        <w:t xml:space="preserve">, a través de la resolución que para tal efecto emita el Comité de Transparencia.</w:t>
      </w:r>
    </w:p>
    <w:p w:rsidR="00000000" w:rsidDel="00000000" w:rsidP="00000000" w:rsidRDefault="00000000" w:rsidRPr="00000000" w14:paraId="00000106">
      <w:pPr>
        <w:tabs>
          <w:tab w:val="left" w:leader="none" w:pos="8222"/>
        </w:tabs>
        <w:spacing w:after="200" w:line="276" w:lineRule="auto"/>
        <w:ind w:left="851" w:right="616" w:firstLine="0"/>
        <w:jc w:val="both"/>
        <w:rPr>
          <w:rFonts w:ascii="Palatino Linotype" w:cs="Palatino Linotype" w:eastAsia="Palatino Linotype" w:hAnsi="Palatino Linotype"/>
          <w:b w:val="1"/>
          <w:bCs w:val="1"/>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w:t>
      </w:r>
    </w:p>
    <w:p w:rsidR="00000000" w:rsidDel="00000000" w:rsidP="00000000" w:rsidRDefault="00000000" w:rsidRPr="00000000" w14:paraId="00000107">
      <w:pPr>
        <w:tabs>
          <w:tab w:val="left" w:leader="none" w:pos="8222"/>
        </w:tabs>
        <w:spacing w:after="200" w:line="276" w:lineRule="auto"/>
        <w:ind w:left="851"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Cuarto.</w:t>
      </w:r>
      <w:r w:rsidDel="00000000" w:rsidR="00000000" w:rsidRPr="00000000">
        <w:rPr>
          <w:rFonts w:ascii="Palatino Linotype" w:cs="Palatino Linotype" w:eastAsia="Palatino Linotype" w:hAnsi="Palatino Linotype"/>
          <w:i w:val="1"/>
          <w:iCs w:val="1"/>
          <w:sz w:val="22"/>
          <w:szCs w:val="22"/>
          <w:rtl w:val="0"/>
        </w:rPr>
        <w:t xml:space="preserve"> </w:t>
      </w:r>
      <w:r w:rsidDel="00000000" w:rsidR="00000000" w:rsidRPr="00000000">
        <w:rPr>
          <w:rFonts w:ascii="Palatino Linotype" w:cs="Palatino Linotype" w:eastAsia="Palatino Linotype" w:hAnsi="Palatino Linotype"/>
          <w:b w:val="1"/>
          <w:bCs w:val="1"/>
          <w:i w:val="1"/>
          <w:iCs w:val="1"/>
          <w:sz w:val="22"/>
          <w:szCs w:val="22"/>
          <w:rtl w:val="0"/>
        </w:rPr>
        <w:t xml:space="preserve">Para clasificar la información como</w:t>
      </w:r>
      <w:r w:rsidDel="00000000" w:rsidR="00000000" w:rsidRPr="00000000">
        <w:rPr>
          <w:rFonts w:ascii="Palatino Linotype" w:cs="Palatino Linotype" w:eastAsia="Palatino Linotype" w:hAnsi="Palatino Linotype"/>
          <w:i w:val="1"/>
          <w:iCs w:val="1"/>
          <w:sz w:val="22"/>
          <w:szCs w:val="22"/>
          <w:rtl w:val="0"/>
        </w:rPr>
        <w:t xml:space="preserve"> </w:t>
      </w:r>
      <w:r w:rsidDel="00000000" w:rsidR="00000000" w:rsidRPr="00000000">
        <w:rPr>
          <w:rFonts w:ascii="Palatino Linotype" w:cs="Palatino Linotype" w:eastAsia="Palatino Linotype" w:hAnsi="Palatino Linotype"/>
          <w:b w:val="1"/>
          <w:bCs w:val="1"/>
          <w:i w:val="1"/>
          <w:iCs w:val="1"/>
          <w:sz w:val="22"/>
          <w:szCs w:val="22"/>
          <w:rtl w:val="0"/>
        </w:rPr>
        <w:t xml:space="preserve">reservada o</w:t>
      </w:r>
      <w:r w:rsidDel="00000000" w:rsidR="00000000" w:rsidRPr="00000000">
        <w:rPr>
          <w:rFonts w:ascii="Palatino Linotype" w:cs="Palatino Linotype" w:eastAsia="Palatino Linotype" w:hAnsi="Palatino Linotype"/>
          <w:i w:val="1"/>
          <w:iCs w:val="1"/>
          <w:sz w:val="22"/>
          <w:szCs w:val="22"/>
          <w:rtl w:val="0"/>
        </w:rPr>
        <w:t xml:space="preserve"> </w:t>
      </w:r>
      <w:r w:rsidDel="00000000" w:rsidR="00000000" w:rsidRPr="00000000">
        <w:rPr>
          <w:rFonts w:ascii="Palatino Linotype" w:cs="Palatino Linotype" w:eastAsia="Palatino Linotype" w:hAnsi="Palatino Linotype"/>
          <w:b w:val="1"/>
          <w:bCs w:val="1"/>
          <w:i w:val="1"/>
          <w:iCs w:val="1"/>
          <w:sz w:val="22"/>
          <w:szCs w:val="22"/>
          <w:rtl w:val="0"/>
        </w:rPr>
        <w:t xml:space="preserve">confidencial, de manera total o parcial, el titular del área del sujeto obligado deberá atender lo dispuesto por el Título Sexto de la Ley General</w:t>
      </w:r>
      <w:r w:rsidDel="00000000" w:rsidR="00000000" w:rsidRPr="00000000">
        <w:rPr>
          <w:rFonts w:ascii="Palatino Linotype" w:cs="Palatino Linotype" w:eastAsia="Palatino Linotype" w:hAnsi="Palatino Linotype"/>
          <w:i w:val="1"/>
          <w:iCs w:val="1"/>
          <w:sz w:val="22"/>
          <w:szCs w:val="22"/>
          <w:rtl w:val="0"/>
        </w:rPr>
        <w:t xml:space="preserve">, en relación con las disposiciones contenidas en los presentes lineamientos, así como en aquellas disposiciones legales aplicables a la materia en el ámbito de sus respectivas competencias, en tanto estas últimas no contravengan lo dispuesto en la Ley General.</w:t>
      </w:r>
    </w:p>
    <w:p w:rsidR="00000000" w:rsidDel="00000000" w:rsidP="00000000" w:rsidRDefault="00000000" w:rsidRPr="00000000" w14:paraId="00000108">
      <w:pPr>
        <w:tabs>
          <w:tab w:val="left" w:leader="none" w:pos="8222"/>
        </w:tabs>
        <w:spacing w:after="200" w:line="276" w:lineRule="auto"/>
        <w:ind w:left="851"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Los sujetos obligados deberán aplicar, de manera estricta, las excepciones al derecho de acceso a la información y sólo podrán invocarlas cuando acrediten su procedencia.</w:t>
      </w:r>
    </w:p>
    <w:p w:rsidR="00000000" w:rsidDel="00000000" w:rsidP="00000000" w:rsidRDefault="00000000" w:rsidRPr="00000000" w14:paraId="00000109">
      <w:pPr>
        <w:tabs>
          <w:tab w:val="left" w:leader="none" w:pos="8222"/>
        </w:tabs>
        <w:spacing w:after="200" w:line="276" w:lineRule="auto"/>
        <w:ind w:left="851"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Quinto.</w:t>
      </w:r>
      <w:r w:rsidDel="00000000" w:rsidR="00000000" w:rsidRPr="00000000">
        <w:rPr>
          <w:rFonts w:ascii="Palatino Linotype" w:cs="Palatino Linotype" w:eastAsia="Palatino Linotype" w:hAnsi="Palatino Linotype"/>
          <w:i w:val="1"/>
          <w:iCs w:val="1"/>
          <w:sz w:val="22"/>
          <w:szCs w:val="22"/>
          <w:rtl w:val="0"/>
        </w:rPr>
        <w:t xml:space="preserve"> La carga de la prueba para justificar toda negativa de acceso a la información, por actualizarse cualquiera de los supuestos de clasificación previstos en la Ley General, la Ley Federal y leyes estatales, corresponderá a los sujetos obligados, por lo que deberán fundar y motivar debidamente la clasificación de la información ante una solicitud de acceso o al momento en que generen versiones públicas para dar cumplimiento a las obligaciones de transparencia, observando lo dispuesto en la Ley General y las demás disposiciones aplicables en la materia.</w:t>
      </w:r>
    </w:p>
    <w:p w:rsidR="00000000" w:rsidDel="00000000" w:rsidP="00000000" w:rsidRDefault="00000000" w:rsidRPr="00000000" w14:paraId="0000010A">
      <w:pPr>
        <w:tabs>
          <w:tab w:val="left" w:leader="none" w:pos="8222"/>
        </w:tabs>
        <w:spacing w:after="200" w:line="276" w:lineRule="auto"/>
        <w:ind w:left="851"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Sexto.</w:t>
      </w:r>
      <w:r w:rsidDel="00000000" w:rsidR="00000000" w:rsidRPr="00000000">
        <w:rPr>
          <w:rFonts w:ascii="Palatino Linotype" w:cs="Palatino Linotype" w:eastAsia="Palatino Linotype" w:hAnsi="Palatino Linotype"/>
          <w:i w:val="1"/>
          <w:iCs w:val="1"/>
          <w:sz w:val="22"/>
          <w:szCs w:val="22"/>
          <w:rtl w:val="0"/>
        </w:rPr>
        <w:t xml:space="preserve"> Se deroga.</w:t>
      </w:r>
    </w:p>
    <w:p w:rsidR="00000000" w:rsidDel="00000000" w:rsidP="00000000" w:rsidRDefault="00000000" w:rsidRPr="00000000" w14:paraId="0000010B">
      <w:pPr>
        <w:tabs>
          <w:tab w:val="left" w:leader="none" w:pos="8222"/>
        </w:tabs>
        <w:spacing w:after="200" w:line="276" w:lineRule="auto"/>
        <w:ind w:left="851"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Séptimo.</w:t>
      </w:r>
      <w:r w:rsidDel="00000000" w:rsidR="00000000" w:rsidRPr="00000000">
        <w:rPr>
          <w:rFonts w:ascii="Palatino Linotype" w:cs="Palatino Linotype" w:eastAsia="Palatino Linotype" w:hAnsi="Palatino Linotype"/>
          <w:i w:val="1"/>
          <w:iCs w:val="1"/>
          <w:sz w:val="22"/>
          <w:szCs w:val="22"/>
          <w:rtl w:val="0"/>
        </w:rPr>
        <w:t xml:space="preserve"> La clasificación de la información se llevará a cabo en el momento en que:</w:t>
      </w:r>
    </w:p>
    <w:p w:rsidR="00000000" w:rsidDel="00000000" w:rsidP="00000000" w:rsidRDefault="00000000" w:rsidRPr="00000000" w14:paraId="0000010C">
      <w:pPr>
        <w:tabs>
          <w:tab w:val="left" w:leader="none" w:pos="8222"/>
        </w:tabs>
        <w:spacing w:after="200" w:line="276" w:lineRule="auto"/>
        <w:ind w:left="851"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I.</w:t>
      </w:r>
      <w:r w:rsidDel="00000000" w:rsidR="00000000" w:rsidRPr="00000000">
        <w:rPr>
          <w:rFonts w:ascii="Palatino Linotype" w:cs="Palatino Linotype" w:eastAsia="Palatino Linotype" w:hAnsi="Palatino Linotype"/>
          <w:i w:val="1"/>
          <w:iCs w:val="1"/>
          <w:sz w:val="22"/>
          <w:szCs w:val="22"/>
          <w:rtl w:val="0"/>
        </w:rPr>
        <w:t xml:space="preserve"> Se reciba una solicitud de acceso a la información;</w:t>
      </w:r>
    </w:p>
    <w:p w:rsidR="00000000" w:rsidDel="00000000" w:rsidP="00000000" w:rsidRDefault="00000000" w:rsidRPr="00000000" w14:paraId="0000010D">
      <w:pPr>
        <w:tabs>
          <w:tab w:val="left" w:leader="none" w:pos="8222"/>
        </w:tabs>
        <w:spacing w:after="200" w:line="276" w:lineRule="auto"/>
        <w:ind w:left="851"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II.</w:t>
      </w:r>
      <w:r w:rsidDel="00000000" w:rsidR="00000000" w:rsidRPr="00000000">
        <w:rPr>
          <w:rFonts w:ascii="Palatino Linotype" w:cs="Palatino Linotype" w:eastAsia="Palatino Linotype" w:hAnsi="Palatino Linotype"/>
          <w:i w:val="1"/>
          <w:iCs w:val="1"/>
          <w:sz w:val="22"/>
          <w:szCs w:val="22"/>
          <w:rtl w:val="0"/>
        </w:rPr>
        <w:t xml:space="preserve"> Se determine mediante resolución del Comité de Transparencia, el órgano garante competente, o en cumplimiento a una sentencia del Poder Judicial; o</w:t>
      </w:r>
    </w:p>
    <w:p w:rsidR="00000000" w:rsidDel="00000000" w:rsidP="00000000" w:rsidRDefault="00000000" w:rsidRPr="00000000" w14:paraId="0000010E">
      <w:pPr>
        <w:tabs>
          <w:tab w:val="left" w:leader="none" w:pos="8222"/>
        </w:tabs>
        <w:spacing w:after="200" w:line="276" w:lineRule="auto"/>
        <w:ind w:left="851"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III.</w:t>
      </w:r>
      <w:r w:rsidDel="00000000" w:rsidR="00000000" w:rsidRPr="00000000">
        <w:rPr>
          <w:rFonts w:ascii="Palatino Linotype" w:cs="Palatino Linotype" w:eastAsia="Palatino Linotype" w:hAnsi="Palatino Linotype"/>
          <w:i w:val="1"/>
          <w:iCs w:val="1"/>
          <w:sz w:val="22"/>
          <w:szCs w:val="22"/>
          <w:rtl w:val="0"/>
        </w:rPr>
        <w:t xml:space="preserve"> Se generen versiones públicas para dar cumplimiento a las obligaciones de transparencia previstas en la Ley General, la Ley Federal y las correspondientes de las entidades federativas.</w:t>
      </w:r>
    </w:p>
    <w:p w:rsidR="00000000" w:rsidDel="00000000" w:rsidP="00000000" w:rsidRDefault="00000000" w:rsidRPr="00000000" w14:paraId="0000010F">
      <w:pPr>
        <w:tabs>
          <w:tab w:val="left" w:leader="none" w:pos="8222"/>
        </w:tabs>
        <w:spacing w:after="200" w:line="276" w:lineRule="auto"/>
        <w:ind w:left="851"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Los titulares de las áreas deberán revisar la clasificación al momento de la recepción de una solicitud de acceso, para verificar</w:t>
      </w:r>
      <w:r w:rsidDel="00000000" w:rsidR="00000000" w:rsidRPr="00000000">
        <w:rPr>
          <w:rFonts w:ascii="Palatino Linotype" w:cs="Palatino Linotype" w:eastAsia="Palatino Linotype" w:hAnsi="Palatino Linotype"/>
          <w:sz w:val="22"/>
          <w:szCs w:val="22"/>
          <w:rtl w:val="0"/>
        </w:rPr>
        <w:t xml:space="preserve">, </w:t>
      </w:r>
      <w:r w:rsidDel="00000000" w:rsidR="00000000" w:rsidRPr="00000000">
        <w:rPr>
          <w:rFonts w:ascii="Palatino Linotype" w:cs="Palatino Linotype" w:eastAsia="Palatino Linotype" w:hAnsi="Palatino Linotype"/>
          <w:i w:val="1"/>
          <w:iCs w:val="1"/>
          <w:sz w:val="22"/>
          <w:szCs w:val="22"/>
          <w:rtl w:val="0"/>
        </w:rPr>
        <w:t xml:space="preserve">conforme a su naturaleza, si encuadra en una causal de reserva o de confidencialidad.</w:t>
      </w:r>
    </w:p>
    <w:p w:rsidR="00000000" w:rsidDel="00000000" w:rsidP="00000000" w:rsidRDefault="00000000" w:rsidRPr="00000000" w14:paraId="00000110">
      <w:pPr>
        <w:tabs>
          <w:tab w:val="left" w:leader="none" w:pos="8222"/>
        </w:tabs>
        <w:spacing w:after="200" w:line="276" w:lineRule="auto"/>
        <w:ind w:left="851"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Octavo.</w:t>
      </w:r>
      <w:r w:rsidDel="00000000" w:rsidR="00000000" w:rsidRPr="00000000">
        <w:rPr>
          <w:rFonts w:ascii="Palatino Linotype" w:cs="Palatino Linotype" w:eastAsia="Palatino Linotype" w:hAnsi="Palatino Linotype"/>
          <w:i w:val="1"/>
          <w:iCs w:val="1"/>
          <w:sz w:val="22"/>
          <w:szCs w:val="22"/>
          <w:rtl w:val="0"/>
        </w:rPr>
        <w:t xml:space="preserve"> Para fundar la clasificación de la información se debe señalar el artículo, fracción, inciso, párrafo o numeral de la ley o tratado internacional suscrito por el Estado mexicano que expresamente le otorga el carácter de reservada o confidencial.</w:t>
      </w:r>
    </w:p>
    <w:p w:rsidR="00000000" w:rsidDel="00000000" w:rsidP="00000000" w:rsidRDefault="00000000" w:rsidRPr="00000000" w14:paraId="00000111">
      <w:pPr>
        <w:tabs>
          <w:tab w:val="left" w:leader="none" w:pos="8222"/>
        </w:tabs>
        <w:spacing w:after="200" w:line="276" w:lineRule="auto"/>
        <w:ind w:left="851"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Para motivar la clasificación se deberán señalar las razones o circunstancias especiales que lo llevaron a concluir que el caso particular se ajusta al supuesto previsto por la norma legal invocada como fundamento.</w:t>
      </w:r>
    </w:p>
    <w:p w:rsidR="00000000" w:rsidDel="00000000" w:rsidP="00000000" w:rsidRDefault="00000000" w:rsidRPr="00000000" w14:paraId="00000112">
      <w:pPr>
        <w:tabs>
          <w:tab w:val="left" w:leader="none" w:pos="8222"/>
        </w:tabs>
        <w:spacing w:after="200" w:line="276" w:lineRule="auto"/>
        <w:ind w:left="851"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En caso de referirse a información reservada, la motivación de la clasificación deberá comprender el análisis de la prueba de daño a que hace referencia el artículo 104 de la Ley General, en relación con el artículo trigésimo tercero de los presentes lineamientos, así como las circunstancias que justifican el establecimiento de determinado plazo de reserva.</w:t>
      </w:r>
    </w:p>
    <w:p w:rsidR="00000000" w:rsidDel="00000000" w:rsidP="00000000" w:rsidRDefault="00000000" w:rsidRPr="00000000" w14:paraId="00000113">
      <w:pPr>
        <w:tabs>
          <w:tab w:val="left" w:leader="none" w:pos="8222"/>
        </w:tabs>
        <w:spacing w:after="200" w:line="276" w:lineRule="auto"/>
        <w:ind w:left="851"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Noveno.</w:t>
      </w:r>
      <w:r w:rsidDel="00000000" w:rsidR="00000000" w:rsidRPr="00000000">
        <w:rPr>
          <w:rFonts w:ascii="Palatino Linotype" w:cs="Palatino Linotype" w:eastAsia="Palatino Linotype" w:hAnsi="Palatino Linotype"/>
          <w:i w:val="1"/>
          <w:iCs w:val="1"/>
          <w:sz w:val="22"/>
          <w:szCs w:val="22"/>
          <w:rtl w:val="0"/>
        </w:rPr>
        <w:t xml:space="preserve"> En los casos en que se solicite un documento o expediente que contenga partes o secciones clasificadas, los titulares de las áreas deberán elaborar una versión pública fundando y motivando la clasificación de las partes o secciones que se testen, siguiendo los procedimientos establecidos en el Capítulo IX de los presentes lineamientos.</w:t>
      </w:r>
    </w:p>
    <w:p w:rsidR="00000000" w:rsidDel="00000000" w:rsidP="00000000" w:rsidRDefault="00000000" w:rsidRPr="00000000" w14:paraId="00000114">
      <w:pPr>
        <w:tabs>
          <w:tab w:val="left" w:leader="none" w:pos="8222"/>
        </w:tabs>
        <w:spacing w:after="200" w:line="276" w:lineRule="auto"/>
        <w:ind w:left="851"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Décimo.</w:t>
      </w:r>
      <w:r w:rsidDel="00000000" w:rsidR="00000000" w:rsidRPr="00000000">
        <w:rPr>
          <w:rFonts w:ascii="Palatino Linotype" w:cs="Palatino Linotype" w:eastAsia="Palatino Linotype" w:hAnsi="Palatino Linotype"/>
          <w:i w:val="1"/>
          <w:iCs w:val="1"/>
          <w:sz w:val="22"/>
          <w:szCs w:val="22"/>
          <w:rtl w:val="0"/>
        </w:rPr>
        <w:t xml:space="preserve"> Los titulares de las áreas, deberán tener conocimiento y llevar un registro del personal que, por la naturaleza de sus atribuciones, tenga acceso a los documentos clasificados. Asimismo, deberán asegurarse de que dicho personal cuente con los conocimientos técnicos y legales que le permitan manejar adecuadamente la información clasificada, en los términos de la Ley General de Archivos, Lineamientos para la Organización y Conservación de Archivos y demás normatividad aplicable.</w:t>
      </w:r>
    </w:p>
    <w:p w:rsidR="00000000" w:rsidDel="00000000" w:rsidP="00000000" w:rsidRDefault="00000000" w:rsidRPr="00000000" w14:paraId="00000115">
      <w:pPr>
        <w:tabs>
          <w:tab w:val="left" w:leader="none" w:pos="8222"/>
        </w:tabs>
        <w:spacing w:after="200" w:line="276" w:lineRule="auto"/>
        <w:ind w:left="851"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En ausencia de los titulares de las áreas, la información será clasificada o desclasificada por la persona que lo supla, en términos de la normativa que rija la actuación del sujeto obligado.</w:t>
      </w:r>
    </w:p>
    <w:p w:rsidR="00000000" w:rsidDel="00000000" w:rsidP="00000000" w:rsidRDefault="00000000" w:rsidRPr="00000000" w14:paraId="00000116">
      <w:pPr>
        <w:tabs>
          <w:tab w:val="left" w:leader="none" w:pos="8222"/>
        </w:tabs>
        <w:spacing w:after="200" w:line="276" w:lineRule="auto"/>
        <w:ind w:left="851"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Décimo primero.</w:t>
      </w:r>
      <w:r w:rsidDel="00000000" w:rsidR="00000000" w:rsidRPr="00000000">
        <w:rPr>
          <w:rFonts w:ascii="Palatino Linotype" w:cs="Palatino Linotype" w:eastAsia="Palatino Linotype" w:hAnsi="Palatino Linotype"/>
          <w:i w:val="1"/>
          <w:iCs w:val="1"/>
          <w:sz w:val="22"/>
          <w:szCs w:val="22"/>
          <w:rtl w:val="0"/>
        </w:rPr>
        <w:t xml:space="preserve"> En el intercambio de información entre sujetos obligados para el ejercicio de sus atribuciones, los documentos que se encuentren clasificados deberán llevar la leyenda correspondiente de conformidad con lo dispuesto en el Capítulo VIII de los presentes lineamientos.” </w:t>
      </w:r>
    </w:p>
    <w:p w:rsidR="00000000" w:rsidDel="00000000" w:rsidP="00000000" w:rsidRDefault="00000000" w:rsidRPr="00000000" w14:paraId="00000117">
      <w:pPr>
        <w:pBdr>
          <w:top w:space="0" w:sz="0" w:val="nil"/>
          <w:left w:space="0" w:sz="0" w:val="nil"/>
          <w:bottom w:space="0" w:sz="0" w:val="nil"/>
          <w:right w:space="0" w:sz="0" w:val="nil"/>
          <w:between w:space="0" w:sz="0" w:val="nil"/>
        </w:pBdr>
        <w:spacing w:after="240" w:before="240" w:line="360" w:lineRule="auto"/>
        <w:ind w:right="51"/>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Asimismo, respecto a las formalidades que deberá llevar el acuerdo de clasificación que deberá emitir el </w:t>
      </w:r>
      <w:r w:rsidDel="00000000" w:rsidR="00000000" w:rsidRPr="00000000">
        <w:rPr>
          <w:rFonts w:ascii="Palatino Linotype" w:cs="Palatino Linotype" w:eastAsia="Palatino Linotype" w:hAnsi="Palatino Linotype"/>
          <w:b w:val="1"/>
          <w:bCs w:val="1"/>
          <w:sz w:val="22"/>
          <w:szCs w:val="22"/>
          <w:rtl w:val="0"/>
        </w:rPr>
        <w:t xml:space="preserve">Sujeto Obligado</w:t>
      </w:r>
      <w:r w:rsidDel="00000000" w:rsidR="00000000" w:rsidRPr="00000000">
        <w:rPr>
          <w:rFonts w:ascii="Palatino Linotype" w:cs="Palatino Linotype" w:eastAsia="Palatino Linotype" w:hAnsi="Palatino Linotype"/>
          <w:sz w:val="22"/>
          <w:szCs w:val="22"/>
          <w:rtl w:val="0"/>
        </w:rPr>
        <w:t xml:space="preserve"> a través de su Comité de Transparencia, los Lineamientos Quincuagésimo y Quincuagésimo primero de los Lineamientos Generales en Materia de Clasificación y Desclasificación de la Información, así como para la Elaboración de Versiones Públicas, vigentes a la fecha de la solicitud, señalan lo siguiente:</w:t>
      </w:r>
    </w:p>
    <w:p w:rsidR="00000000" w:rsidDel="00000000" w:rsidP="00000000" w:rsidRDefault="00000000" w:rsidRPr="00000000" w14:paraId="00000118">
      <w:pPr>
        <w:spacing w:after="200" w:line="276" w:lineRule="auto"/>
        <w:ind w:left="851" w:right="902"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“Quincuagésimo. </w:t>
      </w:r>
      <w:r w:rsidDel="00000000" w:rsidR="00000000" w:rsidRPr="00000000">
        <w:rPr>
          <w:rFonts w:ascii="Palatino Linotype" w:cs="Palatino Linotype" w:eastAsia="Palatino Linotype" w:hAnsi="Palatino Linotype"/>
          <w:i w:val="1"/>
          <w:iCs w:val="1"/>
          <w:sz w:val="22"/>
          <w:szCs w:val="22"/>
          <w:rtl w:val="0"/>
        </w:rPr>
        <w:t xml:space="preserve">Los titulares de las áreas de los sujetos obligados podrán establecer sus propios modelos o formatos para la elaboración de versiones públicas de documentos o expedientes, siempre y cuando cumplan lo establecido en los presentes Lineamientos, así como en las correspondientes Leyes Generales. </w:t>
      </w:r>
    </w:p>
    <w:p w:rsidR="00000000" w:rsidDel="00000000" w:rsidP="00000000" w:rsidRDefault="00000000" w:rsidRPr="00000000" w14:paraId="00000119">
      <w:pPr>
        <w:pBdr>
          <w:top w:space="0" w:sz="0" w:val="nil"/>
          <w:left w:space="0" w:sz="0" w:val="nil"/>
          <w:bottom w:space="0" w:sz="0" w:val="nil"/>
          <w:right w:space="0" w:sz="0" w:val="nil"/>
          <w:between w:space="0" w:sz="0" w:val="nil"/>
        </w:pBdr>
        <w:spacing w:after="200" w:line="276" w:lineRule="auto"/>
        <w:ind w:left="851" w:right="902"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Quincuagésimo primero. </w:t>
      </w:r>
      <w:r w:rsidDel="00000000" w:rsidR="00000000" w:rsidRPr="00000000">
        <w:rPr>
          <w:rFonts w:ascii="Palatino Linotype" w:cs="Palatino Linotype" w:eastAsia="Palatino Linotype" w:hAnsi="Palatino Linotype"/>
          <w:i w:val="1"/>
          <w:iCs w:val="1"/>
          <w:sz w:val="22"/>
          <w:szCs w:val="22"/>
          <w:rtl w:val="0"/>
        </w:rPr>
        <w:t xml:space="preserve">Toda acta del Comité de Transparencia deberá contener: </w:t>
      </w:r>
    </w:p>
    <w:p w:rsidR="00000000" w:rsidDel="00000000" w:rsidP="00000000" w:rsidRDefault="00000000" w:rsidRPr="00000000" w14:paraId="0000011A">
      <w:pPr>
        <w:pBdr>
          <w:top w:space="0" w:sz="0" w:val="nil"/>
          <w:left w:space="0" w:sz="0" w:val="nil"/>
          <w:bottom w:space="0" w:sz="0" w:val="nil"/>
          <w:right w:space="0" w:sz="0" w:val="nil"/>
          <w:between w:space="0" w:sz="0" w:val="nil"/>
        </w:pBdr>
        <w:spacing w:after="200" w:line="276" w:lineRule="auto"/>
        <w:ind w:left="1134" w:right="902"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I.</w:t>
      </w:r>
      <w:r w:rsidDel="00000000" w:rsidR="00000000" w:rsidRPr="00000000">
        <w:rPr>
          <w:rFonts w:ascii="Palatino Linotype" w:cs="Palatino Linotype" w:eastAsia="Palatino Linotype" w:hAnsi="Palatino Linotype"/>
          <w:i w:val="1"/>
          <w:iCs w:val="1"/>
          <w:sz w:val="22"/>
          <w:szCs w:val="22"/>
          <w:rtl w:val="0"/>
        </w:rPr>
        <w:t xml:space="preserve"> El número de sesión y fecha; </w:t>
      </w:r>
    </w:p>
    <w:p w:rsidR="00000000" w:rsidDel="00000000" w:rsidP="00000000" w:rsidRDefault="00000000" w:rsidRPr="00000000" w14:paraId="0000011B">
      <w:pPr>
        <w:pBdr>
          <w:top w:space="0" w:sz="0" w:val="nil"/>
          <w:left w:space="0" w:sz="0" w:val="nil"/>
          <w:bottom w:space="0" w:sz="0" w:val="nil"/>
          <w:right w:space="0" w:sz="0" w:val="nil"/>
          <w:between w:space="0" w:sz="0" w:val="nil"/>
        </w:pBdr>
        <w:spacing w:after="200" w:line="276" w:lineRule="auto"/>
        <w:ind w:left="1134" w:right="902"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II</w:t>
      </w:r>
      <w:r w:rsidDel="00000000" w:rsidR="00000000" w:rsidRPr="00000000">
        <w:rPr>
          <w:rFonts w:ascii="Palatino Linotype" w:cs="Palatino Linotype" w:eastAsia="Palatino Linotype" w:hAnsi="Palatino Linotype"/>
          <w:i w:val="1"/>
          <w:iCs w:val="1"/>
          <w:sz w:val="22"/>
          <w:szCs w:val="22"/>
          <w:rtl w:val="0"/>
        </w:rPr>
        <w:t xml:space="preserve">. El nombre del área que solicitó la clasificación de información; </w:t>
      </w:r>
    </w:p>
    <w:p w:rsidR="00000000" w:rsidDel="00000000" w:rsidP="00000000" w:rsidRDefault="00000000" w:rsidRPr="00000000" w14:paraId="0000011C">
      <w:pPr>
        <w:pBdr>
          <w:top w:space="0" w:sz="0" w:val="nil"/>
          <w:left w:space="0" w:sz="0" w:val="nil"/>
          <w:bottom w:space="0" w:sz="0" w:val="nil"/>
          <w:right w:space="0" w:sz="0" w:val="nil"/>
          <w:between w:space="0" w:sz="0" w:val="nil"/>
        </w:pBdr>
        <w:spacing w:after="200" w:line="276" w:lineRule="auto"/>
        <w:ind w:left="1134" w:right="902"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III</w:t>
      </w:r>
      <w:r w:rsidDel="00000000" w:rsidR="00000000" w:rsidRPr="00000000">
        <w:rPr>
          <w:rFonts w:ascii="Palatino Linotype" w:cs="Palatino Linotype" w:eastAsia="Palatino Linotype" w:hAnsi="Palatino Linotype"/>
          <w:i w:val="1"/>
          <w:iCs w:val="1"/>
          <w:sz w:val="22"/>
          <w:szCs w:val="22"/>
          <w:rtl w:val="0"/>
        </w:rPr>
        <w:t xml:space="preserve">. La fundamentación legal y motivación correspondiente; </w:t>
      </w:r>
    </w:p>
    <w:p w:rsidR="00000000" w:rsidDel="00000000" w:rsidP="00000000" w:rsidRDefault="00000000" w:rsidRPr="00000000" w14:paraId="0000011D">
      <w:pPr>
        <w:pBdr>
          <w:top w:space="0" w:sz="0" w:val="nil"/>
          <w:left w:space="0" w:sz="0" w:val="nil"/>
          <w:bottom w:space="0" w:sz="0" w:val="nil"/>
          <w:right w:space="0" w:sz="0" w:val="nil"/>
          <w:between w:space="0" w:sz="0" w:val="nil"/>
        </w:pBdr>
        <w:spacing w:after="200" w:line="276" w:lineRule="auto"/>
        <w:ind w:left="1134" w:right="902"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IV</w:t>
      </w:r>
      <w:r w:rsidDel="00000000" w:rsidR="00000000" w:rsidRPr="00000000">
        <w:rPr>
          <w:rFonts w:ascii="Palatino Linotype" w:cs="Palatino Linotype" w:eastAsia="Palatino Linotype" w:hAnsi="Palatino Linotype"/>
          <w:i w:val="1"/>
          <w:iCs w:val="1"/>
          <w:sz w:val="22"/>
          <w:szCs w:val="22"/>
          <w:rtl w:val="0"/>
        </w:rPr>
        <w:t xml:space="preserve">. La resolución o resoluciones aprobadas; y </w:t>
      </w:r>
    </w:p>
    <w:p w:rsidR="00000000" w:rsidDel="00000000" w:rsidP="00000000" w:rsidRDefault="00000000" w:rsidRPr="00000000" w14:paraId="0000011E">
      <w:pPr>
        <w:pBdr>
          <w:top w:space="0" w:sz="0" w:val="nil"/>
          <w:left w:space="0" w:sz="0" w:val="nil"/>
          <w:bottom w:space="0" w:sz="0" w:val="nil"/>
          <w:right w:space="0" w:sz="0" w:val="nil"/>
          <w:between w:space="0" w:sz="0" w:val="nil"/>
        </w:pBdr>
        <w:spacing w:after="200" w:line="276" w:lineRule="auto"/>
        <w:ind w:left="1134" w:right="902"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V</w:t>
      </w:r>
      <w:r w:rsidDel="00000000" w:rsidR="00000000" w:rsidRPr="00000000">
        <w:rPr>
          <w:rFonts w:ascii="Palatino Linotype" w:cs="Palatino Linotype" w:eastAsia="Palatino Linotype" w:hAnsi="Palatino Linotype"/>
          <w:i w:val="1"/>
          <w:iCs w:val="1"/>
          <w:sz w:val="22"/>
          <w:szCs w:val="22"/>
          <w:rtl w:val="0"/>
        </w:rPr>
        <w:t xml:space="preserve">. La rúbrica o firma digital de cada integrante del Comité de Transparencia. </w:t>
      </w:r>
    </w:p>
    <w:p w:rsidR="00000000" w:rsidDel="00000000" w:rsidP="00000000" w:rsidRDefault="00000000" w:rsidRPr="00000000" w14:paraId="0000011F">
      <w:pPr>
        <w:pBdr>
          <w:top w:space="0" w:sz="0" w:val="nil"/>
          <w:left w:space="0" w:sz="0" w:val="nil"/>
          <w:bottom w:space="0" w:sz="0" w:val="nil"/>
          <w:right w:space="0" w:sz="0" w:val="nil"/>
          <w:between w:space="0" w:sz="0" w:val="nil"/>
        </w:pBdr>
        <w:spacing w:after="200" w:line="276" w:lineRule="auto"/>
        <w:ind w:left="851" w:right="902"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Las resoluciones del Comité en las que se haya determinado confirmar o modificar la clasificación de información pública como reservada, deberán incluir, cuando menos: </w:t>
      </w:r>
    </w:p>
    <w:p w:rsidR="00000000" w:rsidDel="00000000" w:rsidP="00000000" w:rsidRDefault="00000000" w:rsidRPr="00000000" w14:paraId="00000120">
      <w:pPr>
        <w:pBdr>
          <w:top w:space="0" w:sz="0" w:val="nil"/>
          <w:left w:space="0" w:sz="0" w:val="nil"/>
          <w:bottom w:space="0" w:sz="0" w:val="nil"/>
          <w:right w:space="0" w:sz="0" w:val="nil"/>
          <w:between w:space="0" w:sz="0" w:val="nil"/>
        </w:pBdr>
        <w:spacing w:after="200" w:line="276" w:lineRule="auto"/>
        <w:ind w:left="1134" w:right="902"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I.</w:t>
      </w:r>
      <w:r w:rsidDel="00000000" w:rsidR="00000000" w:rsidRPr="00000000">
        <w:rPr>
          <w:rFonts w:ascii="Palatino Linotype" w:cs="Palatino Linotype" w:eastAsia="Palatino Linotype" w:hAnsi="Palatino Linotype"/>
          <w:i w:val="1"/>
          <w:iCs w:val="1"/>
          <w:sz w:val="22"/>
          <w:szCs w:val="22"/>
          <w:rtl w:val="0"/>
        </w:rPr>
        <w:t xml:space="preserve"> Los motivos y razonamientos que sustenten la confirmación o modificación de la prueba de daño;</w:t>
      </w:r>
    </w:p>
    <w:p w:rsidR="00000000" w:rsidDel="00000000" w:rsidP="00000000" w:rsidRDefault="00000000" w:rsidRPr="00000000" w14:paraId="00000121">
      <w:pPr>
        <w:pBdr>
          <w:top w:space="0" w:sz="0" w:val="nil"/>
          <w:left w:space="0" w:sz="0" w:val="nil"/>
          <w:bottom w:space="0" w:sz="0" w:val="nil"/>
          <w:right w:space="0" w:sz="0" w:val="nil"/>
          <w:between w:space="0" w:sz="0" w:val="nil"/>
        </w:pBdr>
        <w:spacing w:after="200" w:line="276" w:lineRule="auto"/>
        <w:ind w:left="1134" w:right="902" w:firstLine="0"/>
        <w:jc w:val="both"/>
        <w:rPr>
          <w:rFonts w:ascii="Palatino Linotype" w:cs="Palatino Linotype" w:eastAsia="Palatino Linotype" w:hAnsi="Palatino Linotype"/>
          <w:b w:val="1"/>
          <w:bCs w:val="1"/>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II</w:t>
      </w:r>
      <w:r w:rsidDel="00000000" w:rsidR="00000000" w:rsidRPr="00000000">
        <w:rPr>
          <w:rFonts w:ascii="Palatino Linotype" w:cs="Palatino Linotype" w:eastAsia="Palatino Linotype" w:hAnsi="Palatino Linotype"/>
          <w:i w:val="1"/>
          <w:iCs w:val="1"/>
          <w:sz w:val="22"/>
          <w:szCs w:val="22"/>
          <w:rtl w:val="0"/>
        </w:rPr>
        <w:t xml:space="preserve">. Descripción de las partes o secciones reservadas, en caso de clasificación parcial</w:t>
      </w:r>
      <w:r w:rsidDel="00000000" w:rsidR="00000000" w:rsidRPr="00000000">
        <w:rPr>
          <w:rFonts w:ascii="Palatino Linotype" w:cs="Palatino Linotype" w:eastAsia="Palatino Linotype" w:hAnsi="Palatino Linotype"/>
          <w:b w:val="1"/>
          <w:bCs w:val="1"/>
          <w:i w:val="1"/>
          <w:iCs w:val="1"/>
          <w:sz w:val="22"/>
          <w:szCs w:val="22"/>
          <w:rtl w:val="0"/>
        </w:rPr>
        <w:t xml:space="preserve">; </w:t>
      </w:r>
    </w:p>
    <w:p w:rsidR="00000000" w:rsidDel="00000000" w:rsidP="00000000" w:rsidRDefault="00000000" w:rsidRPr="00000000" w14:paraId="00000122">
      <w:pPr>
        <w:pBdr>
          <w:top w:space="0" w:sz="0" w:val="nil"/>
          <w:left w:space="0" w:sz="0" w:val="nil"/>
          <w:bottom w:space="0" w:sz="0" w:val="nil"/>
          <w:right w:space="0" w:sz="0" w:val="nil"/>
          <w:between w:space="0" w:sz="0" w:val="nil"/>
        </w:pBdr>
        <w:spacing w:after="200" w:line="276" w:lineRule="auto"/>
        <w:ind w:left="1134" w:right="902"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III.</w:t>
      </w:r>
      <w:r w:rsidDel="00000000" w:rsidR="00000000" w:rsidRPr="00000000">
        <w:rPr>
          <w:rFonts w:ascii="Palatino Linotype" w:cs="Palatino Linotype" w:eastAsia="Palatino Linotype" w:hAnsi="Palatino Linotype"/>
          <w:i w:val="1"/>
          <w:iCs w:val="1"/>
          <w:sz w:val="22"/>
          <w:szCs w:val="22"/>
          <w:rtl w:val="0"/>
        </w:rPr>
        <w:t xml:space="preserve"> El periodo por el que mantendrá su clasificación y fecha de expiración; y </w:t>
      </w:r>
    </w:p>
    <w:p w:rsidR="00000000" w:rsidDel="00000000" w:rsidP="00000000" w:rsidRDefault="00000000" w:rsidRPr="00000000" w14:paraId="00000123">
      <w:pPr>
        <w:pBdr>
          <w:top w:space="0" w:sz="0" w:val="nil"/>
          <w:left w:space="0" w:sz="0" w:val="nil"/>
          <w:bottom w:space="0" w:sz="0" w:val="nil"/>
          <w:right w:space="0" w:sz="0" w:val="nil"/>
          <w:between w:space="0" w:sz="0" w:val="nil"/>
        </w:pBdr>
        <w:spacing w:after="200" w:line="276" w:lineRule="auto"/>
        <w:ind w:left="1134" w:right="902"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IV.</w:t>
      </w:r>
      <w:r w:rsidDel="00000000" w:rsidR="00000000" w:rsidRPr="00000000">
        <w:rPr>
          <w:rFonts w:ascii="Palatino Linotype" w:cs="Palatino Linotype" w:eastAsia="Palatino Linotype" w:hAnsi="Palatino Linotype"/>
          <w:i w:val="1"/>
          <w:iCs w:val="1"/>
          <w:sz w:val="22"/>
          <w:szCs w:val="22"/>
          <w:rtl w:val="0"/>
        </w:rPr>
        <w:t xml:space="preserve"> El nombre del titular y área encargada de realizar la versión pública del documento, en su caso. </w:t>
      </w:r>
    </w:p>
    <w:p w:rsidR="00000000" w:rsidDel="00000000" w:rsidP="00000000" w:rsidRDefault="00000000" w:rsidRPr="00000000" w14:paraId="00000124">
      <w:pPr>
        <w:pBdr>
          <w:top w:space="0" w:sz="0" w:val="nil"/>
          <w:left w:space="0" w:sz="0" w:val="nil"/>
          <w:bottom w:space="0" w:sz="0" w:val="nil"/>
          <w:right w:space="0" w:sz="0" w:val="nil"/>
          <w:between w:space="0" w:sz="0" w:val="nil"/>
        </w:pBdr>
        <w:spacing w:after="200" w:line="276" w:lineRule="auto"/>
        <w:ind w:left="851" w:right="902"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En los casos en que se clasifique la información como reservada siempre se entregará o anexará la prueba de daño con la respuesta al solicitante. </w:t>
      </w:r>
    </w:p>
    <w:p w:rsidR="00000000" w:rsidDel="00000000" w:rsidP="00000000" w:rsidRDefault="00000000" w:rsidRPr="00000000" w14:paraId="00000125">
      <w:pPr>
        <w:pBdr>
          <w:top w:space="0" w:sz="0" w:val="nil"/>
          <w:left w:space="0" w:sz="0" w:val="nil"/>
          <w:bottom w:space="0" w:sz="0" w:val="nil"/>
          <w:right w:space="0" w:sz="0" w:val="nil"/>
          <w:between w:space="0" w:sz="0" w:val="nil"/>
        </w:pBdr>
        <w:spacing w:after="200" w:line="276" w:lineRule="auto"/>
        <w:ind w:left="851" w:right="902"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En los casos de resoluciones del Comité de Transparencia en las que se confirme la clasificación de información confidencial solo se deberán de identificar los tipos de datos protegidos, de conformidad con el lineamiento trigésimo octavo.</w:t>
      </w:r>
    </w:p>
    <w:p w:rsidR="00000000" w:rsidDel="00000000" w:rsidP="00000000" w:rsidRDefault="00000000" w:rsidRPr="00000000" w14:paraId="00000126">
      <w:pPr>
        <w:spacing w:after="240" w:before="240"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Para la elaboración de las versiones públicas, además, se deberán observar las formalidades establecidas en los Lineamientos Quincuagésimo segundo, Quincuagésimo cuarto, Quincuagésimo quinto, Quincuagésimo séptimo y Quincuagésimo octavo, vigentes a la fecha de la solicitud, que establecen lo siguiente:</w:t>
      </w:r>
    </w:p>
    <w:p w:rsidR="00000000" w:rsidDel="00000000" w:rsidP="00000000" w:rsidRDefault="00000000" w:rsidRPr="00000000" w14:paraId="00000127">
      <w:pPr>
        <w:spacing w:after="200" w:line="276" w:lineRule="auto"/>
        <w:ind w:left="851"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w:t>
      </w:r>
      <w:r w:rsidDel="00000000" w:rsidR="00000000" w:rsidRPr="00000000">
        <w:rPr>
          <w:rFonts w:ascii="Palatino Linotype" w:cs="Palatino Linotype" w:eastAsia="Palatino Linotype" w:hAnsi="Palatino Linotype"/>
          <w:b w:val="1"/>
          <w:bCs w:val="1"/>
          <w:i w:val="1"/>
          <w:iCs w:val="1"/>
          <w:sz w:val="22"/>
          <w:szCs w:val="22"/>
          <w:rtl w:val="0"/>
        </w:rPr>
        <w:t xml:space="preserve">Quincuagésimo segundo</w:t>
      </w:r>
      <w:r w:rsidDel="00000000" w:rsidR="00000000" w:rsidRPr="00000000">
        <w:rPr>
          <w:rFonts w:ascii="Palatino Linotype" w:cs="Palatino Linotype" w:eastAsia="Palatino Linotype" w:hAnsi="Palatino Linotype"/>
          <w:i w:val="1"/>
          <w:iCs w:val="1"/>
          <w:sz w:val="22"/>
          <w:szCs w:val="22"/>
          <w:rtl w:val="0"/>
        </w:rPr>
        <w:t xml:space="preserve">. Para la clasificación y elaboración de versiones públicas de documentos que contengan información clasificada como reservada o confidencial, las áreas de los sujetos obligados deberán tomar las medidas pertinentes tendientes a asegurar que el espacio utilizado para testar la información no podrá ser empleado para la sobreposición de contenido distinto al autorizado por el Comité.</w:t>
      </w:r>
    </w:p>
    <w:p w:rsidR="00000000" w:rsidDel="00000000" w:rsidP="00000000" w:rsidRDefault="00000000" w:rsidRPr="00000000" w14:paraId="00000128">
      <w:pPr>
        <w:spacing w:after="200" w:line="276" w:lineRule="auto"/>
        <w:ind w:left="851"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En el caso específico de la clasificación y elaboración de versiones públicas de documentos que contengan información confidencial, las áreas de los sujetos obligados deberán: </w:t>
      </w:r>
    </w:p>
    <w:p w:rsidR="00000000" w:rsidDel="00000000" w:rsidP="00000000" w:rsidRDefault="00000000" w:rsidRPr="00000000" w14:paraId="00000129">
      <w:pPr>
        <w:spacing w:after="200" w:line="276" w:lineRule="auto"/>
        <w:ind w:left="1134"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I.</w:t>
      </w:r>
      <w:r w:rsidDel="00000000" w:rsidR="00000000" w:rsidRPr="00000000">
        <w:rPr>
          <w:rFonts w:ascii="Palatino Linotype" w:cs="Palatino Linotype" w:eastAsia="Palatino Linotype" w:hAnsi="Palatino Linotype"/>
          <w:i w:val="1"/>
          <w:iCs w:val="1"/>
          <w:sz w:val="22"/>
          <w:szCs w:val="22"/>
          <w:rtl w:val="0"/>
        </w:rPr>
        <w:t xml:space="preserve"> Fijar la fecha en que se elaboró la versión pública y la fecha en la cual el Comité de Transparencia confirmó dicha versión;</w:t>
      </w:r>
    </w:p>
    <w:p w:rsidR="00000000" w:rsidDel="00000000" w:rsidP="00000000" w:rsidRDefault="00000000" w:rsidRPr="00000000" w14:paraId="0000012A">
      <w:pPr>
        <w:spacing w:after="200" w:line="276" w:lineRule="auto"/>
        <w:ind w:left="1134"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II.</w:t>
      </w:r>
      <w:r w:rsidDel="00000000" w:rsidR="00000000" w:rsidRPr="00000000">
        <w:rPr>
          <w:rFonts w:ascii="Palatino Linotype" w:cs="Palatino Linotype" w:eastAsia="Palatino Linotype" w:hAnsi="Palatino Linotype"/>
          <w:i w:val="1"/>
          <w:iCs w:val="1"/>
          <w:sz w:val="22"/>
          <w:szCs w:val="22"/>
          <w:rtl w:val="0"/>
        </w:rPr>
        <w:t xml:space="preserve"> Señalar dentro del documento el tipo de información confidencial que fue testada en cada caso específico, de conformidad con el lineamiento trigésimo octavo; y</w:t>
      </w:r>
    </w:p>
    <w:p w:rsidR="00000000" w:rsidDel="00000000" w:rsidP="00000000" w:rsidRDefault="00000000" w:rsidRPr="00000000" w14:paraId="0000012B">
      <w:pPr>
        <w:spacing w:after="200" w:line="276" w:lineRule="auto"/>
        <w:ind w:left="1134"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III.</w:t>
      </w:r>
      <w:r w:rsidDel="00000000" w:rsidR="00000000" w:rsidRPr="00000000">
        <w:rPr>
          <w:rFonts w:ascii="Palatino Linotype" w:cs="Palatino Linotype" w:eastAsia="Palatino Linotype" w:hAnsi="Palatino Linotype"/>
          <w:i w:val="1"/>
          <w:iCs w:val="1"/>
          <w:sz w:val="22"/>
          <w:szCs w:val="22"/>
          <w:rtl w:val="0"/>
        </w:rPr>
        <w:t xml:space="preserve"> Señalar las personas o instancias autorizadas a acceder a la información clasificada.</w:t>
      </w:r>
    </w:p>
    <w:p w:rsidR="00000000" w:rsidDel="00000000" w:rsidP="00000000" w:rsidRDefault="00000000" w:rsidRPr="00000000" w14:paraId="0000012C">
      <w:pPr>
        <w:spacing w:after="200" w:line="276" w:lineRule="auto"/>
        <w:ind w:left="851"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En los documentos de difusión electrónica, señalar en la primera hoja y en el nombre del archivo, que la versión pública corresponde a un documento que contiene información confidencial.”</w:t>
      </w:r>
    </w:p>
    <w:p w:rsidR="00000000" w:rsidDel="00000000" w:rsidP="00000000" w:rsidRDefault="00000000" w:rsidRPr="00000000" w14:paraId="0000012D">
      <w:pPr>
        <w:pBdr>
          <w:top w:space="0" w:sz="0" w:val="nil"/>
          <w:left w:space="0" w:sz="0" w:val="nil"/>
          <w:bottom w:space="0" w:sz="0" w:val="nil"/>
          <w:right w:space="0" w:sz="0" w:val="nil"/>
          <w:between w:space="0" w:sz="0" w:val="nil"/>
        </w:pBdr>
        <w:spacing w:after="200" w:line="276" w:lineRule="auto"/>
        <w:ind w:left="851"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w:t>
      </w:r>
    </w:p>
    <w:p w:rsidR="00000000" w:rsidDel="00000000" w:rsidP="00000000" w:rsidRDefault="00000000" w:rsidRPr="00000000" w14:paraId="0000012E">
      <w:pPr>
        <w:pBdr>
          <w:top w:space="0" w:sz="0" w:val="nil"/>
          <w:left w:space="0" w:sz="0" w:val="nil"/>
          <w:bottom w:space="0" w:sz="0" w:val="nil"/>
          <w:right w:space="0" w:sz="0" w:val="nil"/>
          <w:between w:space="0" w:sz="0" w:val="nil"/>
        </w:pBdr>
        <w:spacing w:after="200" w:line="276" w:lineRule="auto"/>
        <w:ind w:left="851" w:right="616" w:firstLine="0"/>
        <w:jc w:val="both"/>
        <w:rPr>
          <w:rFonts w:ascii="Palatino Linotype" w:cs="Palatino Linotype" w:eastAsia="Palatino Linotype" w:hAnsi="Palatino Linotype"/>
          <w:b w:val="1"/>
          <w:bCs w:val="1"/>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Quincuagésimo cuarto. </w:t>
      </w:r>
      <w:r w:rsidDel="00000000" w:rsidR="00000000" w:rsidRPr="00000000">
        <w:rPr>
          <w:rFonts w:ascii="Palatino Linotype" w:cs="Palatino Linotype" w:eastAsia="Palatino Linotype" w:hAnsi="Palatino Linotype"/>
          <w:i w:val="1"/>
          <w:iCs w:val="1"/>
          <w:sz w:val="22"/>
          <w:szCs w:val="22"/>
          <w:rtl w:val="0"/>
        </w:rPr>
        <w:t xml:space="preserve">Cuando el Comité de Transparencia confirme la clasificación de documentos reservados y/o confidenciales, sea total o parcialmente; se deberá anexar al expediente la resolución que determinó la clasificación o, en su defecto, identificar en la carátula del expediente del cual formen parte, la fecha y sesión del Comité de Transparencia en la que se confirmó dicha clasificación.</w:t>
      </w:r>
      <w:r w:rsidDel="00000000" w:rsidR="00000000" w:rsidRPr="00000000">
        <w:rPr>
          <w:rFonts w:ascii="Palatino Linotype" w:cs="Palatino Linotype" w:eastAsia="Palatino Linotype" w:hAnsi="Palatino Linotype"/>
          <w:b w:val="1"/>
          <w:bCs w:val="1"/>
          <w:i w:val="1"/>
          <w:iCs w:val="1"/>
          <w:sz w:val="22"/>
          <w:szCs w:val="22"/>
          <w:rtl w:val="0"/>
        </w:rPr>
        <w:t xml:space="preserve"> </w:t>
      </w:r>
    </w:p>
    <w:p w:rsidR="00000000" w:rsidDel="00000000" w:rsidP="00000000" w:rsidRDefault="00000000" w:rsidRPr="00000000" w14:paraId="0000012F">
      <w:pPr>
        <w:spacing w:after="200" w:line="276" w:lineRule="auto"/>
        <w:ind w:left="851"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Quincuagésimo quinto. </w:t>
      </w:r>
      <w:r w:rsidDel="00000000" w:rsidR="00000000" w:rsidRPr="00000000">
        <w:rPr>
          <w:rFonts w:ascii="Palatino Linotype" w:cs="Palatino Linotype" w:eastAsia="Palatino Linotype" w:hAnsi="Palatino Linotype"/>
          <w:i w:val="1"/>
          <w:iCs w:val="1"/>
          <w:sz w:val="22"/>
          <w:szCs w:val="22"/>
          <w:rtl w:val="0"/>
        </w:rPr>
        <w:t xml:space="preserve">Cada área del sujeto obligado podrá designar formalmente a una o más personas como responsables del testado, que sean encargadas de la adecuada elaboración o supervisión de las versiones públicas de los documentos o expedientes, verificando que cumplan con los requisitos señalados en las Leyes Generales, los presentes Lineamientos y demás normativa aplicable antes de su confirmación por el Comité de Transparencia.</w:t>
      </w:r>
    </w:p>
    <w:p w:rsidR="00000000" w:rsidDel="00000000" w:rsidP="00000000" w:rsidRDefault="00000000" w:rsidRPr="00000000" w14:paraId="00000130">
      <w:pPr>
        <w:spacing w:after="200" w:line="276" w:lineRule="auto"/>
        <w:ind w:left="851" w:right="616" w:firstLine="0"/>
        <w:jc w:val="both"/>
        <w:rPr>
          <w:rFonts w:ascii="Palatino Linotype" w:cs="Palatino Linotype" w:eastAsia="Palatino Linotype" w:hAnsi="Palatino Linotype"/>
          <w:b w:val="1"/>
          <w:bCs w:val="1"/>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w:t>
      </w:r>
    </w:p>
    <w:p w:rsidR="00000000" w:rsidDel="00000000" w:rsidP="00000000" w:rsidRDefault="00000000" w:rsidRPr="00000000" w14:paraId="00000131">
      <w:pPr>
        <w:spacing w:after="200" w:line="276" w:lineRule="auto"/>
        <w:ind w:left="851"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Quincuagésimo séptimo</w:t>
      </w:r>
      <w:r w:rsidDel="00000000" w:rsidR="00000000" w:rsidRPr="00000000">
        <w:rPr>
          <w:rFonts w:ascii="Palatino Linotype" w:cs="Palatino Linotype" w:eastAsia="Palatino Linotype" w:hAnsi="Palatino Linotype"/>
          <w:i w:val="1"/>
          <w:iCs w:val="1"/>
          <w:sz w:val="22"/>
          <w:szCs w:val="22"/>
          <w:rtl w:val="0"/>
        </w:rPr>
        <w:t xml:space="preserve">. Se considera, en principio, como información pública y no podrá omitirse de las versiones públicas la siguiente: </w:t>
      </w:r>
    </w:p>
    <w:p w:rsidR="00000000" w:rsidDel="00000000" w:rsidP="00000000" w:rsidRDefault="00000000" w:rsidRPr="00000000" w14:paraId="00000132">
      <w:pPr>
        <w:spacing w:after="200" w:line="276" w:lineRule="auto"/>
        <w:ind w:left="1134"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I</w:t>
      </w:r>
      <w:r w:rsidDel="00000000" w:rsidR="00000000" w:rsidRPr="00000000">
        <w:rPr>
          <w:rFonts w:ascii="Palatino Linotype" w:cs="Palatino Linotype" w:eastAsia="Palatino Linotype" w:hAnsi="Palatino Linotype"/>
          <w:i w:val="1"/>
          <w:iCs w:val="1"/>
          <w:sz w:val="22"/>
          <w:szCs w:val="22"/>
          <w:rtl w:val="0"/>
        </w:rPr>
        <w:t xml:space="preserve">. La relativa a las Obligaciones de Transparencia que contempla el Título V de la Ley General y las demás disposiciones legales aplicables; </w:t>
      </w:r>
    </w:p>
    <w:p w:rsidR="00000000" w:rsidDel="00000000" w:rsidP="00000000" w:rsidRDefault="00000000" w:rsidRPr="00000000" w14:paraId="00000133">
      <w:pPr>
        <w:spacing w:after="200" w:line="276" w:lineRule="auto"/>
        <w:ind w:left="1134"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II.</w:t>
      </w:r>
      <w:r w:rsidDel="00000000" w:rsidR="00000000" w:rsidRPr="00000000">
        <w:rPr>
          <w:rFonts w:ascii="Palatino Linotype" w:cs="Palatino Linotype" w:eastAsia="Palatino Linotype" w:hAnsi="Palatino Linotype"/>
          <w:i w:val="1"/>
          <w:iCs w:val="1"/>
          <w:sz w:val="22"/>
          <w:szCs w:val="22"/>
          <w:rtl w:val="0"/>
        </w:rPr>
        <w:t xml:space="preserve"> El nombre de los integrantes de los sujetos obligados en los documentos, y sus firmas autógrafas o digitales, cuando sean utilizados en el ejercicio de las facultades conferidas para el desempeño del servicio público, y</w:t>
      </w:r>
    </w:p>
    <w:p w:rsidR="00000000" w:rsidDel="00000000" w:rsidP="00000000" w:rsidRDefault="00000000" w:rsidRPr="00000000" w14:paraId="00000134">
      <w:pPr>
        <w:spacing w:after="200" w:line="276" w:lineRule="auto"/>
        <w:ind w:left="1134"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III</w:t>
      </w:r>
      <w:r w:rsidDel="00000000" w:rsidR="00000000" w:rsidRPr="00000000">
        <w:rPr>
          <w:rFonts w:ascii="Palatino Linotype" w:cs="Palatino Linotype" w:eastAsia="Palatino Linotype" w:hAnsi="Palatino Linotype"/>
          <w:i w:val="1"/>
          <w:iCs w:val="1"/>
          <w:sz w:val="22"/>
          <w:szCs w:val="22"/>
          <w:rtl w:val="0"/>
        </w:rPr>
        <w:t xml:space="preserve">. La información que documente decisiones y los actos de autoridad concluidos de los sujetos obligados, así como el ejercicio de las facultades o actividades de los servidores públicos, de manera que se pueda valorar el desempeño de los mismos. </w:t>
      </w:r>
    </w:p>
    <w:p w:rsidR="00000000" w:rsidDel="00000000" w:rsidP="00000000" w:rsidRDefault="00000000" w:rsidRPr="00000000" w14:paraId="00000135">
      <w:pPr>
        <w:spacing w:after="200" w:line="276" w:lineRule="auto"/>
        <w:ind w:left="851"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Lo anterior, siempre y cuando no se acredite alguna causal de clasificación, prevista en las leyes o en los tratados internacionales suscritas por el Estado mexicano.  </w:t>
      </w:r>
    </w:p>
    <w:p w:rsidR="00000000" w:rsidDel="00000000" w:rsidP="00000000" w:rsidRDefault="00000000" w:rsidRPr="00000000" w14:paraId="00000136">
      <w:pPr>
        <w:spacing w:after="200" w:line="276" w:lineRule="auto"/>
        <w:ind w:left="851"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Quincuagésimo octavo</w:t>
      </w:r>
      <w:r w:rsidDel="00000000" w:rsidR="00000000" w:rsidRPr="00000000">
        <w:rPr>
          <w:rFonts w:ascii="Palatino Linotype" w:cs="Palatino Linotype" w:eastAsia="Palatino Linotype" w:hAnsi="Palatino Linotype"/>
          <w:i w:val="1"/>
          <w:iCs w:val="1"/>
          <w:sz w:val="22"/>
          <w:szCs w:val="22"/>
          <w:rtl w:val="0"/>
        </w:rPr>
        <w:t xml:space="preserve">. Los sujetos obligados garantizarán que los sistemas o medios empleados para eliminar la información en las versiones públicas sean irreversibles, de tal forma que no permitan su recuperación o la visualización de la misma.”</w:t>
      </w:r>
    </w:p>
    <w:p w:rsidR="00000000" w:rsidDel="00000000" w:rsidP="00000000" w:rsidRDefault="00000000" w:rsidRPr="00000000" w14:paraId="00000137">
      <w:pPr>
        <w:shd w:fill="ffffff" w:val="clear"/>
        <w:spacing w:line="360" w:lineRule="auto"/>
        <w:ind w:right="51"/>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Por lo tanto, la entrega de documentos en su versión pública debe acompañarse necesariamente del Acuerdo del Comité de Transparencia que la sustente, en el que se expongan los fundamentos y razonamientos que llevaron al </w:t>
      </w:r>
      <w:r w:rsidDel="00000000" w:rsidR="00000000" w:rsidRPr="00000000">
        <w:rPr>
          <w:rFonts w:ascii="Palatino Linotype" w:cs="Palatino Linotype" w:eastAsia="Palatino Linotype" w:hAnsi="Palatino Linotype"/>
          <w:b w:val="1"/>
          <w:bCs w:val="1"/>
          <w:sz w:val="22"/>
          <w:szCs w:val="22"/>
          <w:rtl w:val="0"/>
        </w:rPr>
        <w:t xml:space="preserve">Sujeto Obligado</w:t>
      </w:r>
      <w:r w:rsidDel="00000000" w:rsidR="00000000" w:rsidRPr="00000000">
        <w:rPr>
          <w:rFonts w:ascii="Palatino Linotype" w:cs="Palatino Linotype" w:eastAsia="Palatino Linotype" w:hAnsi="Palatino Linotype"/>
          <w:sz w:val="22"/>
          <w:szCs w:val="22"/>
          <w:rtl w:val="0"/>
        </w:rPr>
        <w:t xml:space="preserve"> a testar, suprimir o eliminar datos de dicho soporte documental, ya que no hacerlo implica que lo entregado no es legal ni formalmente una versión pública, sino más bien una documentación ilegible, incompleta o tachada; pues no señalar las razones por las que no se aprecian determinados datos -ya sea porque se testan o suprimen- deja al solicitante en estado de incertidumbre, al no conocer o comprender porque no aparecen en la documentación respectiva, es decir, si no se exponen de manera puntual las razones de ello se estaría violentando desde un inicio el derecho de acceso a la información del solicitante, por lo que el acuerdo respectivo, deberá hacerse del conocimiento del </w:t>
      </w:r>
      <w:r w:rsidDel="00000000" w:rsidR="00000000" w:rsidRPr="00000000">
        <w:rPr>
          <w:rFonts w:ascii="Palatino Linotype" w:cs="Palatino Linotype" w:eastAsia="Palatino Linotype" w:hAnsi="Palatino Linotype"/>
          <w:b w:val="1"/>
          <w:bCs w:val="1"/>
          <w:sz w:val="22"/>
          <w:szCs w:val="22"/>
          <w:rtl w:val="0"/>
        </w:rPr>
        <w:t xml:space="preserve">Recurrente</w:t>
      </w:r>
      <w:r w:rsidDel="00000000" w:rsidR="00000000" w:rsidRPr="00000000">
        <w:rPr>
          <w:rFonts w:ascii="Palatino Linotype" w:cs="Palatino Linotype" w:eastAsia="Palatino Linotype" w:hAnsi="Palatino Linotype"/>
          <w:sz w:val="22"/>
          <w:szCs w:val="22"/>
          <w:rtl w:val="0"/>
        </w:rPr>
        <w:t xml:space="preserve">.</w:t>
      </w:r>
    </w:p>
    <w:p w:rsidR="00000000" w:rsidDel="00000000" w:rsidP="00000000" w:rsidRDefault="00000000" w:rsidRPr="00000000" w14:paraId="00000138">
      <w:pP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139">
      <w:pPr>
        <w:pBdr>
          <w:top w:space="0" w:sz="0" w:val="nil"/>
          <w:left w:space="0" w:sz="0" w:val="nil"/>
          <w:bottom w:space="0" w:sz="0" w:val="nil"/>
          <w:right w:space="0" w:sz="0" w:val="nil"/>
          <w:between w:space="0" w:sz="0" w:val="nil"/>
        </w:pBdr>
        <w:spacing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Así, con fundamento en lo prescrito en los artículos 5 párrafos cuadragésimo cuarto, cuadragésimo quinto, cuadragésimo sexto, fracciones IV y V de la Constitución Política del Estado Libre y Soberano de México; Transitorio Cuarto, párrafo segundo del Decreto número 198 de la “LXII” Legislatura del Estado de México; 2, fracción II; 29, 36 fracciones I y II; 176, 178, 181, 185, fracción I, 186, fracción III, así como 188 de la Ley de Transparencia y Acceso a la Información Pública del Estado de México y Municipios, este Pleno:</w:t>
      </w:r>
    </w:p>
    <w:p w:rsidR="00000000" w:rsidDel="00000000" w:rsidP="00000000" w:rsidRDefault="00000000" w:rsidRPr="00000000" w14:paraId="0000013A">
      <w:pPr>
        <w:pBdr>
          <w:top w:space="0" w:sz="0" w:val="nil"/>
          <w:left w:space="0" w:sz="0" w:val="nil"/>
          <w:bottom w:space="0" w:sz="0" w:val="nil"/>
          <w:right w:space="0" w:sz="0" w:val="nil"/>
          <w:between w:space="0" w:sz="0" w:val="nil"/>
        </w:pBdr>
        <w:spacing w:after="240" w:before="240" w:line="360" w:lineRule="auto"/>
        <w:jc w:val="center"/>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b w:val="1"/>
          <w:bCs w:val="1"/>
          <w:sz w:val="22"/>
          <w:szCs w:val="22"/>
          <w:rtl w:val="0"/>
        </w:rPr>
        <w:t xml:space="preserve">III. R E S U E L V E</w:t>
      </w:r>
      <w:r w:rsidDel="00000000" w:rsidR="00000000" w:rsidRPr="00000000">
        <w:rPr>
          <w:rtl w:val="0"/>
        </w:rPr>
      </w:r>
    </w:p>
    <w:p w:rsidR="00000000" w:rsidDel="00000000" w:rsidP="00000000" w:rsidRDefault="00000000" w:rsidRPr="00000000" w14:paraId="0000013B">
      <w:pPr>
        <w:spacing w:line="360" w:lineRule="auto"/>
        <w:jc w:val="both"/>
        <w:rPr>
          <w:rFonts w:ascii="Palatino Linotype" w:cs="Palatino Linotype" w:eastAsia="Palatino Linotype" w:hAnsi="Palatino Linotype"/>
          <w:b w:val="1"/>
          <w:bCs w:val="1"/>
          <w:sz w:val="22"/>
          <w:szCs w:val="22"/>
        </w:rPr>
      </w:pPr>
      <w:r w:rsidDel="00000000" w:rsidR="00000000" w:rsidRPr="00000000">
        <w:rPr>
          <w:rFonts w:ascii="Palatino Linotype" w:cs="Palatino Linotype" w:eastAsia="Palatino Linotype" w:hAnsi="Palatino Linotype"/>
          <w:b w:val="1"/>
          <w:bCs w:val="1"/>
          <w:sz w:val="22"/>
          <w:szCs w:val="22"/>
          <w:rtl w:val="0"/>
        </w:rPr>
        <w:t xml:space="preserve">Primero. </w:t>
      </w:r>
      <w:r w:rsidDel="00000000" w:rsidR="00000000" w:rsidRPr="00000000">
        <w:rPr>
          <w:rFonts w:ascii="Palatino Linotype" w:cs="Palatino Linotype" w:eastAsia="Palatino Linotype" w:hAnsi="Palatino Linotype"/>
          <w:sz w:val="22"/>
          <w:szCs w:val="22"/>
          <w:rtl w:val="0"/>
        </w:rPr>
        <w:t xml:space="preserve">Resultan </w:t>
      </w:r>
      <w:r w:rsidDel="00000000" w:rsidR="00000000" w:rsidRPr="00000000">
        <w:rPr>
          <w:rFonts w:ascii="Palatino Linotype" w:cs="Palatino Linotype" w:eastAsia="Palatino Linotype" w:hAnsi="Palatino Linotype"/>
          <w:b w:val="1"/>
          <w:bCs w:val="1"/>
          <w:sz w:val="22"/>
          <w:szCs w:val="22"/>
          <w:rtl w:val="0"/>
        </w:rPr>
        <w:t xml:space="preserve">fundadas</w:t>
      </w:r>
      <w:r w:rsidDel="00000000" w:rsidR="00000000" w:rsidRPr="00000000">
        <w:rPr>
          <w:rFonts w:ascii="Palatino Linotype" w:cs="Palatino Linotype" w:eastAsia="Palatino Linotype" w:hAnsi="Palatino Linotype"/>
          <w:sz w:val="22"/>
          <w:szCs w:val="22"/>
          <w:rtl w:val="0"/>
        </w:rPr>
        <w:t xml:space="preserve"> las razones o motivos de inconformidad hechos valer por la parte</w:t>
      </w:r>
      <w:r w:rsidDel="00000000" w:rsidR="00000000" w:rsidRPr="00000000">
        <w:rPr>
          <w:rFonts w:ascii="Palatino Linotype" w:cs="Palatino Linotype" w:eastAsia="Palatino Linotype" w:hAnsi="Palatino Linotype"/>
          <w:b w:val="1"/>
          <w:bCs w:val="1"/>
          <w:sz w:val="22"/>
          <w:szCs w:val="22"/>
          <w:rtl w:val="0"/>
        </w:rPr>
        <w:t xml:space="preserve"> Recurrente</w:t>
      </w:r>
      <w:r w:rsidDel="00000000" w:rsidR="00000000" w:rsidRPr="00000000">
        <w:rPr>
          <w:rFonts w:ascii="Palatino Linotype" w:cs="Palatino Linotype" w:eastAsia="Palatino Linotype" w:hAnsi="Palatino Linotype"/>
          <w:sz w:val="22"/>
          <w:szCs w:val="22"/>
          <w:rtl w:val="0"/>
        </w:rPr>
        <w:t xml:space="preserve"> en el recurso de revisión </w:t>
      </w:r>
      <w:r w:rsidDel="00000000" w:rsidR="00000000" w:rsidRPr="00000000">
        <w:rPr>
          <w:rFonts w:ascii="Palatino Linotype" w:cs="Palatino Linotype" w:eastAsia="Palatino Linotype" w:hAnsi="Palatino Linotype"/>
          <w:b w:val="1"/>
          <w:bCs w:val="1"/>
          <w:sz w:val="22"/>
          <w:szCs w:val="22"/>
          <w:rtl w:val="0"/>
        </w:rPr>
        <w:t xml:space="preserve">06629/INFOEM/IP/RR/2026</w:t>
      </w:r>
      <w:r w:rsidDel="00000000" w:rsidR="00000000" w:rsidRPr="00000000">
        <w:rPr>
          <w:rFonts w:ascii="Palatino Linotype" w:cs="Palatino Linotype" w:eastAsia="Palatino Linotype" w:hAnsi="Palatino Linotype"/>
          <w:sz w:val="22"/>
          <w:szCs w:val="22"/>
          <w:rtl w:val="0"/>
        </w:rPr>
        <w:t xml:space="preserve">; por lo que, en términos del </w:t>
      </w:r>
      <w:r w:rsidDel="00000000" w:rsidR="00000000" w:rsidRPr="00000000">
        <w:rPr>
          <w:rFonts w:ascii="Palatino Linotype" w:cs="Palatino Linotype" w:eastAsia="Palatino Linotype" w:hAnsi="Palatino Linotype"/>
          <w:b w:val="1"/>
          <w:bCs w:val="1"/>
          <w:sz w:val="22"/>
          <w:szCs w:val="22"/>
          <w:rtl w:val="0"/>
        </w:rPr>
        <w:t xml:space="preserve">Considerando</w:t>
      </w:r>
      <w:r w:rsidDel="00000000" w:rsidR="00000000" w:rsidRPr="00000000">
        <w:rPr>
          <w:rFonts w:ascii="Palatino Linotype" w:cs="Palatino Linotype" w:eastAsia="Palatino Linotype" w:hAnsi="Palatino Linotype"/>
          <w:sz w:val="22"/>
          <w:szCs w:val="22"/>
          <w:rtl w:val="0"/>
        </w:rPr>
        <w:t xml:space="preserve"> </w:t>
      </w:r>
      <w:r w:rsidDel="00000000" w:rsidR="00000000" w:rsidRPr="00000000">
        <w:rPr>
          <w:rFonts w:ascii="Palatino Linotype" w:cs="Palatino Linotype" w:eastAsia="Palatino Linotype" w:hAnsi="Palatino Linotype"/>
          <w:b w:val="1"/>
          <w:bCs w:val="1"/>
          <w:sz w:val="22"/>
          <w:szCs w:val="22"/>
          <w:rtl w:val="0"/>
        </w:rPr>
        <w:t xml:space="preserve">Cuarto </w:t>
      </w:r>
      <w:r w:rsidDel="00000000" w:rsidR="00000000" w:rsidRPr="00000000">
        <w:rPr>
          <w:rFonts w:ascii="Palatino Linotype" w:cs="Palatino Linotype" w:eastAsia="Palatino Linotype" w:hAnsi="Palatino Linotype"/>
          <w:sz w:val="22"/>
          <w:szCs w:val="22"/>
          <w:rtl w:val="0"/>
        </w:rPr>
        <w:t xml:space="preserve">de esta resolución, se </w:t>
      </w:r>
      <w:r w:rsidDel="00000000" w:rsidR="00000000" w:rsidRPr="00000000">
        <w:rPr>
          <w:rFonts w:ascii="Palatino Linotype" w:cs="Palatino Linotype" w:eastAsia="Palatino Linotype" w:hAnsi="Palatino Linotype"/>
          <w:b w:val="1"/>
          <w:bCs w:val="1"/>
          <w:sz w:val="22"/>
          <w:szCs w:val="22"/>
          <w:rtl w:val="0"/>
        </w:rPr>
        <w:t xml:space="preserve">Revoca </w:t>
      </w:r>
      <w:r w:rsidDel="00000000" w:rsidR="00000000" w:rsidRPr="00000000">
        <w:rPr>
          <w:rFonts w:ascii="Palatino Linotype" w:cs="Palatino Linotype" w:eastAsia="Palatino Linotype" w:hAnsi="Palatino Linotype"/>
          <w:sz w:val="22"/>
          <w:szCs w:val="22"/>
          <w:rtl w:val="0"/>
        </w:rPr>
        <w:t xml:space="preserve">la respuesta emitida por el </w:t>
      </w:r>
      <w:r w:rsidDel="00000000" w:rsidR="00000000" w:rsidRPr="00000000">
        <w:rPr>
          <w:rFonts w:ascii="Palatino Linotype" w:cs="Palatino Linotype" w:eastAsia="Palatino Linotype" w:hAnsi="Palatino Linotype"/>
          <w:b w:val="1"/>
          <w:bCs w:val="1"/>
          <w:sz w:val="22"/>
          <w:szCs w:val="22"/>
          <w:rtl w:val="0"/>
        </w:rPr>
        <w:t xml:space="preserve">Sujeto Obligado.</w:t>
      </w:r>
    </w:p>
    <w:p w:rsidR="00000000" w:rsidDel="00000000" w:rsidP="00000000" w:rsidRDefault="00000000" w:rsidRPr="00000000" w14:paraId="0000013C">
      <w:pPr>
        <w:spacing w:line="360" w:lineRule="auto"/>
        <w:jc w:val="both"/>
        <w:rPr>
          <w:rFonts w:ascii="Palatino Linotype" w:cs="Palatino Linotype" w:eastAsia="Palatino Linotype" w:hAnsi="Palatino Linotype"/>
          <w:b w:val="1"/>
          <w:bCs w:val="1"/>
          <w:sz w:val="22"/>
          <w:szCs w:val="22"/>
        </w:rPr>
      </w:pPr>
      <w:r w:rsidDel="00000000" w:rsidR="00000000" w:rsidRPr="00000000">
        <w:rPr>
          <w:rtl w:val="0"/>
        </w:rPr>
      </w:r>
    </w:p>
    <w:p w:rsidR="00000000" w:rsidDel="00000000" w:rsidP="00000000" w:rsidRDefault="00000000" w:rsidRPr="00000000" w14:paraId="0000013D">
      <w:pPr>
        <w:spacing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b w:val="1"/>
          <w:bCs w:val="1"/>
          <w:sz w:val="22"/>
          <w:szCs w:val="22"/>
          <w:rtl w:val="0"/>
        </w:rPr>
        <w:t xml:space="preserve">Segundo. </w:t>
      </w:r>
      <w:r w:rsidDel="00000000" w:rsidR="00000000" w:rsidRPr="00000000">
        <w:rPr>
          <w:rFonts w:ascii="Palatino Linotype" w:cs="Palatino Linotype" w:eastAsia="Palatino Linotype" w:hAnsi="Palatino Linotype"/>
          <w:sz w:val="22"/>
          <w:szCs w:val="22"/>
          <w:rtl w:val="0"/>
        </w:rPr>
        <w:t xml:space="preserve">Se </w:t>
      </w:r>
      <w:r w:rsidDel="00000000" w:rsidR="00000000" w:rsidRPr="00000000">
        <w:rPr>
          <w:rFonts w:ascii="Palatino Linotype" w:cs="Palatino Linotype" w:eastAsia="Palatino Linotype" w:hAnsi="Palatino Linotype"/>
          <w:b w:val="1"/>
          <w:bCs w:val="1"/>
          <w:sz w:val="22"/>
          <w:szCs w:val="22"/>
          <w:rtl w:val="0"/>
        </w:rPr>
        <w:t xml:space="preserve">Ordena</w:t>
      </w:r>
      <w:r w:rsidDel="00000000" w:rsidR="00000000" w:rsidRPr="00000000">
        <w:rPr>
          <w:rFonts w:ascii="Palatino Linotype" w:cs="Palatino Linotype" w:eastAsia="Palatino Linotype" w:hAnsi="Palatino Linotype"/>
          <w:sz w:val="22"/>
          <w:szCs w:val="22"/>
          <w:rtl w:val="0"/>
        </w:rPr>
        <w:t xml:space="preserve"> al </w:t>
      </w:r>
      <w:r w:rsidDel="00000000" w:rsidR="00000000" w:rsidRPr="00000000">
        <w:rPr>
          <w:rFonts w:ascii="Palatino Linotype" w:cs="Palatino Linotype" w:eastAsia="Palatino Linotype" w:hAnsi="Palatino Linotype"/>
          <w:b w:val="1"/>
          <w:bCs w:val="1"/>
          <w:sz w:val="22"/>
          <w:szCs w:val="22"/>
          <w:rtl w:val="0"/>
        </w:rPr>
        <w:t xml:space="preserve">Sujeto Obligado</w:t>
      </w:r>
      <w:r w:rsidDel="00000000" w:rsidR="00000000" w:rsidRPr="00000000">
        <w:rPr>
          <w:rFonts w:ascii="Palatino Linotype" w:cs="Palatino Linotype" w:eastAsia="Palatino Linotype" w:hAnsi="Palatino Linotype"/>
          <w:sz w:val="22"/>
          <w:szCs w:val="22"/>
          <w:rtl w:val="0"/>
        </w:rPr>
        <w:t xml:space="preserve">, en términos de los Considerandos </w:t>
      </w:r>
      <w:r w:rsidDel="00000000" w:rsidR="00000000" w:rsidRPr="00000000">
        <w:rPr>
          <w:rFonts w:ascii="Palatino Linotype" w:cs="Palatino Linotype" w:eastAsia="Palatino Linotype" w:hAnsi="Palatino Linotype"/>
          <w:b w:val="1"/>
          <w:bCs w:val="1"/>
          <w:sz w:val="22"/>
          <w:szCs w:val="22"/>
          <w:rtl w:val="0"/>
        </w:rPr>
        <w:t xml:space="preserve">Cuarto y Quinto </w:t>
      </w:r>
      <w:r w:rsidDel="00000000" w:rsidR="00000000" w:rsidRPr="00000000">
        <w:rPr>
          <w:rFonts w:ascii="Palatino Linotype" w:cs="Palatino Linotype" w:eastAsia="Palatino Linotype" w:hAnsi="Palatino Linotype"/>
          <w:sz w:val="22"/>
          <w:szCs w:val="22"/>
          <w:rtl w:val="0"/>
        </w:rPr>
        <w:t xml:space="preserve">de esta resolución, </w:t>
      </w:r>
      <w:r w:rsidDel="00000000" w:rsidR="00000000" w:rsidRPr="00000000">
        <w:rPr>
          <w:rFonts w:ascii="Palatino Linotype" w:cs="Palatino Linotype" w:eastAsia="Palatino Linotype" w:hAnsi="Palatino Linotype"/>
          <w:b w:val="1"/>
          <w:bCs w:val="1"/>
          <w:sz w:val="22"/>
          <w:szCs w:val="22"/>
          <w:rtl w:val="0"/>
        </w:rPr>
        <w:t xml:space="preserve">haga entrega vía Sistema de Acceso a la Información Mexiquense (SAIMEX), previa búsqueda exhaustiva y razonable, en versión pública, lo siguiente</w:t>
      </w:r>
      <w:r w:rsidDel="00000000" w:rsidR="00000000" w:rsidRPr="00000000">
        <w:rPr>
          <w:rFonts w:ascii="Palatino Linotype" w:cs="Palatino Linotype" w:eastAsia="Palatino Linotype" w:hAnsi="Palatino Linotype"/>
          <w:sz w:val="22"/>
          <w:szCs w:val="22"/>
          <w:rtl w:val="0"/>
        </w:rPr>
        <w:t xml:space="preserve">:</w:t>
      </w:r>
    </w:p>
    <w:p w:rsidR="00000000" w:rsidDel="00000000" w:rsidP="00000000" w:rsidRDefault="00000000" w:rsidRPr="00000000" w14:paraId="0000013E">
      <w:pP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13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720" w:right="51" w:hanging="360"/>
        <w:jc w:val="both"/>
        <w:rPr>
          <w:b w:val="1"/>
          <w:bCs w:val="1"/>
          <w:i w:val="0"/>
          <w:iCs w:val="0"/>
          <w:smallCaps w:val="0"/>
          <w:strike w:val="0"/>
          <w:color w:val="000000"/>
          <w:sz w:val="22"/>
          <w:szCs w:val="22"/>
          <w:u w:val="none"/>
          <w:shd w:fill="auto" w:val="clear"/>
          <w:vertAlign w:val="baseline"/>
        </w:rPr>
      </w:pPr>
      <w:r w:rsidDel="00000000" w:rsidR="00000000" w:rsidRPr="00000000">
        <w:rPr>
          <w:rFonts w:ascii="Palatino Linotype" w:cs="Palatino Linotype" w:eastAsia="Palatino Linotype" w:hAnsi="Palatino Linotype"/>
          <w:b w:val="1"/>
          <w:bCs w:val="1"/>
          <w:i w:val="0"/>
          <w:iCs w:val="0"/>
          <w:smallCaps w:val="0"/>
          <w:strike w:val="0"/>
          <w:color w:val="000000"/>
          <w:sz w:val="22"/>
          <w:szCs w:val="22"/>
          <w:u w:val="none"/>
          <w:shd w:fill="auto" w:val="clear"/>
          <w:vertAlign w:val="baseline"/>
          <w:rtl w:val="0"/>
        </w:rPr>
        <w:t xml:space="preserve">Los recibos de nómina de los integrantes del cabildo (Presidente Municipal, Síndico y Regidores) del periodo comprendido del 01 de enero al 15 de mayo de 2026.</w:t>
      </w:r>
    </w:p>
    <w:p w:rsidR="00000000" w:rsidDel="00000000" w:rsidP="00000000" w:rsidRDefault="00000000" w:rsidRPr="00000000" w14:paraId="000001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360" w:right="49" w:firstLine="0"/>
        <w:jc w:val="both"/>
        <w:rPr>
          <w:rFonts w:ascii="Palatino Linotype" w:cs="Palatino Linotype" w:eastAsia="Palatino Linotype" w:hAnsi="Palatino Linotype"/>
          <w:b w:val="0"/>
          <w:bCs w:val="0"/>
          <w:i w:val="1"/>
          <w:iCs w:val="1"/>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41">
      <w:pPr>
        <w:pBdr>
          <w:top w:space="0" w:sz="0" w:val="nil"/>
          <w:left w:space="0" w:sz="0" w:val="nil"/>
          <w:bottom w:space="0" w:sz="0" w:val="nil"/>
          <w:right w:space="0" w:sz="0" w:val="nil"/>
          <w:between w:space="0" w:sz="0" w:val="nil"/>
        </w:pBdr>
        <w:spacing w:line="276" w:lineRule="auto"/>
        <w:ind w:right="134"/>
        <w:jc w:val="both"/>
        <w:rPr>
          <w:rFonts w:ascii="Palatino Linotype" w:cs="Palatino Linotype" w:eastAsia="Palatino Linotype" w:hAnsi="Palatino Linotype"/>
          <w:i w:val="1"/>
          <w:iCs w:val="1"/>
        </w:rPr>
      </w:pPr>
      <w:r w:rsidDel="00000000" w:rsidR="00000000" w:rsidRPr="00000000">
        <w:rPr>
          <w:rFonts w:ascii="Palatino Linotype" w:cs="Palatino Linotype" w:eastAsia="Palatino Linotype" w:hAnsi="Palatino Linotype"/>
          <w:i w:val="1"/>
          <w:iCs w:val="1"/>
          <w:rtl w:val="0"/>
        </w:rPr>
        <w:t xml:space="preserve">Para la entrega en versión pública, se deberá emitir el Acuerdo del Comité de Transparencia de acuerdo con la Ley de Transparencia y Acceso a la Información Pública del Estado de México y Municipios, en el que funde y motive las razones sobre los datos que se supriman o eliminen de los soportes documentales objeto de las versiones públicas que se formulen y se pongan a disposición de la parte Recurrente. </w:t>
      </w:r>
    </w:p>
    <w:p w:rsidR="00000000" w:rsidDel="00000000" w:rsidP="00000000" w:rsidRDefault="00000000" w:rsidRPr="00000000" w14:paraId="000001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360" w:right="49" w:firstLine="0"/>
        <w:jc w:val="both"/>
        <w:rPr>
          <w:rFonts w:ascii="Palatino Linotype" w:cs="Palatino Linotype" w:eastAsia="Palatino Linotype" w:hAnsi="Palatino Linotype"/>
          <w:b w:val="0"/>
          <w:bCs w:val="0"/>
          <w:i w:val="1"/>
          <w:iCs w:val="1"/>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43">
      <w:pPr>
        <w:spacing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b w:val="1"/>
          <w:bCs w:val="1"/>
          <w:sz w:val="22"/>
          <w:szCs w:val="22"/>
          <w:rtl w:val="0"/>
        </w:rPr>
        <w:t xml:space="preserve">Tercero. Notifíquese, </w:t>
      </w:r>
      <w:r w:rsidDel="00000000" w:rsidR="00000000" w:rsidRPr="00000000">
        <w:rPr>
          <w:rFonts w:ascii="Palatino Linotype" w:cs="Palatino Linotype" w:eastAsia="Palatino Linotype" w:hAnsi="Palatino Linotype"/>
          <w:sz w:val="22"/>
          <w:szCs w:val="22"/>
          <w:rtl w:val="0"/>
        </w:rPr>
        <w:t xml:space="preserve">vía </w:t>
      </w:r>
      <w:r w:rsidDel="00000000" w:rsidR="00000000" w:rsidRPr="00000000">
        <w:rPr>
          <w:rFonts w:ascii="Palatino Linotype" w:cs="Palatino Linotype" w:eastAsia="Palatino Linotype" w:hAnsi="Palatino Linotype"/>
          <w:b w:val="1"/>
          <w:bCs w:val="1"/>
          <w:sz w:val="22"/>
          <w:szCs w:val="22"/>
          <w:rtl w:val="0"/>
        </w:rPr>
        <w:t xml:space="preserve">SAIMEX</w:t>
      </w:r>
      <w:r w:rsidDel="00000000" w:rsidR="00000000" w:rsidRPr="00000000">
        <w:rPr>
          <w:rFonts w:ascii="Palatino Linotype" w:cs="Palatino Linotype" w:eastAsia="Palatino Linotype" w:hAnsi="Palatino Linotype"/>
          <w:sz w:val="22"/>
          <w:szCs w:val="22"/>
          <w:rtl w:val="0"/>
        </w:rPr>
        <w:t xml:space="preserve">, al Titular de la Unidad de Transparencia del </w:t>
      </w:r>
      <w:r w:rsidDel="00000000" w:rsidR="00000000" w:rsidRPr="00000000">
        <w:rPr>
          <w:rFonts w:ascii="Palatino Linotype" w:cs="Palatino Linotype" w:eastAsia="Palatino Linotype" w:hAnsi="Palatino Linotype"/>
          <w:b w:val="1"/>
          <w:bCs w:val="1"/>
          <w:sz w:val="22"/>
          <w:szCs w:val="22"/>
          <w:rtl w:val="0"/>
        </w:rPr>
        <w:t xml:space="preserve">Sujeto Obligado,</w:t>
      </w:r>
      <w:r w:rsidDel="00000000" w:rsidR="00000000" w:rsidRPr="00000000">
        <w:rPr>
          <w:rFonts w:ascii="Palatino Linotype" w:cs="Palatino Linotype" w:eastAsia="Palatino Linotype" w:hAnsi="Palatino Linotype"/>
          <w:sz w:val="22"/>
          <w:szCs w:val="22"/>
          <w:rtl w:val="0"/>
        </w:rPr>
        <w:t xml:space="preserve"> la presente resolución para que conforme a los artículos 186, último párrafo y 189, párrafo segundo y 194 de la Ley de Transparencia y Acceso a la Información Pública del Estado de México y Municipios;  dé cumplimiento a lo ordenado dentro del plazo de diez días hábiles, e informe a este Instituto en un plazo de tres días hábiles siguientes sobre el cumplimiento dado a la presente, y, se le apercibe que en caso de negarse a cumplir la presente resolución o hacerlo de manera parcial, se le impondrá una medida de apremio de conformidad con lo previsto en los artículos 198, 200, fracción III; 214, 215 y 216 de la Ley  de Transparencia y Acceso a la Información Pública del Estado de México y Municipios.</w:t>
      </w:r>
    </w:p>
    <w:p w:rsidR="00000000" w:rsidDel="00000000" w:rsidP="00000000" w:rsidRDefault="00000000" w:rsidRPr="00000000" w14:paraId="00000144">
      <w:pP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145">
      <w:pPr>
        <w:spacing w:line="360" w:lineRule="auto"/>
        <w:ind w:right="49"/>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b w:val="1"/>
          <w:bCs w:val="1"/>
          <w:sz w:val="22"/>
          <w:szCs w:val="22"/>
          <w:rtl w:val="0"/>
        </w:rPr>
        <w:t xml:space="preserve">Cuarto.</w:t>
      </w:r>
      <w:r w:rsidDel="00000000" w:rsidR="00000000" w:rsidRPr="00000000">
        <w:rPr>
          <w:rFonts w:ascii="Palatino Linotype" w:cs="Palatino Linotype" w:eastAsia="Palatino Linotype" w:hAnsi="Palatino Linotype"/>
          <w:sz w:val="22"/>
          <w:szCs w:val="22"/>
          <w:rtl w:val="0"/>
        </w:rPr>
        <w:t xml:space="preserve"> </w:t>
      </w:r>
      <w:r w:rsidDel="00000000" w:rsidR="00000000" w:rsidRPr="00000000">
        <w:rPr>
          <w:rFonts w:ascii="Palatino Linotype" w:cs="Palatino Linotype" w:eastAsia="Palatino Linotype" w:hAnsi="Palatino Linotype"/>
          <w:b w:val="1"/>
          <w:bCs w:val="1"/>
          <w:sz w:val="22"/>
          <w:szCs w:val="22"/>
          <w:rtl w:val="0"/>
        </w:rPr>
        <w:t xml:space="preserve">Notifíquese, </w:t>
      </w:r>
      <w:r w:rsidDel="00000000" w:rsidR="00000000" w:rsidRPr="00000000">
        <w:rPr>
          <w:rFonts w:ascii="Palatino Linotype" w:cs="Palatino Linotype" w:eastAsia="Palatino Linotype" w:hAnsi="Palatino Linotype"/>
          <w:sz w:val="22"/>
          <w:szCs w:val="22"/>
          <w:rtl w:val="0"/>
        </w:rPr>
        <w:t xml:space="preserve">vía </w:t>
      </w:r>
      <w:r w:rsidDel="00000000" w:rsidR="00000000" w:rsidRPr="00000000">
        <w:rPr>
          <w:rFonts w:ascii="Palatino Linotype" w:cs="Palatino Linotype" w:eastAsia="Palatino Linotype" w:hAnsi="Palatino Linotype"/>
          <w:b w:val="1"/>
          <w:bCs w:val="1"/>
          <w:sz w:val="22"/>
          <w:szCs w:val="22"/>
          <w:rtl w:val="0"/>
        </w:rPr>
        <w:t xml:space="preserve">SAIMEX</w:t>
      </w:r>
      <w:r w:rsidDel="00000000" w:rsidR="00000000" w:rsidRPr="00000000">
        <w:rPr>
          <w:rFonts w:ascii="Palatino Linotype" w:cs="Palatino Linotype" w:eastAsia="Palatino Linotype" w:hAnsi="Palatino Linotype"/>
          <w:sz w:val="22"/>
          <w:szCs w:val="22"/>
          <w:rtl w:val="0"/>
        </w:rPr>
        <w:t xml:space="preserve">, al Titular de la Unidad de Transparencia del </w:t>
      </w:r>
      <w:r w:rsidDel="00000000" w:rsidR="00000000" w:rsidRPr="00000000">
        <w:rPr>
          <w:rFonts w:ascii="Palatino Linotype" w:cs="Palatino Linotype" w:eastAsia="Palatino Linotype" w:hAnsi="Palatino Linotype"/>
          <w:b w:val="1"/>
          <w:bCs w:val="1"/>
          <w:sz w:val="22"/>
          <w:szCs w:val="22"/>
          <w:rtl w:val="0"/>
        </w:rPr>
        <w:t xml:space="preserve">Sujeto Obligado,</w:t>
      </w:r>
      <w:r w:rsidDel="00000000" w:rsidR="00000000" w:rsidRPr="00000000">
        <w:rPr>
          <w:rFonts w:ascii="Palatino Linotype" w:cs="Palatino Linotype" w:eastAsia="Palatino Linotype" w:hAnsi="Palatino Linotype"/>
          <w:sz w:val="22"/>
          <w:szCs w:val="22"/>
          <w:rtl w:val="0"/>
        </w:rPr>
        <w:t xml:space="preserve"> que de conformidad con el artículo 198 de la Ley de Transparencia y Acceso a la Información Pública del Estado de México y Municipios, de considerarlo procedente, de manera fundada y motivada, podrá solicitar una ampliación de plazo para el cumplimiento de la presente resolución.</w:t>
      </w:r>
    </w:p>
    <w:p w:rsidR="00000000" w:rsidDel="00000000" w:rsidP="00000000" w:rsidRDefault="00000000" w:rsidRPr="00000000" w14:paraId="00000146">
      <w:pPr>
        <w:spacing w:line="360" w:lineRule="auto"/>
        <w:ind w:right="49"/>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147">
      <w:pPr>
        <w:spacing w:line="360" w:lineRule="auto"/>
        <w:ind w:right="49"/>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b w:val="1"/>
          <w:bCs w:val="1"/>
          <w:sz w:val="22"/>
          <w:szCs w:val="22"/>
          <w:rtl w:val="0"/>
        </w:rPr>
        <w:t xml:space="preserve">Quinto. Notifíquese vía SAIMEX, </w:t>
      </w:r>
      <w:r w:rsidDel="00000000" w:rsidR="00000000" w:rsidRPr="00000000">
        <w:rPr>
          <w:rFonts w:ascii="Palatino Linotype" w:cs="Palatino Linotype" w:eastAsia="Palatino Linotype" w:hAnsi="Palatino Linotype"/>
          <w:sz w:val="22"/>
          <w:szCs w:val="22"/>
          <w:rtl w:val="0"/>
        </w:rPr>
        <w:t xml:space="preserve">la presente resolución a la parte </w:t>
      </w:r>
      <w:r w:rsidDel="00000000" w:rsidR="00000000" w:rsidRPr="00000000">
        <w:rPr>
          <w:rFonts w:ascii="Palatino Linotype" w:cs="Palatino Linotype" w:eastAsia="Palatino Linotype" w:hAnsi="Palatino Linotype"/>
          <w:b w:val="1"/>
          <w:bCs w:val="1"/>
          <w:sz w:val="22"/>
          <w:szCs w:val="22"/>
          <w:rtl w:val="0"/>
        </w:rPr>
        <w:t xml:space="preserve">Recurrente</w:t>
      </w:r>
      <w:r w:rsidDel="00000000" w:rsidR="00000000" w:rsidRPr="00000000">
        <w:rPr>
          <w:rFonts w:ascii="Palatino Linotype" w:cs="Palatino Linotype" w:eastAsia="Palatino Linotype" w:hAnsi="Palatino Linotype"/>
          <w:sz w:val="22"/>
          <w:szCs w:val="22"/>
          <w:rtl w:val="0"/>
        </w:rPr>
        <w:t xml:space="preserve">, y hágase del conocimiento que en caso de que considere que la presente resolución le causa algún perjuicio, podrá promover el Juicio de Amparo en los términos de las leyes aplicables, de acuerdo a lo estipulado por el artículo 196 de la Ley de Transparencia y Acceso a la Información Pública del Estado de México y Municipios.</w:t>
      </w:r>
    </w:p>
    <w:p w:rsidR="00000000" w:rsidDel="00000000" w:rsidP="00000000" w:rsidRDefault="00000000" w:rsidRPr="00000000" w14:paraId="00000148">
      <w:pPr>
        <w:spacing w:after="240" w:before="240"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ASÍ LO RESUELVE, POR UNANIMIDAD DE VOTOS, EL PLENO DEL INSTITUTO DE TRANSPARENCIA, ACCESO A LA INFORMACIÓN PÚBLICA Y PROTECCIÓN DE DATOS PERSONALES DEL ESTADO DE MÉXICO Y MUNICIPIOS, CONFORMADO POR LOS COMISIONADOS JOSÉ MARTÍNEZ VILCHIS, MARÍA DEL ROSARIO MEJÍA AYALA, SHARON CRISTINA MORALES MARTÍNEZ, LUIS GUSTAVO PARRA NORIEGA Y GUADALUPE RAMÍREZ PEÑA; EN LA VIGÉSIMA NOVENA SESIÓN ORDINARIA, CELEBRADA EL DIECINUEVE DE AGOSTO DE DOS MIL VEINTISÉIS, ANTE EL SECRETARIO TÉCNICO DEL PLENO ALEXIS TAPIA RAMÍREZ.</w:t>
      </w:r>
    </w:p>
    <w:p w:rsidR="00000000" w:rsidDel="00000000" w:rsidP="00000000" w:rsidRDefault="00000000" w:rsidRPr="00000000" w14:paraId="00000149">
      <w:pPr>
        <w:spacing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 </w:t>
      </w:r>
    </w:p>
    <w:p w:rsidR="00000000" w:rsidDel="00000000" w:rsidP="00000000" w:rsidRDefault="00000000" w:rsidRPr="00000000" w14:paraId="0000014A">
      <w:pPr>
        <w:rPr>
          <w:rFonts w:ascii="Palatino Linotype" w:cs="Palatino Linotype" w:eastAsia="Palatino Linotype" w:hAnsi="Palatino Linotype"/>
          <w:sz w:val="22"/>
          <w:szCs w:val="22"/>
        </w:rPr>
      </w:pPr>
      <w:r w:rsidDel="00000000" w:rsidR="00000000" w:rsidRPr="00000000">
        <w:rPr>
          <w:rtl w:val="0"/>
        </w:rPr>
      </w:r>
    </w:p>
    <w:sectPr>
      <w:headerReference r:id="rId9" w:type="default"/>
      <w:headerReference r:id="rId10" w:type="first"/>
      <w:footerReference r:id="rId11" w:type="default"/>
      <w:footerReference r:id="rId12" w:type="first"/>
      <w:pgSz w:h="15840" w:w="12240" w:orient="portrait"/>
      <w:pgMar w:bottom="1701" w:top="1985" w:left="1701" w:right="1701" w:header="709" w:footer="709"/>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Cambria"/>
  <w:font w:name="Georgia"/>
  <w:font w:name="Courier New"/>
  <w:font w:name="Palatino Linotype">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5E">
    <w:pPr>
      <w:pBdr>
        <w:top w:space="0" w:sz="0" w:val="nil"/>
        <w:left w:space="0" w:sz="0" w:val="nil"/>
        <w:bottom w:space="0" w:sz="0" w:val="nil"/>
        <w:right w:space="0" w:sz="0" w:val="nil"/>
        <w:between w:space="0" w:sz="0" w:val="nil"/>
      </w:pBdr>
      <w:tabs>
        <w:tab w:val="center" w:leader="none" w:pos="4252"/>
        <w:tab w:val="right" w:leader="none" w:pos="8504"/>
      </w:tabs>
      <w:jc w:val="right"/>
      <w:rPr>
        <w:rFonts w:ascii="Palatino Linotype" w:cs="Palatino Linotype" w:eastAsia="Palatino Linotype" w:hAnsi="Palatino Linotype"/>
        <w:color w:val="000000"/>
        <w:sz w:val="20"/>
        <w:szCs w:val="20"/>
      </w:rPr>
    </w:pPr>
    <w:r w:rsidDel="00000000" w:rsidR="00000000" w:rsidRPr="00000000">
      <w:rPr>
        <w:rFonts w:ascii="Palatino Linotype" w:cs="Palatino Linotype" w:eastAsia="Palatino Linotype" w:hAnsi="Palatino Linotype"/>
        <w:b w:val="1"/>
        <w:bCs w:val="1"/>
        <w:color w:val="000000"/>
        <w:sz w:val="20"/>
        <w:szCs w:val="20"/>
        <w:rtl w:val="0"/>
      </w:rPr>
      <w:t xml:space="preserve">Página </w:t>
    </w:r>
    <w:r w:rsidDel="00000000" w:rsidR="00000000" w:rsidRPr="00000000">
      <w:rPr>
        <w:rFonts w:ascii="Palatino Linotype" w:cs="Palatino Linotype" w:eastAsia="Palatino Linotype" w:hAnsi="Palatino Linotype"/>
        <w:b w:val="1"/>
        <w:bCs w:val="1"/>
        <w:color w:val="000000"/>
        <w:sz w:val="20"/>
        <w:szCs w:val="20"/>
      </w:rPr>
      <w:fldChar w:fldCharType="begin"/>
      <w:instrText xml:space="preserve">PAGE</w:instrText>
      <w:fldChar w:fldCharType="separate"/>
      <w:fldChar w:fldCharType="end"/>
    </w:r>
    <w:r w:rsidDel="00000000" w:rsidR="00000000" w:rsidRPr="00000000">
      <w:rPr>
        <w:rFonts w:ascii="Palatino Linotype" w:cs="Palatino Linotype" w:eastAsia="Palatino Linotype" w:hAnsi="Palatino Linotype"/>
        <w:color w:val="000000"/>
        <w:sz w:val="20"/>
        <w:szCs w:val="20"/>
        <w:rtl w:val="0"/>
      </w:rPr>
      <w:t xml:space="preserve"> de </w:t>
    </w:r>
    <w:r w:rsidDel="00000000" w:rsidR="00000000" w:rsidRPr="00000000">
      <w:rPr>
        <w:rFonts w:ascii="Palatino Linotype" w:cs="Palatino Linotype" w:eastAsia="Palatino Linotype" w:hAnsi="Palatino Linotype"/>
        <w:b w:val="1"/>
        <w:bCs w:val="1"/>
        <w:color w:val="000000"/>
        <w:sz w:val="20"/>
        <w:szCs w:val="20"/>
      </w:rPr>
      <w:fldChar w:fldCharType="begin"/>
      <w:instrText xml:space="preserve">NUMPAGES</w:instrText>
      <w:fldChar w:fldCharType="separate"/>
      <w:fldChar w:fldCharType="end"/>
    </w:r>
    <w:r w:rsidDel="00000000" w:rsidR="00000000" w:rsidRPr="00000000">
      <w:rPr>
        <w:rtl w:val="0"/>
      </w:rPr>
    </w:r>
  </w:p>
  <w:p w:rsidR="00000000" w:rsidDel="00000000" w:rsidP="00000000" w:rsidRDefault="00000000" w:rsidRPr="00000000" w14:paraId="0000015F">
    <w:pPr>
      <w:pBdr>
        <w:top w:space="0" w:sz="0" w:val="nil"/>
        <w:left w:space="0" w:sz="0" w:val="nil"/>
        <w:bottom w:space="0" w:sz="0" w:val="nil"/>
        <w:right w:space="0" w:sz="0" w:val="nil"/>
        <w:between w:space="0" w:sz="0" w:val="nil"/>
      </w:pBdr>
      <w:tabs>
        <w:tab w:val="center" w:leader="none" w:pos="4252"/>
        <w:tab w:val="right" w:leader="none" w:pos="8504"/>
      </w:tabs>
      <w:ind w:firstLine="708"/>
      <w:rPr>
        <w:rFonts w:ascii="Cambria" w:cs="Cambria" w:eastAsia="Cambria" w:hAnsi="Cambria"/>
        <w:color w:val="000000"/>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60">
    <w:pPr>
      <w:pBdr>
        <w:top w:space="0" w:sz="0" w:val="nil"/>
        <w:left w:space="0" w:sz="0" w:val="nil"/>
        <w:bottom w:space="0" w:sz="0" w:val="nil"/>
        <w:right w:space="0" w:sz="0" w:val="nil"/>
        <w:between w:space="0" w:sz="0" w:val="nil"/>
      </w:pBdr>
      <w:tabs>
        <w:tab w:val="center" w:leader="none" w:pos="4252"/>
        <w:tab w:val="right" w:leader="none" w:pos="8504"/>
      </w:tabs>
      <w:jc w:val="right"/>
      <w:rPr>
        <w:rFonts w:ascii="Palatino Linotype" w:cs="Palatino Linotype" w:eastAsia="Palatino Linotype" w:hAnsi="Palatino Linotype"/>
        <w:color w:val="000000"/>
        <w:sz w:val="20"/>
        <w:szCs w:val="20"/>
      </w:rPr>
    </w:pPr>
    <w:r w:rsidDel="00000000" w:rsidR="00000000" w:rsidRPr="00000000">
      <w:rPr>
        <w:rFonts w:ascii="Palatino Linotype" w:cs="Palatino Linotype" w:eastAsia="Palatino Linotype" w:hAnsi="Palatino Linotype"/>
        <w:b w:val="1"/>
        <w:bCs w:val="1"/>
        <w:color w:val="000000"/>
        <w:sz w:val="20"/>
        <w:szCs w:val="20"/>
        <w:rtl w:val="0"/>
      </w:rPr>
      <w:t xml:space="preserve">Página </w:t>
    </w:r>
    <w:r w:rsidDel="00000000" w:rsidR="00000000" w:rsidRPr="00000000">
      <w:rPr>
        <w:rFonts w:ascii="Palatino Linotype" w:cs="Palatino Linotype" w:eastAsia="Palatino Linotype" w:hAnsi="Palatino Linotype"/>
        <w:b w:val="1"/>
        <w:bCs w:val="1"/>
        <w:color w:val="000000"/>
        <w:sz w:val="20"/>
        <w:szCs w:val="20"/>
      </w:rPr>
      <w:fldChar w:fldCharType="begin"/>
      <w:instrText xml:space="preserve">PAGE</w:instrText>
      <w:fldChar w:fldCharType="separate"/>
      <w:fldChar w:fldCharType="end"/>
    </w:r>
    <w:r w:rsidDel="00000000" w:rsidR="00000000" w:rsidRPr="00000000">
      <w:rPr>
        <w:rFonts w:ascii="Palatino Linotype" w:cs="Palatino Linotype" w:eastAsia="Palatino Linotype" w:hAnsi="Palatino Linotype"/>
        <w:color w:val="000000"/>
        <w:sz w:val="20"/>
        <w:szCs w:val="20"/>
        <w:rtl w:val="0"/>
      </w:rPr>
      <w:t xml:space="preserve"> de </w:t>
    </w:r>
    <w:r w:rsidDel="00000000" w:rsidR="00000000" w:rsidRPr="00000000">
      <w:rPr>
        <w:rFonts w:ascii="Palatino Linotype" w:cs="Palatino Linotype" w:eastAsia="Palatino Linotype" w:hAnsi="Palatino Linotype"/>
        <w:b w:val="1"/>
        <w:bCs w:val="1"/>
        <w:color w:val="000000"/>
        <w:sz w:val="20"/>
        <w:szCs w:val="20"/>
      </w:rPr>
      <w:fldChar w:fldCharType="begin"/>
      <w:instrText xml:space="preserve">NUMPAGES</w:instrText>
      <w:fldChar w:fldCharType="separate"/>
      <w:fldChar w:fldCharType="end"/>
    </w:r>
    <w:r w:rsidDel="00000000" w:rsidR="00000000" w:rsidRPr="00000000">
      <w:rPr>
        <w:rtl w:val="0"/>
      </w:rPr>
    </w:r>
  </w:p>
  <w:p w:rsidR="00000000" w:rsidDel="00000000" w:rsidP="00000000" w:rsidRDefault="00000000" w:rsidRPr="00000000" w14:paraId="00000161">
    <w:pPr>
      <w:pBdr>
        <w:top w:space="0" w:sz="0" w:val="nil"/>
        <w:left w:space="0" w:sz="0" w:val="nil"/>
        <w:bottom w:space="0" w:sz="0" w:val="nil"/>
        <w:right w:space="0" w:sz="0" w:val="nil"/>
        <w:between w:space="0" w:sz="0" w:val="nil"/>
      </w:pBdr>
      <w:tabs>
        <w:tab w:val="center" w:leader="none" w:pos="4252"/>
        <w:tab w:val="right" w:leader="none" w:pos="8504"/>
      </w:tabs>
      <w:rPr>
        <w:rFonts w:ascii="Cambria" w:cs="Cambria" w:eastAsia="Cambria" w:hAnsi="Cambria"/>
        <w:color w:val="000000"/>
      </w:rPr>
    </w:pP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14B">
      <w:pPr>
        <w:pBdr>
          <w:top w:space="0" w:sz="0" w:val="nil"/>
          <w:left w:space="0" w:sz="0" w:val="nil"/>
          <w:bottom w:space="0" w:sz="0" w:val="nil"/>
          <w:right w:space="0" w:sz="0" w:val="nil"/>
          <w:between w:space="0" w:sz="0" w:val="nil"/>
        </w:pBdr>
        <w:tabs>
          <w:tab w:val="right" w:leader="none" w:pos="0"/>
        </w:tabs>
        <w:jc w:val="both"/>
        <w:rPr>
          <w:rFonts w:ascii="Palatino Linotype" w:cs="Palatino Linotype" w:eastAsia="Palatino Linotype" w:hAnsi="Palatino Linotype"/>
          <w:color w:val="000000"/>
          <w:sz w:val="16"/>
          <w:szCs w:val="16"/>
        </w:rPr>
      </w:pPr>
      <w:r w:rsidDel="00000000" w:rsidR="00000000" w:rsidRPr="00000000">
        <w:rPr>
          <w:rStyle w:val="FootnoteReference"/>
          <w:vertAlign w:val="superscript"/>
        </w:rPr>
        <w:footnoteRef/>
      </w:r>
      <w:r w:rsidDel="00000000" w:rsidR="00000000" w:rsidRPr="00000000">
        <w:rPr>
          <w:rFonts w:ascii="Palatino Linotype" w:cs="Palatino Linotype" w:eastAsia="Palatino Linotype" w:hAnsi="Palatino Linotype"/>
          <w:color w:val="000000"/>
          <w:sz w:val="16"/>
          <w:szCs w:val="16"/>
          <w:rtl w:val="0"/>
        </w:rPr>
        <w:t xml:space="preserve"> Resolución RRA2431/17 del Instituto Nacional de Transparencia, Acceso a la Información Pública y Protección de Datos Personales.</w:t>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4C">
    <w:pPr>
      <w:rPr>
        <w:rFonts w:ascii="Cambria" w:cs="Cambria" w:eastAsia="Cambria" w:hAnsi="Cambria"/>
        <w:color w:val="000000"/>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-1080101</wp:posOffset>
          </wp:positionH>
          <wp:positionV relativeFrom="paragraph">
            <wp:posOffset>-488275</wp:posOffset>
          </wp:positionV>
          <wp:extent cx="7809865" cy="10165715"/>
          <wp:effectExtent b="0" l="0" r="0" t="0"/>
          <wp:wrapNone/>
          <wp:docPr id="5"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7809865" cy="10165715"/>
                  </a:xfrm>
                  <a:prstGeom prst="rect"/>
                  <a:ln/>
                </pic:spPr>
              </pic:pic>
            </a:graphicData>
          </a:graphic>
        </wp:anchor>
      </w:drawing>
    </w:r>
  </w:p>
  <w:tbl>
    <w:tblPr>
      <w:tblStyle w:val="Table1"/>
      <w:tblW w:w="5953.0" w:type="dxa"/>
      <w:jc w:val="left"/>
      <w:tblInd w:w="3261.0" w:type="dxa"/>
      <w:tblLayout w:type="fixed"/>
      <w:tblLook w:val="0400"/>
    </w:tblPr>
    <w:tblGrid>
      <w:gridCol w:w="2489"/>
      <w:gridCol w:w="3464"/>
      <w:tblGridChange w:id="0">
        <w:tblGrid>
          <w:gridCol w:w="2489"/>
          <w:gridCol w:w="3464"/>
        </w:tblGrid>
      </w:tblGridChange>
    </w:tblGrid>
    <w:tr>
      <w:trPr>
        <w:cantSplit w:val="0"/>
        <w:tblHeader w:val="0"/>
      </w:trPr>
      <w:tc>
        <w:tcPr>
          <w:shd w:fill="auto" w:val="clear"/>
        </w:tcPr>
        <w:p w:rsidR="00000000" w:rsidDel="00000000" w:rsidP="00000000" w:rsidRDefault="00000000" w:rsidRPr="00000000" w14:paraId="0000014D">
          <w:pPr>
            <w:rPr>
              <w:rFonts w:ascii="Palatino Linotype" w:cs="Palatino Linotype" w:eastAsia="Palatino Linotype" w:hAnsi="Palatino Linotype"/>
              <w:b w:val="1"/>
              <w:bCs w:val="1"/>
              <w:sz w:val="22"/>
              <w:szCs w:val="22"/>
            </w:rPr>
          </w:pPr>
          <w:r w:rsidDel="00000000" w:rsidR="00000000" w:rsidRPr="00000000">
            <w:rPr>
              <w:rFonts w:ascii="Palatino Linotype" w:cs="Palatino Linotype" w:eastAsia="Palatino Linotype" w:hAnsi="Palatino Linotype"/>
              <w:b w:val="1"/>
              <w:bCs w:val="1"/>
              <w:sz w:val="22"/>
              <w:szCs w:val="22"/>
              <w:rtl w:val="0"/>
            </w:rPr>
            <w:t xml:space="preserve">Recurso de Revisión:</w:t>
          </w:r>
        </w:p>
      </w:tc>
      <w:tc>
        <w:tcPr>
          <w:shd w:fill="auto" w:val="clear"/>
          <w:vAlign w:val="center"/>
        </w:tcPr>
        <w:p w:rsidR="00000000" w:rsidDel="00000000" w:rsidP="00000000" w:rsidRDefault="00000000" w:rsidRPr="00000000" w14:paraId="0000014E">
          <w:pPr>
            <w:ind w:right="175"/>
            <w:jc w:val="both"/>
            <w:rPr>
              <w:rFonts w:ascii="Palatino Linotype" w:cs="Palatino Linotype" w:eastAsia="Palatino Linotype" w:hAnsi="Palatino Linotype"/>
              <w:b w:val="1"/>
              <w:bCs w:val="1"/>
              <w:sz w:val="22"/>
              <w:szCs w:val="22"/>
            </w:rPr>
          </w:pPr>
          <w:r w:rsidDel="00000000" w:rsidR="00000000" w:rsidRPr="00000000">
            <w:rPr>
              <w:rFonts w:ascii="Palatino Linotype" w:cs="Palatino Linotype" w:eastAsia="Palatino Linotype" w:hAnsi="Palatino Linotype"/>
              <w:b w:val="1"/>
              <w:bCs w:val="1"/>
              <w:sz w:val="22"/>
              <w:szCs w:val="22"/>
              <w:rtl w:val="0"/>
            </w:rPr>
            <w:t xml:space="preserve">06629/INFOEM/IP/RR/2026</w:t>
          </w:r>
        </w:p>
      </w:tc>
    </w:tr>
    <w:tr>
      <w:trPr>
        <w:cantSplit w:val="0"/>
        <w:trHeight w:val="228" w:hRule="atLeast"/>
        <w:tblHeader w:val="0"/>
      </w:trPr>
      <w:tc>
        <w:tcPr>
          <w:shd w:fill="auto" w:val="clear"/>
          <w:vAlign w:val="center"/>
        </w:tcPr>
        <w:p w:rsidR="00000000" w:rsidDel="00000000" w:rsidP="00000000" w:rsidRDefault="00000000" w:rsidRPr="00000000" w14:paraId="0000014F">
          <w:pPr>
            <w:rPr>
              <w:rFonts w:ascii="Palatino Linotype" w:cs="Palatino Linotype" w:eastAsia="Palatino Linotype" w:hAnsi="Palatino Linotype"/>
              <w:b w:val="1"/>
              <w:bCs w:val="1"/>
              <w:sz w:val="22"/>
              <w:szCs w:val="22"/>
            </w:rPr>
          </w:pPr>
          <w:r w:rsidDel="00000000" w:rsidR="00000000" w:rsidRPr="00000000">
            <w:rPr>
              <w:rFonts w:ascii="Palatino Linotype" w:cs="Palatino Linotype" w:eastAsia="Palatino Linotype" w:hAnsi="Palatino Linotype"/>
              <w:b w:val="1"/>
              <w:bCs w:val="1"/>
              <w:sz w:val="22"/>
              <w:szCs w:val="22"/>
              <w:rtl w:val="0"/>
            </w:rPr>
            <w:t xml:space="preserve">Sujeto Obligado:</w:t>
          </w:r>
        </w:p>
      </w:tc>
      <w:tc>
        <w:tcPr>
          <w:shd w:fill="auto" w:val="clear"/>
          <w:vAlign w:val="center"/>
        </w:tcPr>
        <w:p w:rsidR="00000000" w:rsidDel="00000000" w:rsidP="00000000" w:rsidRDefault="00000000" w:rsidRPr="00000000" w14:paraId="00000150">
          <w:pPr>
            <w:ind w:left="-45" w:right="176" w:firstLine="0"/>
            <w:jc w:val="both"/>
            <w:rPr>
              <w:rFonts w:ascii="Palatino Linotype" w:cs="Palatino Linotype" w:eastAsia="Palatino Linotype" w:hAnsi="Palatino Linotype"/>
              <w:b w:val="1"/>
              <w:bCs w:val="1"/>
              <w:sz w:val="22"/>
              <w:szCs w:val="22"/>
            </w:rPr>
          </w:pPr>
          <w:r w:rsidDel="00000000" w:rsidR="00000000" w:rsidRPr="00000000">
            <w:rPr>
              <w:rFonts w:ascii="Palatino Linotype" w:cs="Palatino Linotype" w:eastAsia="Palatino Linotype" w:hAnsi="Palatino Linotype"/>
              <w:b w:val="1"/>
              <w:bCs w:val="1"/>
              <w:sz w:val="22"/>
              <w:szCs w:val="22"/>
              <w:rtl w:val="0"/>
            </w:rPr>
            <w:t xml:space="preserve">Ayuntamiento de Toluca</w:t>
          </w:r>
        </w:p>
      </w:tc>
    </w:tr>
    <w:tr>
      <w:trPr>
        <w:cantSplit w:val="0"/>
        <w:tblHeader w:val="0"/>
      </w:trPr>
      <w:tc>
        <w:tcPr>
          <w:shd w:fill="auto" w:val="clear"/>
          <w:vAlign w:val="center"/>
        </w:tcPr>
        <w:p w:rsidR="00000000" w:rsidDel="00000000" w:rsidP="00000000" w:rsidRDefault="00000000" w:rsidRPr="00000000" w14:paraId="00000151">
          <w:pPr>
            <w:ind w:right="-108"/>
            <w:rPr>
              <w:rFonts w:ascii="Palatino Linotype" w:cs="Palatino Linotype" w:eastAsia="Palatino Linotype" w:hAnsi="Palatino Linotype"/>
              <w:b w:val="1"/>
              <w:bCs w:val="1"/>
              <w:sz w:val="22"/>
              <w:szCs w:val="22"/>
            </w:rPr>
          </w:pPr>
          <w:r w:rsidDel="00000000" w:rsidR="00000000" w:rsidRPr="00000000">
            <w:rPr>
              <w:rFonts w:ascii="Palatino Linotype" w:cs="Palatino Linotype" w:eastAsia="Palatino Linotype" w:hAnsi="Palatino Linotype"/>
              <w:b w:val="1"/>
              <w:bCs w:val="1"/>
              <w:sz w:val="22"/>
              <w:szCs w:val="22"/>
              <w:rtl w:val="0"/>
            </w:rPr>
            <w:t xml:space="preserve">Comisionada ponente:</w:t>
          </w:r>
        </w:p>
      </w:tc>
      <w:tc>
        <w:tcPr>
          <w:shd w:fill="auto" w:val="clear"/>
          <w:vAlign w:val="center"/>
        </w:tcPr>
        <w:p w:rsidR="00000000" w:rsidDel="00000000" w:rsidP="00000000" w:rsidRDefault="00000000" w:rsidRPr="00000000" w14:paraId="00000152">
          <w:pPr>
            <w:ind w:right="175"/>
            <w:jc w:val="both"/>
            <w:rPr>
              <w:rFonts w:ascii="Palatino Linotype" w:cs="Palatino Linotype" w:eastAsia="Palatino Linotype" w:hAnsi="Palatino Linotype"/>
              <w:b w:val="1"/>
              <w:bCs w:val="1"/>
              <w:sz w:val="22"/>
              <w:szCs w:val="22"/>
            </w:rPr>
          </w:pPr>
          <w:r w:rsidDel="00000000" w:rsidR="00000000" w:rsidRPr="00000000">
            <w:rPr>
              <w:rFonts w:ascii="Palatino Linotype" w:cs="Palatino Linotype" w:eastAsia="Palatino Linotype" w:hAnsi="Palatino Linotype"/>
              <w:b w:val="1"/>
              <w:bCs w:val="1"/>
              <w:sz w:val="22"/>
              <w:szCs w:val="22"/>
              <w:rtl w:val="0"/>
            </w:rPr>
            <w:t xml:space="preserve">Guadalupe Ramírez Peña</w:t>
          </w:r>
        </w:p>
      </w:tc>
    </w:tr>
  </w:tbl>
  <w:p w:rsidR="00000000" w:rsidDel="00000000" w:rsidP="00000000" w:rsidRDefault="00000000" w:rsidRPr="00000000" w14:paraId="00000153">
    <w:pPr>
      <w:rPr>
        <w:rFonts w:ascii="Cambria" w:cs="Cambria" w:eastAsia="Cambria" w:hAnsi="Cambria"/>
        <w:color w:val="000000"/>
      </w:rPr>
    </w:pPr>
    <w:r w:rsidDel="00000000" w:rsidR="00000000" w:rsidRPr="00000000">
      <w:rPr>
        <w:rFonts w:ascii="Cambria" w:cs="Cambria" w:eastAsia="Cambria" w:hAnsi="Cambria"/>
        <w:color w:val="000000"/>
        <w:rtl w:val="0"/>
      </w:rPr>
      <w:tab/>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54">
    <w:pPr>
      <w:widowControl w:val="0"/>
      <w:pBdr>
        <w:top w:space="0" w:sz="0" w:val="nil"/>
        <w:left w:space="0" w:sz="0" w:val="nil"/>
        <w:bottom w:space="0" w:sz="0" w:val="nil"/>
        <w:right w:space="0" w:sz="0" w:val="nil"/>
        <w:between w:space="0" w:sz="0" w:val="nil"/>
      </w:pBdr>
      <w:spacing w:line="276" w:lineRule="auto"/>
      <w:rPr>
        <w:rFonts w:ascii="Palatino Linotype" w:cs="Palatino Linotype" w:eastAsia="Palatino Linotype" w:hAnsi="Palatino Linotype"/>
        <w:color w:val="000000"/>
        <w:sz w:val="16"/>
        <w:szCs w:val="16"/>
      </w:rPr>
    </w:pPr>
    <w:r w:rsidDel="00000000" w:rsidR="00000000" w:rsidRPr="00000000">
      <w:rPr>
        <w:rFonts w:ascii="Palatino Linotype" w:cs="Palatino Linotype" w:eastAsia="Palatino Linotype" w:hAnsi="Palatino Linotype"/>
        <w:color w:val="000000"/>
        <w:sz w:val="16"/>
        <w:szCs w:val="16"/>
        <w:rtl w:val="0"/>
      </w:rPr>
      <w:t xml:space="preserve"> </w:t>
    </w:r>
    <w:r w:rsidDel="00000000" w:rsidR="00000000" w:rsidRPr="00000000">
      <w:drawing>
        <wp:anchor allowOverlap="1" behindDoc="1" distB="0" distT="0" distL="0" distR="0" hidden="0" layoutInCell="1" locked="0" relativeHeight="0" simplePos="0">
          <wp:simplePos x="0" y="0"/>
          <wp:positionH relativeFrom="column">
            <wp:posOffset>-1080127</wp:posOffset>
          </wp:positionH>
          <wp:positionV relativeFrom="paragraph">
            <wp:posOffset>-369902</wp:posOffset>
          </wp:positionV>
          <wp:extent cx="7809865" cy="10165715"/>
          <wp:effectExtent b="0" l="0" r="0" t="0"/>
          <wp:wrapNone/>
          <wp:docPr id="4"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7809865" cy="10165715"/>
                  </a:xfrm>
                  <a:prstGeom prst="rect"/>
                  <a:ln/>
                </pic:spPr>
              </pic:pic>
            </a:graphicData>
          </a:graphic>
        </wp:anchor>
      </w:drawing>
    </w:r>
  </w:p>
  <w:tbl>
    <w:tblPr>
      <w:tblStyle w:val="Table2"/>
      <w:tblW w:w="5953.0" w:type="dxa"/>
      <w:jc w:val="left"/>
      <w:tblInd w:w="3261.0" w:type="dxa"/>
      <w:tblLayout w:type="fixed"/>
      <w:tblLook w:val="0400"/>
    </w:tblPr>
    <w:tblGrid>
      <w:gridCol w:w="2489"/>
      <w:gridCol w:w="3464"/>
      <w:tblGridChange w:id="0">
        <w:tblGrid>
          <w:gridCol w:w="2489"/>
          <w:gridCol w:w="3464"/>
        </w:tblGrid>
      </w:tblGridChange>
    </w:tblGrid>
    <w:tr>
      <w:trPr>
        <w:cantSplit w:val="0"/>
        <w:tblHeader w:val="0"/>
      </w:trPr>
      <w:tc>
        <w:tcPr>
          <w:shd w:fill="auto" w:val="clear"/>
        </w:tcPr>
        <w:p w:rsidR="00000000" w:rsidDel="00000000" w:rsidP="00000000" w:rsidRDefault="00000000" w:rsidRPr="00000000" w14:paraId="00000155">
          <w:pPr>
            <w:rPr>
              <w:rFonts w:ascii="Palatino Linotype" w:cs="Palatino Linotype" w:eastAsia="Palatino Linotype" w:hAnsi="Palatino Linotype"/>
              <w:b w:val="1"/>
              <w:bCs w:val="1"/>
              <w:sz w:val="22"/>
              <w:szCs w:val="22"/>
            </w:rPr>
          </w:pPr>
          <w:r w:rsidDel="00000000" w:rsidR="00000000" w:rsidRPr="00000000">
            <w:rPr>
              <w:rFonts w:ascii="Palatino Linotype" w:cs="Palatino Linotype" w:eastAsia="Palatino Linotype" w:hAnsi="Palatino Linotype"/>
              <w:b w:val="1"/>
              <w:bCs w:val="1"/>
              <w:sz w:val="22"/>
              <w:szCs w:val="22"/>
              <w:rtl w:val="0"/>
            </w:rPr>
            <w:t xml:space="preserve">Recurso de Revisión:</w:t>
          </w:r>
        </w:p>
      </w:tc>
      <w:tc>
        <w:tcPr>
          <w:shd w:fill="auto" w:val="clear"/>
          <w:vAlign w:val="center"/>
        </w:tcPr>
        <w:p w:rsidR="00000000" w:rsidDel="00000000" w:rsidP="00000000" w:rsidRDefault="00000000" w:rsidRPr="00000000" w14:paraId="00000156">
          <w:pPr>
            <w:ind w:right="175"/>
            <w:jc w:val="both"/>
            <w:rPr>
              <w:rFonts w:ascii="Palatino Linotype" w:cs="Palatino Linotype" w:eastAsia="Palatino Linotype" w:hAnsi="Palatino Linotype"/>
              <w:b w:val="1"/>
              <w:bCs w:val="1"/>
              <w:sz w:val="22"/>
              <w:szCs w:val="22"/>
            </w:rPr>
          </w:pPr>
          <w:r w:rsidDel="00000000" w:rsidR="00000000" w:rsidRPr="00000000">
            <w:rPr>
              <w:rFonts w:ascii="Palatino Linotype" w:cs="Palatino Linotype" w:eastAsia="Palatino Linotype" w:hAnsi="Palatino Linotype"/>
              <w:b w:val="1"/>
              <w:bCs w:val="1"/>
              <w:sz w:val="22"/>
              <w:szCs w:val="22"/>
              <w:rtl w:val="0"/>
            </w:rPr>
            <w:t xml:space="preserve">06629/INFOEM/IP/RR/2026</w:t>
          </w:r>
        </w:p>
      </w:tc>
    </w:tr>
    <w:tr>
      <w:trPr>
        <w:cantSplit w:val="0"/>
        <w:tblHeader w:val="0"/>
      </w:trPr>
      <w:tc>
        <w:tcPr>
          <w:shd w:fill="auto" w:val="clear"/>
        </w:tcPr>
        <w:p w:rsidR="00000000" w:rsidDel="00000000" w:rsidP="00000000" w:rsidRDefault="00000000" w:rsidRPr="00000000" w14:paraId="00000157">
          <w:pPr>
            <w:rPr>
              <w:rFonts w:ascii="Palatino Linotype" w:cs="Palatino Linotype" w:eastAsia="Palatino Linotype" w:hAnsi="Palatino Linotype"/>
              <w:b w:val="1"/>
              <w:bCs w:val="1"/>
              <w:sz w:val="22"/>
              <w:szCs w:val="22"/>
            </w:rPr>
          </w:pPr>
          <w:r w:rsidDel="00000000" w:rsidR="00000000" w:rsidRPr="00000000">
            <w:rPr>
              <w:rFonts w:ascii="Palatino Linotype" w:cs="Palatino Linotype" w:eastAsia="Palatino Linotype" w:hAnsi="Palatino Linotype"/>
              <w:b w:val="1"/>
              <w:bCs w:val="1"/>
              <w:sz w:val="22"/>
              <w:szCs w:val="22"/>
              <w:rtl w:val="0"/>
            </w:rPr>
            <w:t xml:space="preserve">Recurrente</w:t>
          </w:r>
        </w:p>
      </w:tc>
      <w:tc>
        <w:tcPr>
          <w:shd w:fill="auto" w:val="clear"/>
          <w:vAlign w:val="center"/>
        </w:tcPr>
        <w:p w:rsidR="00000000" w:rsidDel="00000000" w:rsidP="00000000" w:rsidRDefault="00000000" w:rsidRPr="00000000" w14:paraId="00000158">
          <w:pPr>
            <w:ind w:right="175"/>
            <w:jc w:val="both"/>
            <w:rPr>
              <w:rFonts w:ascii="Palatino Linotype" w:cs="Palatino Linotype" w:eastAsia="Palatino Linotype" w:hAnsi="Palatino Linotype"/>
              <w:b w:val="1"/>
              <w:bCs w:val="1"/>
              <w:sz w:val="22"/>
              <w:szCs w:val="22"/>
            </w:rPr>
          </w:pPr>
          <w:r w:rsidDel="00000000" w:rsidR="00000000" w:rsidRPr="00000000">
            <w:rPr>
              <w:rtl w:val="0"/>
            </w:rPr>
          </w:r>
        </w:p>
      </w:tc>
    </w:tr>
    <w:tr>
      <w:trPr>
        <w:cantSplit w:val="0"/>
        <w:trHeight w:val="228" w:hRule="atLeast"/>
        <w:tblHeader w:val="0"/>
      </w:trPr>
      <w:tc>
        <w:tcPr>
          <w:shd w:fill="auto" w:val="clear"/>
          <w:vAlign w:val="center"/>
        </w:tcPr>
        <w:p w:rsidR="00000000" w:rsidDel="00000000" w:rsidP="00000000" w:rsidRDefault="00000000" w:rsidRPr="00000000" w14:paraId="00000159">
          <w:pPr>
            <w:rPr>
              <w:rFonts w:ascii="Palatino Linotype" w:cs="Palatino Linotype" w:eastAsia="Palatino Linotype" w:hAnsi="Palatino Linotype"/>
              <w:b w:val="1"/>
              <w:bCs w:val="1"/>
              <w:sz w:val="22"/>
              <w:szCs w:val="22"/>
            </w:rPr>
          </w:pPr>
          <w:r w:rsidDel="00000000" w:rsidR="00000000" w:rsidRPr="00000000">
            <w:rPr>
              <w:rFonts w:ascii="Palatino Linotype" w:cs="Palatino Linotype" w:eastAsia="Palatino Linotype" w:hAnsi="Palatino Linotype"/>
              <w:b w:val="1"/>
              <w:bCs w:val="1"/>
              <w:sz w:val="22"/>
              <w:szCs w:val="22"/>
              <w:rtl w:val="0"/>
            </w:rPr>
            <w:t xml:space="preserve">Sujeto Obligado:</w:t>
          </w:r>
        </w:p>
      </w:tc>
      <w:tc>
        <w:tcPr>
          <w:shd w:fill="auto" w:val="clear"/>
          <w:vAlign w:val="center"/>
        </w:tcPr>
        <w:p w:rsidR="00000000" w:rsidDel="00000000" w:rsidP="00000000" w:rsidRDefault="00000000" w:rsidRPr="00000000" w14:paraId="0000015A">
          <w:pPr>
            <w:ind w:left="-45" w:right="176" w:firstLine="0"/>
            <w:jc w:val="both"/>
            <w:rPr>
              <w:rFonts w:ascii="Palatino Linotype" w:cs="Palatino Linotype" w:eastAsia="Palatino Linotype" w:hAnsi="Palatino Linotype"/>
              <w:b w:val="1"/>
              <w:bCs w:val="1"/>
              <w:sz w:val="22"/>
              <w:szCs w:val="22"/>
            </w:rPr>
          </w:pPr>
          <w:r w:rsidDel="00000000" w:rsidR="00000000" w:rsidRPr="00000000">
            <w:rPr>
              <w:rFonts w:ascii="Palatino Linotype" w:cs="Palatino Linotype" w:eastAsia="Palatino Linotype" w:hAnsi="Palatino Linotype"/>
              <w:b w:val="1"/>
              <w:bCs w:val="1"/>
              <w:sz w:val="22"/>
              <w:szCs w:val="22"/>
              <w:rtl w:val="0"/>
            </w:rPr>
            <w:t xml:space="preserve">Ayuntamiento de Toluca</w:t>
          </w:r>
        </w:p>
      </w:tc>
    </w:tr>
    <w:tr>
      <w:trPr>
        <w:cantSplit w:val="0"/>
        <w:tblHeader w:val="0"/>
      </w:trPr>
      <w:tc>
        <w:tcPr>
          <w:shd w:fill="auto" w:val="clear"/>
          <w:vAlign w:val="center"/>
        </w:tcPr>
        <w:p w:rsidR="00000000" w:rsidDel="00000000" w:rsidP="00000000" w:rsidRDefault="00000000" w:rsidRPr="00000000" w14:paraId="0000015B">
          <w:pPr>
            <w:ind w:right="-108"/>
            <w:rPr>
              <w:rFonts w:ascii="Palatino Linotype" w:cs="Palatino Linotype" w:eastAsia="Palatino Linotype" w:hAnsi="Palatino Linotype"/>
              <w:b w:val="1"/>
              <w:bCs w:val="1"/>
              <w:sz w:val="22"/>
              <w:szCs w:val="22"/>
            </w:rPr>
          </w:pPr>
          <w:r w:rsidDel="00000000" w:rsidR="00000000" w:rsidRPr="00000000">
            <w:rPr>
              <w:rFonts w:ascii="Palatino Linotype" w:cs="Palatino Linotype" w:eastAsia="Palatino Linotype" w:hAnsi="Palatino Linotype"/>
              <w:b w:val="1"/>
              <w:bCs w:val="1"/>
              <w:sz w:val="22"/>
              <w:szCs w:val="22"/>
              <w:rtl w:val="0"/>
            </w:rPr>
            <w:t xml:space="preserve">Comisionada ponente:</w:t>
          </w:r>
        </w:p>
      </w:tc>
      <w:tc>
        <w:tcPr>
          <w:shd w:fill="auto" w:val="clear"/>
          <w:vAlign w:val="center"/>
        </w:tcPr>
        <w:p w:rsidR="00000000" w:rsidDel="00000000" w:rsidP="00000000" w:rsidRDefault="00000000" w:rsidRPr="00000000" w14:paraId="0000015C">
          <w:pPr>
            <w:ind w:right="175"/>
            <w:jc w:val="both"/>
            <w:rPr>
              <w:rFonts w:ascii="Palatino Linotype" w:cs="Palatino Linotype" w:eastAsia="Palatino Linotype" w:hAnsi="Palatino Linotype"/>
              <w:b w:val="1"/>
              <w:bCs w:val="1"/>
              <w:sz w:val="22"/>
              <w:szCs w:val="22"/>
            </w:rPr>
          </w:pPr>
          <w:r w:rsidDel="00000000" w:rsidR="00000000" w:rsidRPr="00000000">
            <w:rPr>
              <w:rFonts w:ascii="Palatino Linotype" w:cs="Palatino Linotype" w:eastAsia="Palatino Linotype" w:hAnsi="Palatino Linotype"/>
              <w:b w:val="1"/>
              <w:bCs w:val="1"/>
              <w:sz w:val="22"/>
              <w:szCs w:val="22"/>
              <w:rtl w:val="0"/>
            </w:rPr>
            <w:t xml:space="preserve">Guadalupe Ramírez Peña</w:t>
          </w:r>
        </w:p>
      </w:tc>
    </w:tr>
  </w:tbl>
  <w:p w:rsidR="00000000" w:rsidDel="00000000" w:rsidP="00000000" w:rsidRDefault="00000000" w:rsidRPr="00000000" w14:paraId="0000015D">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7"/>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upp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s-MX"/>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before="240" w:lineRule="auto"/>
    </w:pPr>
    <w:rPr>
      <w:rFonts w:ascii="Calibri" w:cs="Calibri" w:eastAsia="Calibri" w:hAnsi="Calibri"/>
      <w:color w:val="366091"/>
      <w:sz w:val="32"/>
      <w:szCs w:val="32"/>
    </w:rPr>
  </w:style>
  <w:style w:type="paragraph" w:styleId="Heading2">
    <w:name w:val="heading 2"/>
    <w:basedOn w:val="Normal"/>
    <w:next w:val="Normal"/>
    <w:pPr>
      <w:keepNext w:val="1"/>
      <w:keepLines w:val="1"/>
      <w:spacing w:before="40" w:lineRule="auto"/>
    </w:pPr>
    <w:rPr>
      <w:rFonts w:ascii="Calibri" w:cs="Calibri" w:eastAsia="Calibri" w:hAnsi="Calibri"/>
      <w:color w:val="366091"/>
      <w:sz w:val="26"/>
      <w:szCs w:val="26"/>
    </w:rPr>
  </w:style>
  <w:style w:type="paragraph" w:styleId="Heading3">
    <w:name w:val="heading 3"/>
    <w:basedOn w:val="Normal"/>
    <w:next w:val="Normal"/>
    <w:pPr>
      <w:keepNext w:val="1"/>
      <w:spacing w:after="60" w:before="240" w:lineRule="auto"/>
      <w:ind w:left="2160" w:hanging="720"/>
    </w:pPr>
    <w:rPr>
      <w:rFonts w:ascii="Calibri" w:cs="Calibri" w:eastAsia="Calibri" w:hAnsi="Calibri"/>
      <w:b w:val="1"/>
      <w:bCs w:val="1"/>
      <w:sz w:val="26"/>
      <w:szCs w:val="26"/>
    </w:rPr>
  </w:style>
  <w:style w:type="paragraph" w:styleId="Heading4">
    <w:name w:val="heading 4"/>
    <w:basedOn w:val="Normal"/>
    <w:next w:val="Normal"/>
    <w:pPr>
      <w:keepNext w:val="1"/>
      <w:spacing w:after="60" w:before="240" w:lineRule="auto"/>
      <w:ind w:left="2880" w:hanging="720"/>
    </w:pPr>
    <w:rPr>
      <w:rFonts w:ascii="Cambria" w:cs="Cambria" w:eastAsia="Cambria" w:hAnsi="Cambria"/>
      <w:b w:val="1"/>
      <w:bCs w:val="1"/>
      <w:sz w:val="28"/>
      <w:szCs w:val="28"/>
    </w:rPr>
  </w:style>
  <w:style w:type="paragraph" w:styleId="Heading5">
    <w:name w:val="heading 5"/>
    <w:basedOn w:val="Normal"/>
    <w:next w:val="Normal"/>
    <w:pPr>
      <w:spacing w:after="60" w:before="240" w:lineRule="auto"/>
      <w:ind w:left="3600" w:hanging="720"/>
    </w:pPr>
    <w:rPr>
      <w:rFonts w:ascii="Cambria" w:cs="Cambria" w:eastAsia="Cambria" w:hAnsi="Cambria"/>
      <w:b w:val="1"/>
      <w:bCs w:val="1"/>
      <w:i w:val="1"/>
      <w:iCs w:val="1"/>
      <w:sz w:val="26"/>
      <w:szCs w:val="26"/>
    </w:rPr>
  </w:style>
  <w:style w:type="paragraph" w:styleId="Heading6">
    <w:name w:val="heading 6"/>
    <w:basedOn w:val="Normal"/>
    <w:next w:val="Normal"/>
    <w:pPr>
      <w:spacing w:after="60" w:before="240" w:lineRule="auto"/>
      <w:ind w:left="4320" w:hanging="720"/>
    </w:pPr>
    <w:rPr>
      <w:b w:val="1"/>
      <w:bCs w:val="1"/>
      <w:sz w:val="22"/>
      <w:szCs w:val="22"/>
    </w:rPr>
  </w:style>
  <w:style w:type="paragraph" w:styleId="Title">
    <w:name w:val="Title"/>
    <w:basedOn w:val="Normal"/>
    <w:next w:val="Normal"/>
    <w:pPr>
      <w:keepNext w:val="1"/>
      <w:keepLines w:val="1"/>
      <w:spacing w:after="120" w:before="480" w:lineRule="auto"/>
    </w:pPr>
    <w:rPr>
      <w:b w:val="1"/>
      <w:bCs w:val="1"/>
      <w:sz w:val="72"/>
      <w:szCs w:val="72"/>
    </w:rPr>
  </w:style>
  <w:style w:type="character" w:styleId="Fuentedeprrafopredeter" w:default="1">
    <w:name w:val="Default Paragraph Font"/>
    <w:uiPriority w:val="1"/>
    <w:semiHidden w:val="1"/>
    <w:unhideWhenUsed w:val="1"/>
  </w:style>
  <w:style w:type="table" w:styleId="Tab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inlista" w:default="1">
    <w:name w:val="No List"/>
    <w:uiPriority w:val="99"/>
    <w:semiHidden w:val="1"/>
    <w:unhideWhenUsed w:val="1"/>
  </w:style>
  <w:style w:type="table" w:styleId="TableNormal" w:customStyle="1">
    <w:name w:val="TableNormal"/>
    <w:tblPr>
      <w:tblCellMar>
        <w:top w:w="100.0" w:type="dxa"/>
        <w:left w:w="100.0" w:type="dxa"/>
        <w:bottom w:w="100.0" w:type="dxa"/>
        <w:right w:w="100.0" w:type="dxa"/>
      </w:tblCellMar>
    </w:tblPr>
  </w:style>
  <w:style w:type="table" w:styleId="a" w:customStyle="1">
    <w:basedOn w:val="TableNormal"/>
    <w:tblPr>
      <w:tblStyleRowBandSize w:val="1"/>
      <w:tblStyleColBandSize w:val="1"/>
      <w:tblCellMar>
        <w:top w:w="0.0" w:type="dxa"/>
        <w:left w:w="115.0" w:type="dxa"/>
        <w:bottom w:w="0.0" w:type="dxa"/>
        <w:right w:w="115.0" w:type="dxa"/>
      </w:tblCellMar>
    </w:tblPr>
  </w:style>
  <w:style w:type="table" w:styleId="a0" w:customStyle="1">
    <w:basedOn w:val="TableNormal"/>
    <w:tblPr>
      <w:tblStyleRowBandSize w:val="1"/>
      <w:tblStyleColBandSize w:val="1"/>
      <w:tblCellMar>
        <w:top w:w="0.0" w:type="dxa"/>
        <w:left w:w="115.0" w:type="dxa"/>
        <w:bottom w:w="0.0" w:type="dxa"/>
        <w:right w:w="115.0" w:type="dxa"/>
      </w:tblCellMar>
    </w:tblPr>
  </w:style>
  <w:style w:type="paragraph" w:styleId="Encabezado">
    <w:name w:val="header"/>
    <w:basedOn w:val="Normal"/>
    <w:link w:val="EncabezadoCar"/>
    <w:uiPriority w:val="99"/>
    <w:unhideWhenUsed w:val="1"/>
    <w:rsid w:val="00DD6A3B"/>
    <w:pPr>
      <w:tabs>
        <w:tab w:val="center" w:pos="4419"/>
        <w:tab w:val="right" w:pos="8838"/>
      </w:tabs>
    </w:pPr>
  </w:style>
  <w:style w:type="character" w:styleId="EncabezadoCar" w:customStyle="1">
    <w:name w:val="Encabezado Car"/>
    <w:basedOn w:val="Fuentedeprrafopredeter"/>
    <w:link w:val="Encabezado"/>
    <w:uiPriority w:val="99"/>
    <w:rsid w:val="00DD6A3B"/>
  </w:style>
  <w:style w:type="paragraph" w:styleId="Piedepgina">
    <w:name w:val="footer"/>
    <w:basedOn w:val="Normal"/>
    <w:link w:val="PiedepginaCar"/>
    <w:uiPriority w:val="99"/>
    <w:unhideWhenUsed w:val="1"/>
    <w:rsid w:val="00DD6A3B"/>
    <w:pPr>
      <w:tabs>
        <w:tab w:val="center" w:pos="4419"/>
        <w:tab w:val="right" w:pos="8838"/>
      </w:tabs>
    </w:pPr>
  </w:style>
  <w:style w:type="character" w:styleId="PiedepginaCar" w:customStyle="1">
    <w:name w:val="Pie de página Car"/>
    <w:basedOn w:val="Fuentedeprrafopredeter"/>
    <w:link w:val="Piedepgina"/>
    <w:uiPriority w:val="99"/>
    <w:rsid w:val="00DD6A3B"/>
  </w:style>
  <w:style w:type="paragraph" w:styleId="Prrafodelista">
    <w:name w:val="List Paragraph"/>
    <w:aliases w:val="lp1,List Paragraph1,Lista de nivel 1,4 Párrafo de lista,Figuras,Dot pt,No Spacing1,List Paragraph Char Char Char,Indicator Text,Numbered Para 1,DH1,Listas,Light Grid - Accent 31,Colorful List - Accent 11,Bullet 1,F5 List Paragraph,5.9.1"/>
    <w:basedOn w:val="Normal"/>
    <w:link w:val="PrrafodelistaCar"/>
    <w:uiPriority w:val="34"/>
    <w:qFormat w:val="1"/>
    <w:rsid w:val="000D1F09"/>
    <w:pPr>
      <w:ind w:left="720"/>
      <w:contextualSpacing w:val="1"/>
    </w:pPr>
  </w:style>
  <w:style w:type="character" w:styleId="PrrafodelistaCar" w:customStyle="1">
    <w:name w:val="Párrafo de lista Car"/>
    <w:aliases w:val="lp1 Car,List Paragraph1 Car,Lista de nivel 1 Car,4 Párrafo de lista Car,Figuras Car,Dot pt Car,No Spacing1 Car,List Paragraph Char Char Char Car,Indicator Text Car,Numbered Para 1 Car,DH1 Car,Listas Car,Light Grid - Accent 31 Car"/>
    <w:link w:val="Prrafodelista"/>
    <w:uiPriority w:val="34"/>
    <w:qFormat w:val="1"/>
    <w:locked w:val="1"/>
    <w:rsid w:val="005270B4"/>
  </w:style>
  <w:style w:type="character" w:styleId="Hipervnculo">
    <w:name w:val="Hyperlink"/>
    <w:basedOn w:val="Fuentedeprrafopredeter"/>
    <w:uiPriority w:val="99"/>
    <w:unhideWhenUsed w:val="1"/>
    <w:rsid w:val="00D51817"/>
    <w:rPr>
      <w:color w:val="0000ff" w:themeColor="hyperlink"/>
      <w:u w:val="single"/>
    </w:rPr>
  </w:style>
  <w:style w:type="paragraph" w:styleId="Sinespaciado">
    <w:name w:val="No Spacing"/>
    <w:aliases w:val="Francesa"/>
    <w:link w:val="SinespaciadoCar"/>
    <w:uiPriority w:val="1"/>
    <w:qFormat w:val="1"/>
    <w:rsid w:val="009400A6"/>
    <w:rPr>
      <w:rFonts w:asciiTheme="minorHAnsi" w:cstheme="minorBidi" w:eastAsiaTheme="minorHAnsi" w:hAnsiTheme="minorHAnsi"/>
      <w:sz w:val="22"/>
      <w:szCs w:val="22"/>
      <w:lang w:eastAsia="en-US"/>
    </w:rPr>
  </w:style>
  <w:style w:type="character" w:styleId="SinespaciadoCar" w:customStyle="1">
    <w:name w:val="Sin espaciado Car"/>
    <w:aliases w:val="Francesa Car"/>
    <w:link w:val="Sinespaciado"/>
    <w:uiPriority w:val="1"/>
    <w:locked w:val="1"/>
    <w:rsid w:val="009400A6"/>
    <w:rPr>
      <w:rFonts w:asciiTheme="minorHAnsi" w:cstheme="minorBidi" w:eastAsiaTheme="minorHAnsi" w:hAnsiTheme="minorHAnsi"/>
      <w:sz w:val="22"/>
      <w:szCs w:val="22"/>
      <w:lang w:eastAsia="en-US"/>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11" Type="http://schemas.openxmlformats.org/officeDocument/2006/relationships/footer" Target="footer1.xml"/><Relationship Id="rId10" Type="http://schemas.openxmlformats.org/officeDocument/2006/relationships/header" Target="header2.xml"/><Relationship Id="rId12" Type="http://schemas.openxmlformats.org/officeDocument/2006/relationships/footer" Target="footer2.xml"/><Relationship Id="rId9" Type="http://schemas.openxmlformats.org/officeDocument/2006/relationships/header" Target="header1.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customXml" Target="../customXML/item1.xml"/><Relationship Id="rId8" Type="http://schemas.openxmlformats.org/officeDocument/2006/relationships/hyperlink" Target="https://ipomex.org.mx/ipomex/#/info-fraccion/11/197/28"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PalatinoLinotype-regular.ttf"/><Relationship Id="rId2" Type="http://schemas.openxmlformats.org/officeDocument/2006/relationships/font" Target="fonts/PalatinoLinotype-bold.ttf"/><Relationship Id="rId3" Type="http://schemas.openxmlformats.org/officeDocument/2006/relationships/font" Target="fonts/PalatinoLinotype-italic.ttf"/><Relationship Id="rId4" Type="http://schemas.openxmlformats.org/officeDocument/2006/relationships/font" Target="fonts/PalatinoLinotype-boldItalic.ttf"/><Relationship Id="rId5" Type="http://schemas.openxmlformats.org/officeDocument/2006/relationships/font" Target="fonts/NotoSansSymbols-regular.ttf"/><Relationship Id="rId6"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ZkWprDvQs50JZSccwoEVG78Oe6w==">CgMxLjAyDmgucWhkaGRiNGpoYmhpMgloLjRkMzRvZzgyCGguZ2pkZ3hzMgloLjNkeTZ2a20yCWguMzBqMHpsbDIJaC4yczhleW8xMghoLnR5amN3dDIJaC4yZXQ5MnAwMgloLjQ0c2luaW8yCGguejMzN3lhMgloLjNqMnFxbTM4AHIhMUowc3hQNzdNU2tEVnZQQ2hoNG5HTFR0ZUVJa29xRm92</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2026-09-04T17:12:00Z</dcterms:created>
  <dc:creator>INFOEM603</dc:creator>
</cp:coreProperties>
</file>