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F84F4" w14:textId="27F7F5F7" w:rsidR="00961261" w:rsidRPr="00C17835" w:rsidRDefault="008245B1" w:rsidP="00192D17">
      <w:pPr>
        <w:spacing w:before="240" w:after="240" w:line="360" w:lineRule="auto"/>
        <w:jc w:val="both"/>
        <w:rPr>
          <w:rFonts w:ascii="Palatino Linotype" w:eastAsia="Palatino Linotype" w:hAnsi="Palatino Linotype" w:cs="Palatino Linotype"/>
          <w:b/>
        </w:rPr>
      </w:pPr>
      <w:bookmarkStart w:id="0" w:name="_heading=h.1t3h5sf" w:colFirst="0" w:colLast="0"/>
      <w:bookmarkEnd w:id="0"/>
      <w:r w:rsidRPr="00C17835">
        <w:rPr>
          <w:rFonts w:ascii="Palatino Linotype" w:eastAsia="Palatino Linotype" w:hAnsi="Palatino Linotype" w:cs="Palatino Linotype"/>
          <w:b/>
        </w:rPr>
        <w:t>VOTO PARTICULAR QUE FORMULA LA COMISIONADA GUADALUPE RAMÍREZ PEÑA, EN RELACIÓN CON LA RESOLUCIÓN DICTADA POR EL PLENO DEL INSTITUTO DE TRANSPARENCIA, ACCESO A LA INFORMACIÓN PÚBLICA Y PROTECCIÓN DE DATOS PERSONALES DEL ESTADO DE MÉXICO Y MUNICIPIOS, EN LA</w:t>
      </w:r>
      <w:r w:rsidR="00DC51A4">
        <w:rPr>
          <w:rFonts w:ascii="Palatino Linotype" w:eastAsia="Palatino Linotype" w:hAnsi="Palatino Linotype" w:cs="Palatino Linotype"/>
          <w:b/>
        </w:rPr>
        <w:t xml:space="preserve"> </w:t>
      </w:r>
      <w:r w:rsidR="00F37113" w:rsidRPr="00F37113">
        <w:rPr>
          <w:rFonts w:ascii="Palatino Linotype" w:eastAsia="Palatino Linotype" w:hAnsi="Palatino Linotype" w:cs="Palatino Linotype"/>
          <w:b/>
        </w:rPr>
        <w:t xml:space="preserve">VIGÉSIMA </w:t>
      </w:r>
      <w:r w:rsidR="000603EA">
        <w:rPr>
          <w:rFonts w:ascii="Palatino Linotype" w:eastAsia="Palatino Linotype" w:hAnsi="Palatino Linotype" w:cs="Palatino Linotype"/>
          <w:b/>
        </w:rPr>
        <w:t>NOVENA</w:t>
      </w:r>
      <w:r w:rsidR="005D4A70">
        <w:rPr>
          <w:rFonts w:ascii="Palatino Linotype" w:eastAsia="Palatino Linotype" w:hAnsi="Palatino Linotype" w:cs="Palatino Linotype"/>
          <w:b/>
        </w:rPr>
        <w:t xml:space="preserve"> </w:t>
      </w:r>
      <w:r w:rsidR="00192D17">
        <w:rPr>
          <w:rFonts w:ascii="Palatino Linotype" w:eastAsia="Palatino Linotype" w:hAnsi="Palatino Linotype" w:cs="Palatino Linotype"/>
          <w:b/>
        </w:rPr>
        <w:t xml:space="preserve">SESIÓN </w:t>
      </w:r>
      <w:r w:rsidRPr="00C17835">
        <w:rPr>
          <w:rFonts w:ascii="Palatino Linotype" w:eastAsia="Palatino Linotype" w:hAnsi="Palatino Linotype" w:cs="Palatino Linotype"/>
          <w:b/>
        </w:rPr>
        <w:t xml:space="preserve">ORDINARIA DEL </w:t>
      </w:r>
      <w:r w:rsidR="005D4A70">
        <w:rPr>
          <w:rFonts w:ascii="Palatino Linotype" w:eastAsia="Palatino Linotype" w:hAnsi="Palatino Linotype" w:cs="Palatino Linotype"/>
          <w:b/>
        </w:rPr>
        <w:t>D</w:t>
      </w:r>
      <w:r w:rsidR="000603EA">
        <w:rPr>
          <w:rFonts w:ascii="Palatino Linotype" w:eastAsia="Palatino Linotype" w:hAnsi="Palatino Linotype" w:cs="Palatino Linotype"/>
          <w:b/>
        </w:rPr>
        <w:t>IECINUEVE</w:t>
      </w:r>
      <w:r w:rsidR="00C63F5B">
        <w:rPr>
          <w:rFonts w:ascii="Palatino Linotype" w:eastAsia="Palatino Linotype" w:hAnsi="Palatino Linotype" w:cs="Palatino Linotype"/>
          <w:b/>
        </w:rPr>
        <w:t xml:space="preserve"> DE AGOSTO</w:t>
      </w:r>
      <w:r w:rsidR="00F37113" w:rsidRPr="00F37113">
        <w:rPr>
          <w:rFonts w:ascii="Palatino Linotype" w:eastAsia="Palatino Linotype" w:hAnsi="Palatino Linotype" w:cs="Palatino Linotype"/>
          <w:b/>
        </w:rPr>
        <w:t xml:space="preserve"> DE DOS MIL </w:t>
      </w:r>
      <w:r w:rsidR="00E6559B" w:rsidRPr="00F37113">
        <w:rPr>
          <w:rFonts w:ascii="Palatino Linotype" w:eastAsia="Palatino Linotype" w:hAnsi="Palatino Linotype" w:cs="Palatino Linotype"/>
          <w:b/>
        </w:rPr>
        <w:t>VEINTISÉIS</w:t>
      </w:r>
      <w:r w:rsidR="00E6559B" w:rsidRPr="00C17835">
        <w:rPr>
          <w:rFonts w:ascii="Palatino Linotype" w:eastAsia="Palatino Linotype" w:hAnsi="Palatino Linotype" w:cs="Palatino Linotype"/>
          <w:b/>
        </w:rPr>
        <w:t xml:space="preserve">, </w:t>
      </w:r>
      <w:r w:rsidRPr="00C17835">
        <w:rPr>
          <w:rFonts w:ascii="Palatino Linotype" w:eastAsia="Palatino Linotype" w:hAnsi="Palatino Linotype" w:cs="Palatino Linotype"/>
          <w:b/>
        </w:rPr>
        <w:t xml:space="preserve">EN EL RECURSO DE REVISIÓN </w:t>
      </w:r>
      <w:r w:rsidR="00192D17" w:rsidRPr="00192D17">
        <w:rPr>
          <w:rFonts w:ascii="Palatino Linotype" w:eastAsia="Palatino Linotype" w:hAnsi="Palatino Linotype" w:cs="Palatino Linotype"/>
          <w:b/>
        </w:rPr>
        <w:t>0</w:t>
      </w:r>
      <w:r w:rsidR="00072C60">
        <w:rPr>
          <w:rFonts w:ascii="Palatino Linotype" w:eastAsia="Palatino Linotype" w:hAnsi="Palatino Linotype" w:cs="Palatino Linotype"/>
          <w:b/>
        </w:rPr>
        <w:t>6479</w:t>
      </w:r>
      <w:r w:rsidR="00192D17" w:rsidRPr="00192D17">
        <w:rPr>
          <w:rFonts w:ascii="Palatino Linotype" w:eastAsia="Palatino Linotype" w:hAnsi="Palatino Linotype" w:cs="Palatino Linotype"/>
          <w:b/>
        </w:rPr>
        <w:t>/INFOEM/IP/RR/2026</w:t>
      </w:r>
      <w:r w:rsidR="00192D17">
        <w:rPr>
          <w:rFonts w:ascii="Palatino Linotype" w:eastAsia="Palatino Linotype" w:hAnsi="Palatino Linotype" w:cs="Palatino Linotype"/>
          <w:b/>
        </w:rPr>
        <w:t>.</w:t>
      </w:r>
    </w:p>
    <w:p w14:paraId="710C54D0" w14:textId="07763ED8" w:rsidR="00961261" w:rsidRPr="00192D17" w:rsidRDefault="008245B1" w:rsidP="00192D17">
      <w:pPr>
        <w:spacing w:before="240" w:after="240" w:line="360" w:lineRule="auto"/>
        <w:jc w:val="both"/>
        <w:rPr>
          <w:rFonts w:ascii="Palatino Linotype" w:eastAsia="Palatino Linotype" w:hAnsi="Palatino Linotype" w:cs="Palatino Linotype"/>
          <w:b/>
        </w:rPr>
      </w:pPr>
      <w:r w:rsidRPr="00C17835">
        <w:rPr>
          <w:rFonts w:ascii="Palatino Linotype" w:eastAsia="Palatino Linotype" w:hAnsi="Palatino Linotype" w:cs="Palatino Linotype"/>
        </w:rPr>
        <w:t xml:space="preserve">Pleno del Instituto de Transparencia, Acceso a la Información Pública y Protección de Datos Personales del Estado de México </w:t>
      </w:r>
      <w:r w:rsidR="00BF57D2">
        <w:rPr>
          <w:rFonts w:ascii="Palatino Linotype" w:eastAsia="Palatino Linotype" w:hAnsi="Palatino Linotype" w:cs="Palatino Linotype"/>
        </w:rPr>
        <w:t>aprobó</w:t>
      </w:r>
      <w:r w:rsidRPr="00C17835">
        <w:rPr>
          <w:rFonts w:ascii="Palatino Linotype" w:eastAsia="Palatino Linotype" w:hAnsi="Palatino Linotype" w:cs="Palatino Linotype"/>
        </w:rPr>
        <w:t xml:space="preserve"> la Resolución relativa al Recurso de Revisión </w:t>
      </w:r>
      <w:r w:rsidR="00192D17" w:rsidRPr="00192D17">
        <w:rPr>
          <w:rFonts w:ascii="Palatino Linotype" w:eastAsia="Palatino Linotype" w:hAnsi="Palatino Linotype" w:cs="Palatino Linotype"/>
          <w:b/>
        </w:rPr>
        <w:t>0</w:t>
      </w:r>
      <w:r w:rsidR="00072C60">
        <w:rPr>
          <w:rFonts w:ascii="Palatino Linotype" w:eastAsia="Palatino Linotype" w:hAnsi="Palatino Linotype" w:cs="Palatino Linotype"/>
          <w:b/>
        </w:rPr>
        <w:t>6479</w:t>
      </w:r>
      <w:r w:rsidR="00192D17" w:rsidRPr="00192D17">
        <w:rPr>
          <w:rFonts w:ascii="Palatino Linotype" w:eastAsia="Palatino Linotype" w:hAnsi="Palatino Linotype" w:cs="Palatino Linotype"/>
          <w:b/>
        </w:rPr>
        <w:t>/INFOEM/IP/RR/2026</w:t>
      </w:r>
      <w:r w:rsidRPr="00C17835">
        <w:rPr>
          <w:rFonts w:ascii="Palatino Linotype" w:eastAsia="Palatino Linotype" w:hAnsi="Palatino Linotype" w:cs="Palatino Linotype"/>
          <w:b/>
        </w:rPr>
        <w:t>,</w:t>
      </w:r>
      <w:r w:rsidR="00916373">
        <w:rPr>
          <w:rFonts w:ascii="Palatino Linotype" w:eastAsia="Palatino Linotype" w:hAnsi="Palatino Linotype" w:cs="Palatino Linotype"/>
          <w:b/>
        </w:rPr>
        <w:t xml:space="preserve"> </w:t>
      </w:r>
      <w:r w:rsidR="00444A11">
        <w:rPr>
          <w:rFonts w:ascii="Palatino Linotype" w:eastAsia="Palatino Linotype" w:hAnsi="Palatino Linotype" w:cs="Palatino Linotype"/>
          <w:b/>
        </w:rPr>
        <w:t xml:space="preserve"> </w:t>
      </w:r>
      <w:r w:rsidR="00575AB7">
        <w:rPr>
          <w:rFonts w:ascii="Palatino Linotype" w:eastAsia="Palatino Linotype" w:hAnsi="Palatino Linotype" w:cs="Palatino Linotype"/>
          <w:bCs/>
        </w:rPr>
        <w:t xml:space="preserve">misma que fue engrosada conforme al criterio mayoritario, </w:t>
      </w:r>
      <w:r w:rsidRPr="00C17835">
        <w:rPr>
          <w:rFonts w:ascii="Palatino Linotype" w:eastAsia="Palatino Linotype" w:hAnsi="Palatino Linotype" w:cs="Palatino Linotype"/>
        </w:rPr>
        <w:t xml:space="preserve">respecto de la cual, quien suscribe, emite </w:t>
      </w:r>
      <w:r w:rsidRPr="00C17835">
        <w:rPr>
          <w:rFonts w:ascii="Palatino Linotype" w:eastAsia="Palatino Linotype" w:hAnsi="Palatino Linotype" w:cs="Palatino Linotype"/>
          <w:b/>
        </w:rPr>
        <w:t>VOTO PARTICULAR</w:t>
      </w:r>
      <w:r w:rsidRPr="00C17835">
        <w:rPr>
          <w:rFonts w:ascii="Palatino Linotype" w:eastAsia="Palatino Linotype" w:hAnsi="Palatino Linotype" w:cs="Palatino Linotype"/>
        </w:rPr>
        <w:t>, con fundamento en los artículos 14, fracción XI, del Reglamento del Instituto de Transparencia, Acceso a la Información Pública y Protección de Personales Datos del Estado de México, así como 45 y 48, fracción I, de los Lineamientos para el funcionamiento del Pleno y las Comisiones del Instituto de Transparencia, Acceso a la Información Pública y Protección de Datos Personales del Estado de México y Municipios.</w:t>
      </w:r>
    </w:p>
    <w:p w14:paraId="011E970B" w14:textId="2F36C0E2" w:rsidR="00961261" w:rsidRPr="00C17835" w:rsidRDefault="008245B1">
      <w:pPr>
        <w:spacing w:after="0" w:line="360" w:lineRule="auto"/>
        <w:jc w:val="both"/>
        <w:rPr>
          <w:rFonts w:ascii="Palatino Linotype" w:eastAsia="Palatino Linotype" w:hAnsi="Palatino Linotype" w:cs="Palatino Linotype"/>
        </w:rPr>
      </w:pPr>
      <w:bookmarkStart w:id="1" w:name="_heading=h.30j0zll" w:colFirst="0" w:colLast="0"/>
      <w:bookmarkEnd w:id="1"/>
      <w:r w:rsidRPr="00C17835">
        <w:rPr>
          <w:rFonts w:ascii="Palatino Linotype" w:eastAsia="Palatino Linotype" w:hAnsi="Palatino Linotype" w:cs="Palatino Linotype"/>
        </w:rPr>
        <w:t xml:space="preserve">Al respecto preciso señalar que coincido con los términos generales planteados en la Resolución, no obstante, considero que en el caso de la información relacionada con remuneraciones de policías operativos adscritos al </w:t>
      </w:r>
      <w:r w:rsidR="00A439E9">
        <w:rPr>
          <w:rFonts w:ascii="Palatino Linotype" w:eastAsia="Palatino Linotype" w:hAnsi="Palatino Linotype" w:cs="Palatino Linotype"/>
        </w:rPr>
        <w:t>Sujeto Obligado</w:t>
      </w:r>
      <w:r w:rsidRPr="00C17835">
        <w:rPr>
          <w:rFonts w:ascii="Palatino Linotype" w:eastAsia="Palatino Linotype" w:hAnsi="Palatino Linotype" w:cs="Palatino Linotype"/>
        </w:rPr>
        <w:t xml:space="preserve"> deben tomarse en cuenta las consideraciones que a continuación se exponen. </w:t>
      </w:r>
    </w:p>
    <w:p w14:paraId="19FF8D30" w14:textId="77777777" w:rsidR="002735C0" w:rsidRDefault="002735C0">
      <w:pPr>
        <w:spacing w:after="0" w:line="360" w:lineRule="auto"/>
        <w:jc w:val="both"/>
        <w:rPr>
          <w:rFonts w:ascii="Palatino Linotype" w:eastAsia="Palatino Linotype" w:hAnsi="Palatino Linotype" w:cs="Palatino Linotype"/>
        </w:rPr>
      </w:pPr>
      <w:bookmarkStart w:id="2" w:name="_heading=h.d8l8c8y56037" w:colFirst="0" w:colLast="0"/>
      <w:bookmarkEnd w:id="2"/>
    </w:p>
    <w:p w14:paraId="1749964D" w14:textId="48A26B6A" w:rsidR="00961261" w:rsidRPr="00C17835" w:rsidRDefault="008245B1">
      <w:pPr>
        <w:spacing w:after="0" w:line="360" w:lineRule="auto"/>
        <w:jc w:val="both"/>
        <w:rPr>
          <w:rFonts w:ascii="Palatino Linotype" w:eastAsia="Palatino Linotype" w:hAnsi="Palatino Linotype" w:cs="Palatino Linotype"/>
        </w:rPr>
      </w:pPr>
      <w:r w:rsidRPr="00C17835">
        <w:rPr>
          <w:rFonts w:ascii="Palatino Linotype" w:eastAsia="Palatino Linotype" w:hAnsi="Palatino Linotype" w:cs="Palatino Linotype"/>
        </w:rPr>
        <w:t xml:space="preserve">Sobre este punto, debemos partir desde la máxima establecida en nuestro texto Constitucional Federal pues el artículo 21 en su párrafo noveno reconoce que la seguridad pública es una función </w:t>
      </w:r>
      <w:r w:rsidRPr="00C17835">
        <w:rPr>
          <w:rFonts w:ascii="Palatino Linotype" w:eastAsia="Palatino Linotype" w:hAnsi="Palatino Linotype" w:cs="Palatino Linotype"/>
        </w:rPr>
        <w:lastRenderedPageBreak/>
        <w:t xml:space="preserve">del Estado a cargo de la Federación, las Entidades Federativas y </w:t>
      </w:r>
      <w:r w:rsidRPr="00C17835">
        <w:rPr>
          <w:rFonts w:ascii="Palatino Linotype" w:eastAsia="Palatino Linotype" w:hAnsi="Palatino Linotype" w:cs="Palatino Linotype"/>
          <w:b/>
        </w:rPr>
        <w:t>los Municipios</w:t>
      </w:r>
      <w:r w:rsidRPr="00C17835">
        <w:rPr>
          <w:rFonts w:ascii="Palatino Linotype" w:eastAsia="Palatino Linotype" w:hAnsi="Palatino Linotype" w:cs="Palatino Linotype"/>
        </w:rPr>
        <w:t xml:space="preserve">, </w:t>
      </w:r>
      <w:r w:rsidRPr="00C17835">
        <w:rPr>
          <w:rFonts w:ascii="Palatino Linotype" w:eastAsia="Palatino Linotype" w:hAnsi="Palatino Linotype" w:cs="Palatino Linotype"/>
          <w:b/>
        </w:rPr>
        <w:t>cuyos fines son salvaguardar la vida, las libertades, la integridad y el patrimonio de las personas, así como contribuir a la generación y preservación del orden público y la paz social</w:t>
      </w:r>
      <w:r w:rsidRPr="00C17835">
        <w:rPr>
          <w:rFonts w:ascii="Palatino Linotype" w:eastAsia="Palatino Linotype" w:hAnsi="Palatino Linotype" w:cs="Palatino Linotype"/>
        </w:rPr>
        <w:t xml:space="preserve">. </w:t>
      </w:r>
    </w:p>
    <w:p w14:paraId="7D17B3EA" w14:textId="77777777" w:rsidR="00961261" w:rsidRPr="00C17835" w:rsidRDefault="00961261">
      <w:pPr>
        <w:spacing w:after="0" w:line="360" w:lineRule="auto"/>
        <w:jc w:val="both"/>
        <w:rPr>
          <w:rFonts w:ascii="Palatino Linotype" w:eastAsia="Palatino Linotype" w:hAnsi="Palatino Linotype" w:cs="Palatino Linotype"/>
        </w:rPr>
      </w:pPr>
    </w:p>
    <w:p w14:paraId="115E1973" w14:textId="77777777" w:rsidR="00961261" w:rsidRPr="00C17835" w:rsidRDefault="008245B1">
      <w:pPr>
        <w:spacing w:after="0" w:line="360" w:lineRule="auto"/>
        <w:jc w:val="both"/>
        <w:rPr>
          <w:rFonts w:ascii="Palatino Linotype" w:eastAsia="Palatino Linotype" w:hAnsi="Palatino Linotype" w:cs="Palatino Linotype"/>
        </w:rPr>
      </w:pPr>
      <w:r w:rsidRPr="00C17835">
        <w:rPr>
          <w:rFonts w:ascii="Palatino Linotype" w:eastAsia="Palatino Linotype" w:hAnsi="Palatino Linotype" w:cs="Palatino Linotype"/>
        </w:rPr>
        <w:t>Asimismo, señala que la actuación de las instituciones de seguridad pública se regirá por los principios de legalidad, objetividad, eficiencia, profesionalismo, honradez y respeto a los derechos humanos.</w:t>
      </w:r>
    </w:p>
    <w:p w14:paraId="62030F31" w14:textId="77777777" w:rsidR="00961261" w:rsidRPr="00C17835" w:rsidRDefault="00961261">
      <w:pPr>
        <w:spacing w:after="0" w:line="360" w:lineRule="auto"/>
        <w:jc w:val="both"/>
        <w:rPr>
          <w:rFonts w:ascii="Palatino Linotype" w:eastAsia="Palatino Linotype" w:hAnsi="Palatino Linotype" w:cs="Palatino Linotype"/>
        </w:rPr>
      </w:pPr>
    </w:p>
    <w:p w14:paraId="2A6AB068" w14:textId="77777777" w:rsidR="00961261" w:rsidRPr="00C17835" w:rsidRDefault="008245B1">
      <w:pPr>
        <w:spacing w:after="0" w:line="360" w:lineRule="auto"/>
        <w:jc w:val="both"/>
        <w:rPr>
          <w:rFonts w:ascii="Palatino Linotype" w:eastAsia="Palatino Linotype" w:hAnsi="Palatino Linotype" w:cs="Palatino Linotype"/>
        </w:rPr>
      </w:pPr>
      <w:r w:rsidRPr="00C17835">
        <w:rPr>
          <w:rFonts w:ascii="Palatino Linotype" w:eastAsia="Palatino Linotype" w:hAnsi="Palatino Linotype" w:cs="Palatino Linotype"/>
        </w:rPr>
        <w:t>Dicha circunstancia es replicada por la Ley de Seguridad del Estado de México en su artículo 1, fracciones II, III y V, las cuales señalan que dicho ordenamiento es de orden público, de interés social y de observancia general en todo el territorio del Estado de México y tiene por objeto establecer las bases de coordinación del Estado y los Municipios con la Federación, las Entidades Federativas, Municipios y Alcaldías de la Ciudad de México; integrar el Sistema Estatal de Seguridad Pública, que a su vez contribuirá con el Sistema Nacional de Seguridad Pública; para la construcción de las bases para una plena seguridad ciudadana.</w:t>
      </w:r>
    </w:p>
    <w:p w14:paraId="59FE44F2" w14:textId="77777777" w:rsidR="00961261" w:rsidRPr="00C17835" w:rsidRDefault="00961261">
      <w:pPr>
        <w:spacing w:after="0" w:line="360" w:lineRule="auto"/>
        <w:jc w:val="both"/>
        <w:rPr>
          <w:rFonts w:ascii="Palatino Linotype" w:eastAsia="Palatino Linotype" w:hAnsi="Palatino Linotype" w:cs="Palatino Linotype"/>
        </w:rPr>
      </w:pPr>
    </w:p>
    <w:p w14:paraId="0AA7D67A" w14:textId="77777777" w:rsidR="00961261" w:rsidRPr="00C17835" w:rsidRDefault="008245B1">
      <w:pPr>
        <w:spacing w:after="0" w:line="360" w:lineRule="auto"/>
        <w:jc w:val="both"/>
        <w:rPr>
          <w:rFonts w:ascii="Palatino Linotype" w:eastAsia="Palatino Linotype" w:hAnsi="Palatino Linotype" w:cs="Palatino Linotype"/>
        </w:rPr>
      </w:pPr>
      <w:r w:rsidRPr="00C17835">
        <w:rPr>
          <w:rFonts w:ascii="Palatino Linotype" w:eastAsia="Palatino Linotype" w:hAnsi="Palatino Linotype" w:cs="Palatino Linotype"/>
        </w:rPr>
        <w:t>De tal suerte que con lo señalado hasta este punto se advierte que la finalidad de la función de seguridad pública indudablemente tienen como eje central a la persona humana y, por ende, contribuyen al establecimiento de la seguridad ciudadana, la cual tiene por objeto proteger a las personas; asegurar el ejercicio de su ciudadanía, sus libertades y derechos fundamentales; establecer espacios de participación social corresponsable y armónica; propiciar la solución pacífica de los conflictos interpersonales y sociales; fortalecer a las instituciones, y propiciar condiciones durables que permitan a los ciudadanos desarrollar sus capacidades, en un ambiente de paz y democracia.</w:t>
      </w:r>
    </w:p>
    <w:p w14:paraId="00C6C986" w14:textId="77777777" w:rsidR="00961261" w:rsidRPr="00C17835" w:rsidRDefault="008245B1">
      <w:pPr>
        <w:spacing w:after="0" w:line="360" w:lineRule="auto"/>
        <w:jc w:val="both"/>
        <w:rPr>
          <w:rFonts w:ascii="Palatino Linotype" w:eastAsia="Palatino Linotype" w:hAnsi="Palatino Linotype" w:cs="Palatino Linotype"/>
        </w:rPr>
      </w:pPr>
      <w:r w:rsidRPr="00C17835">
        <w:rPr>
          <w:rFonts w:ascii="Palatino Linotype" w:eastAsia="Palatino Linotype" w:hAnsi="Palatino Linotype" w:cs="Palatino Linotype"/>
        </w:rPr>
        <w:lastRenderedPageBreak/>
        <w:t xml:space="preserve">Una vez acreditado el objeto de la seguridad pública, así como los sujetos encargados de ejecutar las acciones para consumar esta función, podemos observar con claridad la importancia de los elementos operativos que ejecutan estas acciones encaminadas a preservar el orden dentro de la dinámica social y podemos partir de este punto para determinar el riesgo de la divulgación de esta información y por ende, la procedencia de su clasificación como información reservada. </w:t>
      </w:r>
    </w:p>
    <w:p w14:paraId="652DD924" w14:textId="77777777" w:rsidR="00961261" w:rsidRPr="00C17835" w:rsidRDefault="00961261">
      <w:pPr>
        <w:spacing w:after="0" w:line="360" w:lineRule="auto"/>
        <w:jc w:val="both"/>
        <w:rPr>
          <w:rFonts w:ascii="Palatino Linotype" w:eastAsia="Palatino Linotype" w:hAnsi="Palatino Linotype" w:cs="Palatino Linotype"/>
        </w:rPr>
      </w:pPr>
    </w:p>
    <w:p w14:paraId="2AF03484" w14:textId="77777777" w:rsidR="00961261" w:rsidRPr="00C17835" w:rsidRDefault="008245B1">
      <w:pPr>
        <w:spacing w:after="0" w:line="360" w:lineRule="auto"/>
        <w:jc w:val="both"/>
        <w:rPr>
          <w:rFonts w:ascii="Palatino Linotype" w:eastAsia="Palatino Linotype" w:hAnsi="Palatino Linotype" w:cs="Palatino Linotype"/>
        </w:rPr>
      </w:pPr>
      <w:r w:rsidRPr="00C17835">
        <w:rPr>
          <w:rFonts w:ascii="Palatino Linotype" w:eastAsia="Palatino Linotype" w:hAnsi="Palatino Linotype" w:cs="Palatino Linotype"/>
        </w:rPr>
        <w:t>En primer momento podemos vislumbrar que el artículo 81, fracción II de la Ley de Seguridad del Estado de México dispone de manera expresa que toda información para la seguridad pública generada o en poder de Instituciones de Seguridad Pública o de cualquier instancia del Sistema Estatal debe clasificarse, sirve de referencia la siguiente cita:</w:t>
      </w:r>
    </w:p>
    <w:p w14:paraId="5C1B6340" w14:textId="77777777" w:rsidR="00961261" w:rsidRPr="00C17835" w:rsidRDefault="00961261">
      <w:pPr>
        <w:spacing w:after="0" w:line="240" w:lineRule="auto"/>
        <w:ind w:left="851" w:right="900"/>
        <w:jc w:val="both"/>
        <w:rPr>
          <w:rFonts w:ascii="Palatino Linotype" w:eastAsia="Palatino Linotype" w:hAnsi="Palatino Linotype" w:cs="Palatino Linotype"/>
          <w:i/>
        </w:rPr>
      </w:pPr>
    </w:p>
    <w:p w14:paraId="21BB6A0A" w14:textId="77777777" w:rsidR="00961261" w:rsidRPr="00C17835" w:rsidRDefault="008245B1">
      <w:pPr>
        <w:spacing w:after="0" w:line="240" w:lineRule="auto"/>
        <w:ind w:left="851" w:right="900"/>
        <w:jc w:val="both"/>
        <w:rPr>
          <w:rFonts w:ascii="Palatino Linotype" w:eastAsia="Palatino Linotype" w:hAnsi="Palatino Linotype" w:cs="Palatino Linotype"/>
          <w:i/>
        </w:rPr>
      </w:pPr>
      <w:r w:rsidRPr="00C17835">
        <w:rPr>
          <w:rFonts w:ascii="Palatino Linotype" w:eastAsia="Palatino Linotype" w:hAnsi="Palatino Linotype" w:cs="Palatino Linotype"/>
          <w:i/>
        </w:rPr>
        <w:t>“</w:t>
      </w:r>
      <w:r w:rsidRPr="00C17835">
        <w:rPr>
          <w:rFonts w:ascii="Palatino Linotype" w:eastAsia="Palatino Linotype" w:hAnsi="Palatino Linotype" w:cs="Palatino Linotype"/>
          <w:b/>
          <w:i/>
        </w:rPr>
        <w:t>Artículo 81.-</w:t>
      </w:r>
      <w:r w:rsidRPr="00C17835">
        <w:rPr>
          <w:rFonts w:ascii="Palatino Linotype" w:eastAsia="Palatino Linotype" w:hAnsi="Palatino Linotype" w:cs="Palatino Linotype"/>
          <w:i/>
        </w:rPr>
        <w:t xml:space="preserve"> Toda información para la seguridad pública generada o en poder de Instituciones de Seguridad Pública o de cualquier instancia del Sistema Estatal debe registrarse, clasificarse y tratarse de conformidad con las disposiciones aplicables. No obstante lo anterior, esta información se considerará reservada en los casos siguientes:</w:t>
      </w:r>
    </w:p>
    <w:p w14:paraId="2DDFC8AB" w14:textId="77777777" w:rsidR="00961261" w:rsidRPr="00C17835" w:rsidRDefault="008245B1">
      <w:pPr>
        <w:spacing w:after="0" w:line="240" w:lineRule="auto"/>
        <w:ind w:left="851" w:right="900"/>
        <w:jc w:val="both"/>
        <w:rPr>
          <w:rFonts w:ascii="Palatino Linotype" w:eastAsia="Palatino Linotype" w:hAnsi="Palatino Linotype" w:cs="Palatino Linotype"/>
          <w:i/>
        </w:rPr>
      </w:pPr>
      <w:r w:rsidRPr="00C17835">
        <w:rPr>
          <w:rFonts w:ascii="Palatino Linotype" w:eastAsia="Palatino Linotype" w:hAnsi="Palatino Linotype" w:cs="Palatino Linotype"/>
          <w:i/>
        </w:rPr>
        <w:t>…</w:t>
      </w:r>
    </w:p>
    <w:p w14:paraId="7D220316" w14:textId="77777777" w:rsidR="00961261" w:rsidRPr="00C17835" w:rsidRDefault="008245B1">
      <w:pPr>
        <w:spacing w:after="0" w:line="240" w:lineRule="auto"/>
        <w:ind w:left="851" w:right="900"/>
        <w:jc w:val="both"/>
        <w:rPr>
          <w:rFonts w:ascii="Palatino Linotype" w:eastAsia="Palatino Linotype" w:hAnsi="Palatino Linotype" w:cs="Palatino Linotype"/>
          <w:i/>
        </w:rPr>
      </w:pPr>
      <w:bookmarkStart w:id="3" w:name="_heading=h.2et92p0" w:colFirst="0" w:colLast="0"/>
      <w:bookmarkEnd w:id="3"/>
      <w:r w:rsidRPr="00C17835">
        <w:rPr>
          <w:rFonts w:ascii="Palatino Linotype" w:eastAsia="Palatino Linotype" w:hAnsi="Palatino Linotype" w:cs="Palatino Linotype"/>
          <w:b/>
          <w:i/>
          <w:u w:val="single"/>
        </w:rPr>
        <w:t>II. Aquella cuya revelación pueda ser utilizada para actualizar o potenciar una amenaza a la seguridad pública o a las instituciones del Estado de México ;</w:t>
      </w:r>
      <w:r w:rsidRPr="00C17835">
        <w:rPr>
          <w:rFonts w:ascii="Palatino Linotype" w:eastAsia="Palatino Linotype" w:hAnsi="Palatino Linotype" w:cs="Palatino Linotype"/>
          <w:b/>
          <w:i/>
        </w:rPr>
        <w:t xml:space="preserve">” </w:t>
      </w:r>
    </w:p>
    <w:p w14:paraId="1CDD6153" w14:textId="77777777" w:rsidR="00961261" w:rsidRPr="00C17835" w:rsidRDefault="00961261">
      <w:pPr>
        <w:spacing w:after="0" w:line="360" w:lineRule="auto"/>
        <w:ind w:left="567" w:right="990"/>
        <w:jc w:val="both"/>
        <w:rPr>
          <w:rFonts w:ascii="Palatino Linotype" w:eastAsia="Palatino Linotype" w:hAnsi="Palatino Linotype" w:cs="Palatino Linotype"/>
          <w:b/>
          <w:i/>
          <w:u w:val="single"/>
        </w:rPr>
      </w:pPr>
    </w:p>
    <w:p w14:paraId="73EB6A37" w14:textId="77777777" w:rsidR="00961261" w:rsidRPr="00C17835" w:rsidRDefault="008245B1">
      <w:pPr>
        <w:spacing w:after="0" w:line="360" w:lineRule="auto"/>
        <w:jc w:val="both"/>
        <w:rPr>
          <w:rFonts w:ascii="Palatino Linotype" w:eastAsia="Palatino Linotype" w:hAnsi="Palatino Linotype" w:cs="Palatino Linotype"/>
        </w:rPr>
      </w:pPr>
      <w:r w:rsidRPr="00C17835">
        <w:rPr>
          <w:rFonts w:ascii="Palatino Linotype" w:eastAsia="Palatino Linotype" w:hAnsi="Palatino Linotype" w:cs="Palatino Linotype"/>
        </w:rPr>
        <w:t xml:space="preserve">En armonía con esta disposición normativa, la Ley General de Transparencia y Acceso a la Información Pública, en su artículo 112, fracción I señala que deberá reservarse la información que con su publicación se comprometa a la seguridad pública y cuente con un efecto demostrable, posteriormente el artículo 140 fracción I de la Ley de Transparencia Local replica esta circunstancia de reserva, que señalan: </w:t>
      </w:r>
    </w:p>
    <w:p w14:paraId="2956C19C" w14:textId="77777777" w:rsidR="00961261" w:rsidRPr="00C17835" w:rsidRDefault="00961261">
      <w:pPr>
        <w:tabs>
          <w:tab w:val="left" w:pos="284"/>
        </w:tabs>
        <w:spacing w:after="0" w:line="240" w:lineRule="auto"/>
        <w:ind w:left="567" w:right="709"/>
        <w:jc w:val="both"/>
        <w:rPr>
          <w:rFonts w:ascii="Palatino Linotype" w:eastAsia="Palatino Linotype" w:hAnsi="Palatino Linotype" w:cs="Palatino Linotype"/>
          <w:i/>
        </w:rPr>
      </w:pPr>
    </w:p>
    <w:p w14:paraId="004E3A71" w14:textId="77777777" w:rsidR="00961261" w:rsidRPr="00C17835" w:rsidRDefault="008245B1">
      <w:pPr>
        <w:spacing w:after="120" w:line="360" w:lineRule="auto"/>
        <w:ind w:left="567" w:right="900"/>
        <w:jc w:val="both"/>
        <w:rPr>
          <w:rFonts w:ascii="Palatino Linotype" w:eastAsia="Palatino Linotype" w:hAnsi="Palatino Linotype" w:cs="Palatino Linotype"/>
          <w:b/>
        </w:rPr>
      </w:pPr>
      <w:r w:rsidRPr="00C17835">
        <w:rPr>
          <w:rFonts w:ascii="Palatino Linotype" w:eastAsia="Palatino Linotype" w:hAnsi="Palatino Linotype" w:cs="Palatino Linotype"/>
          <w:b/>
        </w:rPr>
        <w:t>“Ley General de Transparencia y Acceso a la Información Pública:</w:t>
      </w:r>
    </w:p>
    <w:p w14:paraId="5424C070" w14:textId="77777777" w:rsidR="00961261" w:rsidRPr="00C17835" w:rsidRDefault="008245B1">
      <w:pPr>
        <w:spacing w:after="120" w:line="276" w:lineRule="auto"/>
        <w:ind w:left="567" w:right="900"/>
        <w:jc w:val="both"/>
        <w:rPr>
          <w:rFonts w:ascii="Palatino Linotype" w:eastAsia="Palatino Linotype" w:hAnsi="Palatino Linotype" w:cs="Palatino Linotype"/>
          <w:i/>
        </w:rPr>
      </w:pPr>
      <w:r w:rsidRPr="00C17835">
        <w:rPr>
          <w:rFonts w:ascii="Palatino Linotype" w:eastAsia="Palatino Linotype" w:hAnsi="Palatino Linotype" w:cs="Palatino Linotype"/>
          <w:b/>
          <w:i/>
        </w:rPr>
        <w:lastRenderedPageBreak/>
        <w:t>Artículo 112</w:t>
      </w:r>
      <w:r w:rsidRPr="00C17835">
        <w:rPr>
          <w:rFonts w:ascii="Palatino Linotype" w:eastAsia="Palatino Linotype" w:hAnsi="Palatino Linotype" w:cs="Palatino Linotype"/>
          <w:i/>
        </w:rPr>
        <w:t>. Como información reservada podrá clasificarse aquella cuya publicación:</w:t>
      </w:r>
    </w:p>
    <w:p w14:paraId="20F77C28" w14:textId="77777777" w:rsidR="00961261" w:rsidRPr="00C17835" w:rsidRDefault="008245B1">
      <w:pPr>
        <w:spacing w:after="120" w:line="276" w:lineRule="auto"/>
        <w:ind w:left="567" w:right="900"/>
        <w:jc w:val="both"/>
        <w:rPr>
          <w:rFonts w:ascii="Palatino Linotype" w:eastAsia="Palatino Linotype" w:hAnsi="Palatino Linotype" w:cs="Palatino Linotype"/>
          <w:i/>
        </w:rPr>
      </w:pPr>
      <w:r w:rsidRPr="00C17835">
        <w:rPr>
          <w:rFonts w:ascii="Palatino Linotype" w:eastAsia="Palatino Linotype" w:hAnsi="Palatino Linotype" w:cs="Palatino Linotype"/>
          <w:b/>
          <w:i/>
        </w:rPr>
        <w:t>I. Comprometa la seguridad nacional, la seguridad pública, la defensa nacional o la paz social</w:t>
      </w:r>
      <w:r w:rsidRPr="00C17835">
        <w:rPr>
          <w:rFonts w:ascii="Palatino Linotype" w:eastAsia="Palatino Linotype" w:hAnsi="Palatino Linotype" w:cs="Palatino Linotype"/>
          <w:i/>
        </w:rPr>
        <w:t>;”</w:t>
      </w:r>
    </w:p>
    <w:p w14:paraId="5162C8DF" w14:textId="77777777" w:rsidR="00961261" w:rsidRPr="00C17835" w:rsidRDefault="008245B1">
      <w:pPr>
        <w:spacing w:after="120" w:line="276" w:lineRule="auto"/>
        <w:ind w:left="567" w:right="900"/>
        <w:jc w:val="both"/>
        <w:rPr>
          <w:rFonts w:ascii="Palatino Linotype" w:eastAsia="Palatino Linotype" w:hAnsi="Palatino Linotype" w:cs="Palatino Linotype"/>
          <w:b/>
        </w:rPr>
      </w:pPr>
      <w:r w:rsidRPr="00C17835">
        <w:rPr>
          <w:rFonts w:ascii="Palatino Linotype" w:eastAsia="Palatino Linotype" w:hAnsi="Palatino Linotype" w:cs="Palatino Linotype"/>
          <w:b/>
        </w:rPr>
        <w:t xml:space="preserve">“Ley de Transparencia y Acceso a la Información Pública del Estado de México y Municipios: </w:t>
      </w:r>
    </w:p>
    <w:p w14:paraId="55C0F1A5" w14:textId="77777777" w:rsidR="00961261" w:rsidRPr="00C17835" w:rsidRDefault="008245B1">
      <w:pPr>
        <w:spacing w:after="120" w:line="276" w:lineRule="auto"/>
        <w:ind w:left="567" w:right="900"/>
        <w:jc w:val="both"/>
        <w:rPr>
          <w:rFonts w:ascii="Palatino Linotype" w:eastAsia="Palatino Linotype" w:hAnsi="Palatino Linotype" w:cs="Palatino Linotype"/>
          <w:i/>
        </w:rPr>
      </w:pPr>
      <w:r w:rsidRPr="00C17835">
        <w:rPr>
          <w:rFonts w:ascii="Palatino Linotype" w:eastAsia="Palatino Linotype" w:hAnsi="Palatino Linotype" w:cs="Palatino Linotype"/>
          <w:b/>
          <w:i/>
        </w:rPr>
        <w:t>Artículo 140</w:t>
      </w:r>
      <w:r w:rsidRPr="00C17835">
        <w:rPr>
          <w:rFonts w:ascii="Palatino Linotype" w:eastAsia="Palatino Linotype" w:hAnsi="Palatino Linotype" w:cs="Palatino Linotype"/>
          <w:i/>
        </w:rPr>
        <w:t>. El acceso a la información pública será restringido excepcionalmente, cuando por razones de interés público, ésta sea clasificada como reservada, conforme a los criterios siguientes:</w:t>
      </w:r>
    </w:p>
    <w:p w14:paraId="66033097" w14:textId="77777777" w:rsidR="00961261" w:rsidRPr="00C17835" w:rsidRDefault="008245B1">
      <w:pPr>
        <w:spacing w:after="120" w:line="276" w:lineRule="auto"/>
        <w:ind w:left="567" w:right="900"/>
        <w:jc w:val="both"/>
        <w:rPr>
          <w:rFonts w:ascii="Palatino Linotype" w:eastAsia="Palatino Linotype" w:hAnsi="Palatino Linotype" w:cs="Palatino Linotype"/>
          <w:i/>
        </w:rPr>
      </w:pPr>
      <w:r w:rsidRPr="00C17835">
        <w:rPr>
          <w:rFonts w:ascii="Palatino Linotype" w:eastAsia="Palatino Linotype" w:hAnsi="Palatino Linotype" w:cs="Palatino Linotype"/>
          <w:b/>
          <w:i/>
        </w:rPr>
        <w:t>I. Comprometa la seguridad pública y cuente con un propósito genuino y un efecto demostrable</w:t>
      </w:r>
      <w:r w:rsidRPr="00C17835">
        <w:rPr>
          <w:rFonts w:ascii="Palatino Linotype" w:eastAsia="Palatino Linotype" w:hAnsi="Palatino Linotype" w:cs="Palatino Linotype"/>
          <w:i/>
        </w:rPr>
        <w:t>;”</w:t>
      </w:r>
    </w:p>
    <w:p w14:paraId="236BEF0B" w14:textId="77777777" w:rsidR="00961261" w:rsidRPr="00C17835" w:rsidRDefault="00961261">
      <w:pPr>
        <w:spacing w:after="120" w:line="276" w:lineRule="auto"/>
        <w:ind w:left="567" w:right="900"/>
        <w:jc w:val="both"/>
        <w:rPr>
          <w:rFonts w:ascii="Palatino Linotype" w:eastAsia="Palatino Linotype" w:hAnsi="Palatino Linotype" w:cs="Palatino Linotype"/>
          <w:i/>
        </w:rPr>
      </w:pPr>
    </w:p>
    <w:p w14:paraId="7EBE38D5" w14:textId="77777777" w:rsidR="00961261" w:rsidRPr="00C17835" w:rsidRDefault="008245B1">
      <w:pPr>
        <w:spacing w:after="0" w:line="360" w:lineRule="auto"/>
        <w:jc w:val="both"/>
        <w:rPr>
          <w:rFonts w:ascii="Palatino Linotype" w:eastAsia="Palatino Linotype" w:hAnsi="Palatino Linotype" w:cs="Palatino Linotype"/>
        </w:rPr>
      </w:pPr>
      <w:r w:rsidRPr="00C17835">
        <w:rPr>
          <w:rFonts w:ascii="Palatino Linotype" w:eastAsia="Palatino Linotype" w:hAnsi="Palatino Linotype" w:cs="Palatino Linotype"/>
        </w:rPr>
        <w:t>Correlativo a lo anterior, Lineamientos Generales en Materia de Clasificación y Desclasificación de la Información, así como para la Elaboración de Versiones Públicas, publicados el 16 de abril de 2016 y reformados el 18 de noviembre de 2022 señalan en su numeral décimo octavo que podrá considerarse como información reservada, aquella que comprometa la seguridad pública, al poner en peligro las funciones a cargo de la Federación, la Ciudad de México, los Estados y los Municipios, tendientes a preservar y resguardar la vida, la salud, la integridad y el ejercicio de los derechos de las personas, así como para el mantenimiento del orden público.</w:t>
      </w:r>
    </w:p>
    <w:p w14:paraId="62973A4A" w14:textId="77777777" w:rsidR="00961261" w:rsidRPr="00C17835" w:rsidRDefault="00961261">
      <w:pPr>
        <w:spacing w:after="0" w:line="360" w:lineRule="auto"/>
        <w:jc w:val="both"/>
        <w:rPr>
          <w:rFonts w:ascii="Palatino Linotype" w:eastAsia="Palatino Linotype" w:hAnsi="Palatino Linotype" w:cs="Palatino Linotype"/>
        </w:rPr>
      </w:pPr>
    </w:p>
    <w:p w14:paraId="5EA40CE9" w14:textId="77777777" w:rsidR="00961261" w:rsidRPr="00C17835" w:rsidRDefault="008245B1">
      <w:pPr>
        <w:spacing w:after="0" w:line="360" w:lineRule="auto"/>
        <w:jc w:val="both"/>
        <w:rPr>
          <w:rFonts w:ascii="Palatino Linotype" w:eastAsia="Palatino Linotype" w:hAnsi="Palatino Linotype" w:cs="Palatino Linotype"/>
        </w:rPr>
      </w:pPr>
      <w:r w:rsidRPr="00C17835">
        <w:rPr>
          <w:rFonts w:ascii="Palatino Linotype" w:eastAsia="Palatino Linotype" w:hAnsi="Palatino Linotype" w:cs="Palatino Linotype"/>
        </w:rPr>
        <w:t xml:space="preserve">Es crucial señalar que estos Lineamientos señalan </w:t>
      </w:r>
      <w:r w:rsidRPr="00C17835">
        <w:rPr>
          <w:rFonts w:ascii="Palatino Linotype" w:eastAsia="Palatino Linotype" w:hAnsi="Palatino Linotype" w:cs="Palatino Linotype"/>
          <w:b/>
          <w:u w:val="single"/>
        </w:rPr>
        <w:t>que es susceptible de considerarse como reservada aquella que revele datos que pudieran ser aprovechados para conocer la capacidad de reacción de las instituciones encargadas de la seguridad pública</w:t>
      </w:r>
      <w:r w:rsidRPr="00C17835">
        <w:rPr>
          <w:rFonts w:ascii="Palatino Linotype" w:eastAsia="Palatino Linotype" w:hAnsi="Palatino Linotype" w:cs="Palatino Linotype"/>
        </w:rPr>
        <w:t>, sus planes, estrategias, tecnología, información, sistemas de comunicaciones.</w:t>
      </w:r>
    </w:p>
    <w:p w14:paraId="5690334A" w14:textId="77777777" w:rsidR="00961261" w:rsidRPr="00C17835" w:rsidRDefault="00961261">
      <w:pPr>
        <w:spacing w:after="0" w:line="360" w:lineRule="auto"/>
        <w:jc w:val="both"/>
        <w:rPr>
          <w:rFonts w:ascii="Palatino Linotype" w:eastAsia="Palatino Linotype" w:hAnsi="Palatino Linotype" w:cs="Palatino Linotype"/>
        </w:rPr>
      </w:pPr>
    </w:p>
    <w:p w14:paraId="750C8641" w14:textId="77777777" w:rsidR="00961261" w:rsidRPr="00C17835" w:rsidRDefault="008245B1">
      <w:pPr>
        <w:spacing w:after="0" w:line="360" w:lineRule="auto"/>
        <w:jc w:val="both"/>
        <w:rPr>
          <w:rFonts w:ascii="Palatino Linotype" w:eastAsia="Palatino Linotype" w:hAnsi="Palatino Linotype" w:cs="Palatino Linotype"/>
        </w:rPr>
      </w:pPr>
      <w:r w:rsidRPr="00C17835">
        <w:rPr>
          <w:rFonts w:ascii="Palatino Linotype" w:eastAsia="Palatino Linotype" w:hAnsi="Palatino Linotype" w:cs="Palatino Linotype"/>
        </w:rPr>
        <w:lastRenderedPageBreak/>
        <w:t>Hasta este punto tenemos que los instrumentos normativos que debemos observar en estricto sentido disponen puntualmente la reserva de información para los casos en los que se revele información que pueda ser empleada para conocer la capacidad de reacción, es decir, todo lo relativo a servidores públicos operativos que integran las instituciones de seguridad pública, ya que su divulgación podría ser utilizada para actualizar o potenciar una amenaza para la seguridad pública de la sociedad; teniendo esto en cuenta y trasladando estas premisas al caso particular se estima que con la entrega de información de los servidores públicos con funciones operativas adscritos a instituciones de seguridad pública, revela información actualizada sobre el número de policías operativos en activo a la fecha de la solicitud de información y en consecuencia su estado de fuerza vigente, lo cual no sólo contraviene lo dispuesto expresamente por las disposiciones previamente insertadas, sino que, además, pone en riesgo los valores jurídicos y los principios bajo los cuales de las instituciones de seguridad pública se debe regir como son la legalidad, objetividad, eficiencia, profesionalismo, honradez y respeto a los derechos humanos reconocidos en la Constitución General.</w:t>
      </w:r>
    </w:p>
    <w:p w14:paraId="7C876CC9" w14:textId="77777777" w:rsidR="00961261" w:rsidRPr="00C17835" w:rsidRDefault="00961261">
      <w:pPr>
        <w:spacing w:after="0" w:line="360" w:lineRule="auto"/>
        <w:jc w:val="both"/>
        <w:rPr>
          <w:rFonts w:ascii="Palatino Linotype" w:eastAsia="Palatino Linotype" w:hAnsi="Palatino Linotype" w:cs="Palatino Linotype"/>
        </w:rPr>
      </w:pPr>
    </w:p>
    <w:p w14:paraId="726560EA" w14:textId="77777777" w:rsidR="00961261" w:rsidRPr="00C17835" w:rsidRDefault="008245B1">
      <w:pPr>
        <w:spacing w:after="0" w:line="360" w:lineRule="auto"/>
        <w:ind w:right="-3"/>
        <w:jc w:val="both"/>
        <w:rPr>
          <w:rFonts w:ascii="Palatino Linotype" w:eastAsia="Palatino Linotype" w:hAnsi="Palatino Linotype" w:cs="Palatino Linotype"/>
        </w:rPr>
      </w:pPr>
      <w:r w:rsidRPr="00C17835">
        <w:rPr>
          <w:rFonts w:ascii="Palatino Linotype" w:eastAsia="Palatino Linotype" w:hAnsi="Palatino Linotype" w:cs="Palatino Linotype"/>
        </w:rPr>
        <w:t>En conclusión, la reserva del personal operativo procede por dos circunstancias:</w:t>
      </w:r>
    </w:p>
    <w:p w14:paraId="3643E1A0" w14:textId="77777777" w:rsidR="00961261" w:rsidRPr="00C17835" w:rsidRDefault="008245B1">
      <w:pPr>
        <w:spacing w:before="240" w:after="240" w:line="360" w:lineRule="auto"/>
        <w:ind w:left="284" w:right="-3"/>
        <w:jc w:val="both"/>
        <w:rPr>
          <w:rFonts w:ascii="Palatino Linotype" w:eastAsia="Palatino Linotype" w:hAnsi="Palatino Linotype" w:cs="Palatino Linotype"/>
        </w:rPr>
      </w:pPr>
      <w:r w:rsidRPr="00C17835">
        <w:rPr>
          <w:rFonts w:ascii="Palatino Linotype" w:eastAsia="Palatino Linotype" w:hAnsi="Palatino Linotype" w:cs="Palatino Linotype"/>
        </w:rPr>
        <w:t xml:space="preserve">1. Se identifica en términos concretos cómo es que la información requerida podría comprometer el ejercicio de sus facultades constitucionales y, con ello, la seguridad pública, en virtud de que: </w:t>
      </w:r>
    </w:p>
    <w:p w14:paraId="65339143" w14:textId="77777777" w:rsidR="00961261" w:rsidRPr="00C17835" w:rsidRDefault="008245B1">
      <w:pPr>
        <w:spacing w:before="240" w:after="240" w:line="360" w:lineRule="auto"/>
        <w:ind w:left="567" w:right="900"/>
        <w:jc w:val="both"/>
        <w:rPr>
          <w:rFonts w:ascii="Palatino Linotype" w:eastAsia="Palatino Linotype" w:hAnsi="Palatino Linotype" w:cs="Palatino Linotype"/>
        </w:rPr>
      </w:pPr>
      <w:r w:rsidRPr="00C17835">
        <w:rPr>
          <w:rFonts w:ascii="Palatino Linotype" w:eastAsia="Palatino Linotype" w:hAnsi="Palatino Linotype" w:cs="Palatino Linotype"/>
        </w:rPr>
        <w:t xml:space="preserve">a) La información podría ser aprovechada por los grupos criminales para conocer la capacidad de reacción </w:t>
      </w:r>
    </w:p>
    <w:p w14:paraId="0658A4E4" w14:textId="77777777" w:rsidR="00961261" w:rsidRPr="00C17835" w:rsidRDefault="008245B1">
      <w:pPr>
        <w:spacing w:before="240" w:after="240" w:line="360" w:lineRule="auto"/>
        <w:ind w:left="567" w:right="900"/>
        <w:jc w:val="both"/>
        <w:rPr>
          <w:rFonts w:ascii="Palatino Linotype" w:eastAsia="Palatino Linotype" w:hAnsi="Palatino Linotype" w:cs="Palatino Linotype"/>
        </w:rPr>
      </w:pPr>
      <w:bookmarkStart w:id="4" w:name="_heading=h.1fob9te" w:colFirst="0" w:colLast="0"/>
      <w:bookmarkEnd w:id="4"/>
      <w:r w:rsidRPr="00C17835">
        <w:rPr>
          <w:rFonts w:ascii="Palatino Linotype" w:eastAsia="Palatino Linotype" w:hAnsi="Palatino Linotype" w:cs="Palatino Linotype"/>
        </w:rPr>
        <w:lastRenderedPageBreak/>
        <w:t xml:space="preserve">b) Con dicha información se revelarían a detalle las características funcionales del personal y con ello, su organización para el cumplimiento de sus funciones; y </w:t>
      </w:r>
    </w:p>
    <w:p w14:paraId="11BA6160" w14:textId="77777777" w:rsidR="00961261" w:rsidRPr="00C17835" w:rsidRDefault="008245B1">
      <w:pPr>
        <w:spacing w:before="240" w:after="240" w:line="360" w:lineRule="auto"/>
        <w:ind w:left="567" w:right="900"/>
        <w:jc w:val="both"/>
        <w:rPr>
          <w:rFonts w:ascii="Palatino Linotype" w:eastAsia="Palatino Linotype" w:hAnsi="Palatino Linotype" w:cs="Palatino Linotype"/>
        </w:rPr>
      </w:pPr>
      <w:r w:rsidRPr="00C17835">
        <w:rPr>
          <w:rFonts w:ascii="Palatino Linotype" w:eastAsia="Palatino Linotype" w:hAnsi="Palatino Linotype" w:cs="Palatino Linotype"/>
        </w:rPr>
        <w:t xml:space="preserve">2. Existe una relación causal general entre la entrega de la información y la afectación a la seguridad pública, pues los grupos criminales estarían en posibilidad de obstaculizar o bloquear actividades encaminadas a preservar el orden dentro de la dinámica social. </w:t>
      </w:r>
    </w:p>
    <w:p w14:paraId="3636493D" w14:textId="77777777" w:rsidR="00961261" w:rsidRPr="00C17835" w:rsidRDefault="008245B1">
      <w:pPr>
        <w:spacing w:after="0" w:line="360" w:lineRule="auto"/>
        <w:ind w:right="-3"/>
        <w:jc w:val="both"/>
        <w:rPr>
          <w:rFonts w:ascii="Palatino Linotype" w:eastAsia="Palatino Linotype" w:hAnsi="Palatino Linotype" w:cs="Palatino Linotype"/>
        </w:rPr>
      </w:pPr>
      <w:r w:rsidRPr="00C17835">
        <w:rPr>
          <w:rFonts w:ascii="Palatino Linotype" w:eastAsia="Palatino Linotype" w:hAnsi="Palatino Linotype" w:cs="Palatino Linotype"/>
        </w:rPr>
        <w:t xml:space="preserve">Por lo tanto, entre mayor información se dé a conocer respecto del </w:t>
      </w:r>
      <w:r w:rsidRPr="00C17835">
        <w:rPr>
          <w:rFonts w:ascii="Palatino Linotype" w:eastAsia="Palatino Linotype" w:hAnsi="Palatino Linotype" w:cs="Palatino Linotype"/>
          <w:b/>
          <w:i/>
        </w:rPr>
        <w:t xml:space="preserve">estado de fuerza </w:t>
      </w:r>
      <w:r w:rsidRPr="00C17835">
        <w:rPr>
          <w:rFonts w:ascii="Palatino Linotype" w:eastAsia="Palatino Linotype" w:hAnsi="Palatino Linotype" w:cs="Palatino Linotype"/>
        </w:rPr>
        <w:t>con que cuentan el Estado y Municipios, mayor es la probabilidad de que la información pueda implementarse como medio para actualizar o potenciar una amenaza en contra de la seguridad pública de los mismos.</w:t>
      </w:r>
    </w:p>
    <w:p w14:paraId="5BA466D3" w14:textId="77777777" w:rsidR="00961261" w:rsidRPr="00C17835" w:rsidRDefault="008245B1">
      <w:pPr>
        <w:spacing w:after="0" w:line="360" w:lineRule="auto"/>
        <w:ind w:right="-3"/>
        <w:jc w:val="both"/>
        <w:rPr>
          <w:rFonts w:ascii="Palatino Linotype" w:eastAsia="Palatino Linotype" w:hAnsi="Palatino Linotype" w:cs="Palatino Linotype"/>
        </w:rPr>
      </w:pPr>
      <w:r w:rsidRPr="00C17835">
        <w:rPr>
          <w:rFonts w:ascii="Palatino Linotype" w:eastAsia="Palatino Linotype" w:hAnsi="Palatino Linotype" w:cs="Palatino Linotype"/>
        </w:rPr>
        <w:t xml:space="preserve"> </w:t>
      </w:r>
    </w:p>
    <w:p w14:paraId="4D09994C" w14:textId="77777777" w:rsidR="00961261" w:rsidRPr="00C17835" w:rsidRDefault="008245B1">
      <w:pPr>
        <w:spacing w:after="0" w:line="360" w:lineRule="auto"/>
        <w:ind w:right="139"/>
        <w:jc w:val="both"/>
        <w:rPr>
          <w:rFonts w:ascii="Palatino Linotype" w:eastAsia="Palatino Linotype" w:hAnsi="Palatino Linotype" w:cs="Palatino Linotype"/>
        </w:rPr>
      </w:pPr>
      <w:r w:rsidRPr="00C17835">
        <w:rPr>
          <w:rFonts w:ascii="Palatino Linotype" w:eastAsia="Palatino Linotype" w:hAnsi="Palatino Linotype" w:cs="Palatino Linotype"/>
        </w:rPr>
        <w:t>No pasa inadvertido para la suscrita que en los casos en los que se publiciten diversas notas o documentos en los que se dé a conocer información estadística sobre el número de elementos de policía con los que cuentan los ayuntamientos, esta información no se encuentra actualizada, aunado a que no se hace una distinción entre el número de personal operativo y administrativo.</w:t>
      </w:r>
    </w:p>
    <w:p w14:paraId="044AE0FD" w14:textId="77777777" w:rsidR="00961261" w:rsidRPr="00C17835" w:rsidRDefault="00961261">
      <w:pPr>
        <w:spacing w:after="0" w:line="360" w:lineRule="auto"/>
        <w:ind w:right="139"/>
        <w:jc w:val="both"/>
        <w:rPr>
          <w:rFonts w:ascii="Palatino Linotype" w:eastAsia="Palatino Linotype" w:hAnsi="Palatino Linotype" w:cs="Palatino Linotype"/>
        </w:rPr>
      </w:pPr>
    </w:p>
    <w:p w14:paraId="47A5FE5C" w14:textId="4229CC01" w:rsidR="00961261" w:rsidRDefault="008245B1">
      <w:pPr>
        <w:spacing w:after="0" w:line="360" w:lineRule="auto"/>
        <w:jc w:val="both"/>
        <w:rPr>
          <w:rFonts w:ascii="Palatino Linotype" w:eastAsia="Palatino Linotype" w:hAnsi="Palatino Linotype" w:cs="Palatino Linotype"/>
        </w:rPr>
      </w:pPr>
      <w:bookmarkStart w:id="5" w:name="_heading=h.tyjcwt" w:colFirst="0" w:colLast="0"/>
      <w:bookmarkEnd w:id="5"/>
      <w:r w:rsidRPr="00C17835">
        <w:rPr>
          <w:rFonts w:ascii="Palatino Linotype" w:eastAsia="Palatino Linotype" w:hAnsi="Palatino Linotype" w:cs="Palatino Linotype"/>
        </w:rPr>
        <w:t>En consecuencia, la información de los elementos operativos adscritos a instituciones de seguridad pública, deben recibir un tratamiento de carácter excepcional, y esto es en razón de que, son los responsables de procurar el orden, la estabilidad y la defensa de la sociedad a la que pertenecen, por lo que, se estima que al proporcionar documentales en las que se aprecie dicha información se revela el número de servidores públicos operativos con funciones de seguridad pública activos en el Sujeto obligado; información con la que se da a conocer el estado de fuerza y la capacidad de reacción del órgano público.</w:t>
      </w:r>
    </w:p>
    <w:p w14:paraId="58842558" w14:textId="77777777" w:rsidR="00B93686" w:rsidRPr="00C17835" w:rsidRDefault="00B93686">
      <w:pPr>
        <w:spacing w:after="0" w:line="360" w:lineRule="auto"/>
        <w:jc w:val="both"/>
        <w:rPr>
          <w:rFonts w:ascii="Palatino Linotype" w:eastAsia="Palatino Linotype" w:hAnsi="Palatino Linotype" w:cs="Palatino Linotype"/>
        </w:rPr>
      </w:pPr>
    </w:p>
    <w:p w14:paraId="38AAF72F" w14:textId="70B5F1A7" w:rsidR="00961261" w:rsidRPr="00C17835" w:rsidRDefault="008245B1">
      <w:pPr>
        <w:spacing w:after="0" w:line="360" w:lineRule="auto"/>
        <w:jc w:val="both"/>
        <w:rPr>
          <w:rFonts w:ascii="Palatino Linotype" w:eastAsia="Palatino Linotype" w:hAnsi="Palatino Linotype" w:cs="Palatino Linotype"/>
        </w:rPr>
      </w:pPr>
      <w:r w:rsidRPr="00C17835">
        <w:rPr>
          <w:rFonts w:ascii="Palatino Linotype" w:eastAsia="Palatino Linotype" w:hAnsi="Palatino Linotype" w:cs="Palatino Linotype"/>
        </w:rPr>
        <w:t>Ahora bien, la suscrita considera que es de vital importancia señalar que para los casos en los que los particulares deseen conocer las remuneraciones de los elementos operativos de las instituciones de seguridad pública, estas se pueden otorgar mediante el tabulador de sueldos, pues en este soporte se asientan los puestos funcionales y las remuneraciones, lo anterior encuentra sustento en el Instructivo del módulo 4 para la entrega del informe trimestral, en dicho documento obran los siguientes elementos:</w:t>
      </w:r>
    </w:p>
    <w:p w14:paraId="11D9992C" w14:textId="77777777" w:rsidR="00961261" w:rsidRPr="00C17835" w:rsidRDefault="008245B1">
      <w:pPr>
        <w:spacing w:after="0" w:line="360" w:lineRule="auto"/>
        <w:jc w:val="both"/>
        <w:rPr>
          <w:rFonts w:ascii="Palatino Linotype" w:eastAsia="Palatino Linotype" w:hAnsi="Palatino Linotype" w:cs="Palatino Linotype"/>
        </w:rPr>
      </w:pPr>
      <w:r w:rsidRPr="00C17835">
        <w:rPr>
          <w:rFonts w:ascii="Palatino Linotype" w:eastAsia="Palatino Linotype" w:hAnsi="Palatino Linotype" w:cs="Palatino Linotype"/>
          <w:noProof/>
        </w:rPr>
        <w:drawing>
          <wp:inline distT="0" distB="0" distL="0" distR="0" wp14:anchorId="6DF95F1A" wp14:editId="79878C1D">
            <wp:extent cx="6120399" cy="4171950"/>
            <wp:effectExtent l="0" t="0" r="0" b="0"/>
            <wp:docPr id="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6121572" cy="4172750"/>
                    </a:xfrm>
                    <a:prstGeom prst="rect">
                      <a:avLst/>
                    </a:prstGeom>
                    <a:ln/>
                  </pic:spPr>
                </pic:pic>
              </a:graphicData>
            </a:graphic>
          </wp:inline>
        </w:drawing>
      </w:r>
    </w:p>
    <w:p w14:paraId="63D5F151" w14:textId="77777777" w:rsidR="00961261" w:rsidRPr="00C17835" w:rsidRDefault="00961261">
      <w:pPr>
        <w:spacing w:after="0" w:line="360" w:lineRule="auto"/>
        <w:jc w:val="center"/>
        <w:rPr>
          <w:rFonts w:ascii="Palatino Linotype" w:eastAsia="Palatino Linotype" w:hAnsi="Palatino Linotype" w:cs="Palatino Linotype"/>
        </w:rPr>
      </w:pPr>
      <w:bookmarkStart w:id="6" w:name="_heading=h.gjdgxs" w:colFirst="0" w:colLast="0"/>
      <w:bookmarkEnd w:id="6"/>
    </w:p>
    <w:p w14:paraId="2197A371" w14:textId="77777777" w:rsidR="00961261" w:rsidRPr="00C17835" w:rsidRDefault="00961261">
      <w:pPr>
        <w:spacing w:after="0" w:line="360" w:lineRule="auto"/>
        <w:jc w:val="both"/>
        <w:rPr>
          <w:rFonts w:ascii="Palatino Linotype" w:eastAsia="Palatino Linotype" w:hAnsi="Palatino Linotype" w:cs="Palatino Linotype"/>
        </w:rPr>
      </w:pPr>
    </w:p>
    <w:p w14:paraId="5165F8EC" w14:textId="77777777" w:rsidR="00961261" w:rsidRPr="00C17835" w:rsidRDefault="008245B1">
      <w:pPr>
        <w:spacing w:after="0" w:line="360" w:lineRule="auto"/>
        <w:jc w:val="center"/>
        <w:rPr>
          <w:rFonts w:ascii="Palatino Linotype" w:eastAsia="Palatino Linotype" w:hAnsi="Palatino Linotype" w:cs="Palatino Linotype"/>
        </w:rPr>
      </w:pPr>
      <w:r w:rsidRPr="00C17835">
        <w:rPr>
          <w:rFonts w:ascii="Palatino Linotype" w:eastAsia="Palatino Linotype" w:hAnsi="Palatino Linotype" w:cs="Palatino Linotype"/>
          <w:noProof/>
        </w:rPr>
        <w:drawing>
          <wp:inline distT="0" distB="0" distL="0" distR="0" wp14:anchorId="443E9C32" wp14:editId="30FAF1F2">
            <wp:extent cx="6120765" cy="3529330"/>
            <wp:effectExtent l="0" t="0" r="0" b="0"/>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120765" cy="3529330"/>
                    </a:xfrm>
                    <a:prstGeom prst="rect">
                      <a:avLst/>
                    </a:prstGeom>
                    <a:ln/>
                  </pic:spPr>
                </pic:pic>
              </a:graphicData>
            </a:graphic>
          </wp:inline>
        </w:drawing>
      </w:r>
    </w:p>
    <w:p w14:paraId="500B4B87" w14:textId="77777777" w:rsidR="00961261" w:rsidRPr="00C17835" w:rsidRDefault="00961261">
      <w:pPr>
        <w:spacing w:after="0" w:line="360" w:lineRule="auto"/>
        <w:jc w:val="both"/>
        <w:rPr>
          <w:rFonts w:ascii="Palatino Linotype" w:eastAsia="Palatino Linotype" w:hAnsi="Palatino Linotype" w:cs="Palatino Linotype"/>
        </w:rPr>
      </w:pPr>
    </w:p>
    <w:p w14:paraId="5C5D530E" w14:textId="77777777" w:rsidR="00961261" w:rsidRPr="00C17835" w:rsidRDefault="008245B1">
      <w:pPr>
        <w:spacing w:after="0" w:line="360" w:lineRule="auto"/>
        <w:jc w:val="both"/>
        <w:rPr>
          <w:rFonts w:ascii="Palatino Linotype" w:eastAsia="Palatino Linotype" w:hAnsi="Palatino Linotype" w:cs="Palatino Linotype"/>
        </w:rPr>
      </w:pPr>
      <w:r w:rsidRPr="00C17835">
        <w:rPr>
          <w:rFonts w:ascii="Palatino Linotype" w:eastAsia="Palatino Linotype" w:hAnsi="Palatino Linotype" w:cs="Palatino Linotype"/>
        </w:rPr>
        <w:t xml:space="preserve">De manera que con la consulta de este documento podrá visualizarse con claridad el cargo y la remuneración sin conocer el estado de fuerza de las entidades públicas y así no se restringe el derecho de acceso a la información de los particulares. </w:t>
      </w:r>
    </w:p>
    <w:p w14:paraId="03483833" w14:textId="77777777" w:rsidR="00961261" w:rsidRPr="00C17835" w:rsidRDefault="00961261">
      <w:pPr>
        <w:spacing w:after="0" w:line="360" w:lineRule="auto"/>
        <w:ind w:right="139"/>
        <w:jc w:val="both"/>
        <w:rPr>
          <w:rFonts w:ascii="Palatino Linotype" w:eastAsia="Palatino Linotype" w:hAnsi="Palatino Linotype" w:cs="Palatino Linotype"/>
        </w:rPr>
      </w:pPr>
    </w:p>
    <w:p w14:paraId="04A0B687" w14:textId="77777777" w:rsidR="00961261" w:rsidRPr="00C17835" w:rsidRDefault="008245B1">
      <w:pPr>
        <w:spacing w:after="0" w:line="360" w:lineRule="auto"/>
        <w:ind w:right="139"/>
        <w:jc w:val="both"/>
        <w:rPr>
          <w:rFonts w:ascii="Palatino Linotype" w:eastAsia="Palatino Linotype" w:hAnsi="Palatino Linotype" w:cs="Palatino Linotype"/>
        </w:rPr>
      </w:pPr>
      <w:bookmarkStart w:id="7" w:name="_heading=h.jkaxn8mgxy7q" w:colFirst="0" w:colLast="0"/>
      <w:bookmarkEnd w:id="7"/>
      <w:r w:rsidRPr="00C17835">
        <w:rPr>
          <w:rFonts w:ascii="Palatino Linotype" w:eastAsia="Palatino Linotype" w:hAnsi="Palatino Linotype" w:cs="Palatino Linotype"/>
        </w:rPr>
        <w:t xml:space="preserve">Es por todo lo anteriormente expuesto que considero que en las líneas argumentativas que anteceden, se acreditó de manera fehaciente que esta información debe ser reservada pues su entrega revela datos que pudieran ser aprovechados para conocer la capacidad de reacción de las instituciones encargadas de la seguridad pública y </w:t>
      </w:r>
      <w:r w:rsidRPr="00C17835">
        <w:rPr>
          <w:rFonts w:ascii="Palatino Linotype" w:eastAsia="Palatino Linotype" w:hAnsi="Palatino Linotype" w:cs="Palatino Linotype"/>
          <w:b/>
          <w:u w:val="single"/>
        </w:rPr>
        <w:t xml:space="preserve">facilitaría a las células delictivas el neutralizar </w:t>
      </w:r>
      <w:r w:rsidRPr="00C17835">
        <w:rPr>
          <w:rFonts w:ascii="Palatino Linotype" w:eastAsia="Palatino Linotype" w:hAnsi="Palatino Linotype" w:cs="Palatino Linotype"/>
          <w:b/>
          <w:u w:val="single"/>
        </w:rPr>
        <w:lastRenderedPageBreak/>
        <w:t xml:space="preserve">las acciones implementadas o por implementar para la preservación de la paz pública, afectando así su estado de fuerza, o bien les permita </w:t>
      </w:r>
      <w:r w:rsidRPr="00C17835">
        <w:rPr>
          <w:rFonts w:ascii="Palatino Linotype" w:eastAsia="Palatino Linotype" w:hAnsi="Palatino Linotype" w:cs="Palatino Linotype"/>
        </w:rPr>
        <w:t>realizar actos para amenazar, inhibir, extorsionar o corromper las funciones del personal operativo, lo que causaría una vulneración a la Seguridad Municipal, por lo tanto la suscrita no comparte las consideraciones vertidas en la resolución respecto del tratamiento que se le da a la información relativa a elementos operativos de instituciones de seguridad pública, y  por ende formula el presente voto particular.</w:t>
      </w:r>
    </w:p>
    <w:p w14:paraId="2486FCCA" w14:textId="77777777" w:rsidR="00961261" w:rsidRPr="00C17835" w:rsidRDefault="00961261">
      <w:pPr>
        <w:spacing w:before="240" w:after="240" w:line="360" w:lineRule="auto"/>
        <w:ind w:right="139"/>
        <w:jc w:val="both"/>
        <w:rPr>
          <w:rFonts w:ascii="Palatino Linotype" w:eastAsia="Palatino Linotype" w:hAnsi="Palatino Linotype" w:cs="Palatino Linotype"/>
        </w:rPr>
      </w:pPr>
    </w:p>
    <w:p w14:paraId="012636A4" w14:textId="77777777" w:rsidR="007C6A16" w:rsidRDefault="007C6A16" w:rsidP="007C6A16">
      <w:pPr>
        <w:jc w:val="center"/>
        <w:rPr>
          <w:rFonts w:ascii="Palatino Linotype" w:hAnsi="Palatino Linotype"/>
          <w:b/>
        </w:rPr>
      </w:pPr>
      <w:r>
        <w:rPr>
          <w:rFonts w:ascii="Palatino Linotype" w:hAnsi="Palatino Linotype"/>
          <w:b/>
        </w:rPr>
        <w:t>Guadalupe Ramírez Peña</w:t>
      </w:r>
    </w:p>
    <w:p w14:paraId="320AF564" w14:textId="77777777" w:rsidR="007C6A16" w:rsidRDefault="007C6A16" w:rsidP="007C6A16">
      <w:pPr>
        <w:jc w:val="center"/>
        <w:rPr>
          <w:rFonts w:ascii="Palatino Linotype" w:hAnsi="Palatino Linotype"/>
          <w:b/>
        </w:rPr>
      </w:pPr>
      <w:r>
        <w:rPr>
          <w:rFonts w:ascii="Palatino Linotype" w:hAnsi="Palatino Linotype"/>
          <w:b/>
        </w:rPr>
        <w:t xml:space="preserve">Comisionada </w:t>
      </w:r>
    </w:p>
    <w:p w14:paraId="6974BF90" w14:textId="77777777" w:rsidR="007C6A16" w:rsidRDefault="007C6A16" w:rsidP="007C6A16">
      <w:pPr>
        <w:jc w:val="center"/>
        <w:rPr>
          <w:rFonts w:ascii="Palatino Linotype" w:hAnsi="Palatino Linotype"/>
          <w:b/>
        </w:rPr>
      </w:pPr>
      <w:r>
        <w:rPr>
          <w:rFonts w:ascii="Palatino Linotype" w:hAnsi="Palatino Linotype"/>
          <w:b/>
        </w:rPr>
        <w:t xml:space="preserve">(Rúbrica) </w:t>
      </w:r>
    </w:p>
    <w:p w14:paraId="699C8E23" w14:textId="77777777" w:rsidR="00961261" w:rsidRPr="00C17835" w:rsidRDefault="00961261">
      <w:pPr>
        <w:spacing w:before="240" w:after="240" w:line="360" w:lineRule="auto"/>
        <w:ind w:right="139"/>
        <w:jc w:val="both"/>
        <w:rPr>
          <w:rFonts w:ascii="Palatino Linotype" w:eastAsia="Palatino Linotype" w:hAnsi="Palatino Linotype" w:cs="Palatino Linotype"/>
        </w:rPr>
      </w:pPr>
    </w:p>
    <w:p w14:paraId="3605D195" w14:textId="77777777" w:rsidR="00961261" w:rsidRPr="00C17835" w:rsidRDefault="00961261">
      <w:pPr>
        <w:spacing w:before="240" w:after="240" w:line="360" w:lineRule="auto"/>
        <w:ind w:right="139"/>
        <w:jc w:val="both"/>
        <w:rPr>
          <w:rFonts w:ascii="Palatino Linotype" w:eastAsia="Palatino Linotype" w:hAnsi="Palatino Linotype" w:cs="Palatino Linotype"/>
        </w:rPr>
      </w:pPr>
    </w:p>
    <w:p w14:paraId="184622D7" w14:textId="77777777" w:rsidR="00961261" w:rsidRPr="00C17835" w:rsidRDefault="00961261">
      <w:pPr>
        <w:spacing w:before="240" w:after="240" w:line="360" w:lineRule="auto"/>
        <w:ind w:right="139"/>
        <w:jc w:val="both"/>
        <w:rPr>
          <w:rFonts w:ascii="Palatino Linotype" w:eastAsia="Palatino Linotype" w:hAnsi="Palatino Linotype" w:cs="Palatino Linotype"/>
        </w:rPr>
      </w:pPr>
    </w:p>
    <w:p w14:paraId="55B3402F" w14:textId="77777777" w:rsidR="00961261" w:rsidRPr="00C17835" w:rsidRDefault="00961261">
      <w:pPr>
        <w:spacing w:before="240" w:after="240" w:line="360" w:lineRule="auto"/>
        <w:ind w:right="139"/>
        <w:jc w:val="both"/>
        <w:rPr>
          <w:rFonts w:ascii="Palatino Linotype" w:eastAsia="Palatino Linotype" w:hAnsi="Palatino Linotype" w:cs="Palatino Linotype"/>
        </w:rPr>
      </w:pPr>
    </w:p>
    <w:p w14:paraId="58B2401C" w14:textId="77777777" w:rsidR="00961261" w:rsidRPr="00C17835" w:rsidRDefault="00961261">
      <w:pPr>
        <w:spacing w:before="240" w:after="240" w:line="360" w:lineRule="auto"/>
        <w:ind w:right="139"/>
        <w:jc w:val="both"/>
        <w:rPr>
          <w:rFonts w:ascii="Palatino Linotype" w:eastAsia="Palatino Linotype" w:hAnsi="Palatino Linotype" w:cs="Palatino Linotype"/>
        </w:rPr>
      </w:pPr>
    </w:p>
    <w:p w14:paraId="495267BC" w14:textId="77777777" w:rsidR="00961261" w:rsidRPr="00C17835" w:rsidRDefault="00961261">
      <w:pPr>
        <w:spacing w:before="240" w:after="240" w:line="360" w:lineRule="auto"/>
        <w:ind w:right="139"/>
        <w:jc w:val="both"/>
        <w:rPr>
          <w:rFonts w:ascii="Palatino Linotype" w:eastAsia="Palatino Linotype" w:hAnsi="Palatino Linotype" w:cs="Palatino Linotype"/>
        </w:rPr>
      </w:pPr>
    </w:p>
    <w:p w14:paraId="796270E8" w14:textId="77777777" w:rsidR="00961261" w:rsidRPr="00C17835" w:rsidRDefault="00961261">
      <w:pPr>
        <w:spacing w:before="240" w:after="240" w:line="360" w:lineRule="auto"/>
        <w:ind w:right="139"/>
        <w:jc w:val="both"/>
        <w:rPr>
          <w:rFonts w:ascii="Palatino Linotype" w:eastAsia="Palatino Linotype" w:hAnsi="Palatino Linotype" w:cs="Palatino Linotype"/>
        </w:rPr>
      </w:pPr>
    </w:p>
    <w:p w14:paraId="7773B88B" w14:textId="77777777" w:rsidR="00961261" w:rsidRPr="00C17835" w:rsidRDefault="00961261">
      <w:pPr>
        <w:spacing w:before="240" w:after="240" w:line="360" w:lineRule="auto"/>
        <w:ind w:right="139"/>
        <w:jc w:val="both"/>
        <w:rPr>
          <w:rFonts w:ascii="Palatino Linotype" w:eastAsia="Palatino Linotype" w:hAnsi="Palatino Linotype" w:cs="Palatino Linotype"/>
        </w:rPr>
      </w:pPr>
    </w:p>
    <w:sectPr w:rsidR="00961261" w:rsidRPr="00C17835" w:rsidSect="00825F77">
      <w:headerReference w:type="even" r:id="rId10"/>
      <w:headerReference w:type="default" r:id="rId11"/>
      <w:footerReference w:type="even" r:id="rId12"/>
      <w:footerReference w:type="default" r:id="rId13"/>
      <w:headerReference w:type="first" r:id="rId14"/>
      <w:footerReference w:type="first" r:id="rId15"/>
      <w:pgSz w:w="12240" w:h="15840"/>
      <w:pgMar w:top="2693" w:right="902" w:bottom="2835" w:left="1701" w:header="709" w:footer="5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CA548" w14:textId="77777777" w:rsidR="001E0D25" w:rsidRDefault="001E0D25">
      <w:pPr>
        <w:spacing w:after="0" w:line="240" w:lineRule="auto"/>
      </w:pPr>
      <w:r>
        <w:separator/>
      </w:r>
    </w:p>
  </w:endnote>
  <w:endnote w:type="continuationSeparator" w:id="0">
    <w:p w14:paraId="0A46B061" w14:textId="77777777" w:rsidR="001E0D25" w:rsidRDefault="001E0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3112B" w14:textId="77777777" w:rsidR="00961261" w:rsidRDefault="00961261">
    <w:pPr>
      <w:pBdr>
        <w:top w:val="nil"/>
        <w:left w:val="nil"/>
        <w:bottom w:val="nil"/>
        <w:right w:val="nil"/>
        <w:between w:val="nil"/>
      </w:pBdr>
      <w:tabs>
        <w:tab w:val="center" w:pos="4419"/>
        <w:tab w:val="right" w:pos="8838"/>
      </w:tabs>
      <w:spacing w:after="0" w:line="240" w:lineRule="auto"/>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D9624" w14:textId="77777777" w:rsidR="00961261" w:rsidRDefault="008245B1">
    <w:pPr>
      <w:pBdr>
        <w:top w:val="nil"/>
        <w:left w:val="nil"/>
        <w:bottom w:val="nil"/>
        <w:right w:val="nil"/>
        <w:between w:val="nil"/>
      </w:pBdr>
      <w:tabs>
        <w:tab w:val="center" w:pos="4419"/>
        <w:tab w:val="right" w:pos="8838"/>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Página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C17835">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sz w:val="24"/>
        <w:szCs w:val="24"/>
      </w:rPr>
      <w:t xml:space="preserve"> de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C17835">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p w14:paraId="6605BB31" w14:textId="77777777" w:rsidR="00961261" w:rsidRDefault="00961261">
    <w:pPr>
      <w:pBdr>
        <w:top w:val="nil"/>
        <w:left w:val="nil"/>
        <w:bottom w:val="nil"/>
        <w:right w:val="nil"/>
        <w:between w:val="nil"/>
      </w:pBdr>
      <w:tabs>
        <w:tab w:val="center" w:pos="4419"/>
        <w:tab w:val="right" w:pos="8838"/>
      </w:tabs>
      <w:spacing w:after="0" w:line="240" w:lineRule="auto"/>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2BE11" w14:textId="77777777" w:rsidR="00961261" w:rsidRDefault="00961261">
    <w:pPr>
      <w:pBdr>
        <w:top w:val="nil"/>
        <w:left w:val="nil"/>
        <w:bottom w:val="nil"/>
        <w:right w:val="nil"/>
        <w:between w:val="nil"/>
      </w:pBdr>
      <w:tabs>
        <w:tab w:val="center" w:pos="4419"/>
        <w:tab w:val="right" w:pos="8838"/>
      </w:tabs>
      <w:spacing w:after="0"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168A2" w14:textId="77777777" w:rsidR="001E0D25" w:rsidRDefault="001E0D25">
      <w:pPr>
        <w:spacing w:after="0" w:line="240" w:lineRule="auto"/>
      </w:pPr>
      <w:r>
        <w:separator/>
      </w:r>
    </w:p>
  </w:footnote>
  <w:footnote w:type="continuationSeparator" w:id="0">
    <w:p w14:paraId="68AD7CEB" w14:textId="77777777" w:rsidR="001E0D25" w:rsidRDefault="001E0D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BB2CB" w14:textId="77777777" w:rsidR="00961261" w:rsidRDefault="00961261">
    <w:pPr>
      <w:pBdr>
        <w:top w:val="nil"/>
        <w:left w:val="nil"/>
        <w:bottom w:val="nil"/>
        <w:right w:val="nil"/>
        <w:between w:val="nil"/>
      </w:pBdr>
      <w:tabs>
        <w:tab w:val="center" w:pos="4419"/>
        <w:tab w:val="right" w:pos="8838"/>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0DFF1" w14:textId="77777777" w:rsidR="00961261" w:rsidRDefault="008245B1">
    <w:pPr>
      <w:pBdr>
        <w:top w:val="nil"/>
        <w:left w:val="nil"/>
        <w:bottom w:val="nil"/>
        <w:right w:val="nil"/>
        <w:between w:val="nil"/>
      </w:pBdr>
      <w:tabs>
        <w:tab w:val="center" w:pos="4419"/>
        <w:tab w:val="right" w:pos="8838"/>
      </w:tabs>
      <w:spacing w:after="0" w:line="240" w:lineRule="auto"/>
      <w:jc w:val="right"/>
      <w:rPr>
        <w:rFonts w:ascii="Palatino Linotype" w:eastAsia="Palatino Linotype" w:hAnsi="Palatino Linotype" w:cs="Palatino Linotype"/>
        <w:b/>
        <w:color w:val="000000"/>
        <w:sz w:val="20"/>
        <w:szCs w:val="20"/>
      </w:rPr>
    </w:pPr>
    <w:r>
      <w:rPr>
        <w:noProof/>
      </w:rPr>
      <w:drawing>
        <wp:anchor distT="0" distB="0" distL="0" distR="0" simplePos="0" relativeHeight="251658240" behindDoc="1" locked="0" layoutInCell="1" hidden="0" allowOverlap="1" wp14:anchorId="57CCA873" wp14:editId="0DE0622E">
          <wp:simplePos x="0" y="0"/>
          <wp:positionH relativeFrom="page">
            <wp:align>right</wp:align>
          </wp:positionH>
          <wp:positionV relativeFrom="paragraph">
            <wp:posOffset>-576580</wp:posOffset>
          </wp:positionV>
          <wp:extent cx="7510145" cy="9883775"/>
          <wp:effectExtent l="0" t="0" r="0" b="3175"/>
          <wp:wrapNone/>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10145" cy="9883775"/>
                  </a:xfrm>
                  <a:prstGeom prst="rect">
                    <a:avLst/>
                  </a:prstGeom>
                  <a:ln/>
                </pic:spPr>
              </pic:pic>
            </a:graphicData>
          </a:graphic>
        </wp:anchor>
      </w:drawing>
    </w:r>
  </w:p>
  <w:p w14:paraId="2CABEC4E" w14:textId="77777777" w:rsidR="00961261" w:rsidRDefault="008245B1" w:rsidP="0039673E">
    <w:pPr>
      <w:pBdr>
        <w:top w:val="nil"/>
        <w:left w:val="nil"/>
        <w:bottom w:val="nil"/>
        <w:right w:val="nil"/>
        <w:between w:val="nil"/>
      </w:pBdr>
      <w:tabs>
        <w:tab w:val="center" w:pos="4419"/>
        <w:tab w:val="right" w:pos="9637"/>
      </w:tabs>
      <w:spacing w:after="0" w:line="240" w:lineRule="auto"/>
      <w:jc w:val="right"/>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 xml:space="preserve">VOTO PARTICULAR </w:t>
    </w:r>
  </w:p>
  <w:p w14:paraId="5A953850" w14:textId="6C7AC36B" w:rsidR="00961261" w:rsidRDefault="008245B1" w:rsidP="00192D17">
    <w:pPr>
      <w:pBdr>
        <w:top w:val="nil"/>
        <w:left w:val="nil"/>
        <w:bottom w:val="nil"/>
        <w:right w:val="nil"/>
        <w:between w:val="nil"/>
      </w:pBdr>
      <w:tabs>
        <w:tab w:val="center" w:pos="4419"/>
        <w:tab w:val="right" w:pos="9637"/>
      </w:tabs>
      <w:spacing w:after="0" w:line="240" w:lineRule="auto"/>
      <w:ind w:left="2552"/>
      <w:jc w:val="right"/>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 xml:space="preserve">   Recurso de Revisión: </w:t>
    </w:r>
    <w:r w:rsidR="00192D17" w:rsidRPr="00192D17">
      <w:rPr>
        <w:rFonts w:ascii="Palatino Linotype" w:eastAsia="Palatino Linotype" w:hAnsi="Palatino Linotype" w:cs="Palatino Linotype"/>
        <w:b/>
        <w:color w:val="000000"/>
        <w:sz w:val="20"/>
        <w:szCs w:val="20"/>
      </w:rPr>
      <w:t>0</w:t>
    </w:r>
    <w:r w:rsidR="00072C60">
      <w:rPr>
        <w:rFonts w:ascii="Palatino Linotype" w:eastAsia="Palatino Linotype" w:hAnsi="Palatino Linotype" w:cs="Palatino Linotype"/>
        <w:b/>
        <w:color w:val="000000"/>
        <w:sz w:val="20"/>
        <w:szCs w:val="20"/>
      </w:rPr>
      <w:t>6479</w:t>
    </w:r>
    <w:r w:rsidR="00192D17" w:rsidRPr="00192D17">
      <w:rPr>
        <w:rFonts w:ascii="Palatino Linotype" w:eastAsia="Palatino Linotype" w:hAnsi="Palatino Linotype" w:cs="Palatino Linotype"/>
        <w:b/>
        <w:color w:val="000000"/>
        <w:sz w:val="20"/>
        <w:szCs w:val="20"/>
      </w:rPr>
      <w:t>/INFOEM/IP/RR/2026</w:t>
    </w:r>
    <w:r w:rsidR="00F147A8">
      <w:rPr>
        <w:rFonts w:ascii="Palatino Linotype" w:eastAsia="Palatino Linotype" w:hAnsi="Palatino Linotype" w:cs="Palatino Linotype"/>
        <w:b/>
        <w:color w:val="000000"/>
        <w:sz w:val="20"/>
        <w:szCs w:val="20"/>
      </w:rPr>
      <w:t xml:space="preserve"> </w:t>
    </w:r>
  </w:p>
  <w:p w14:paraId="5E420A8C" w14:textId="3CC9BA8F" w:rsidR="004A2C1F" w:rsidRDefault="008245B1" w:rsidP="00E163DB">
    <w:pPr>
      <w:pBdr>
        <w:top w:val="nil"/>
        <w:left w:val="nil"/>
        <w:bottom w:val="nil"/>
        <w:right w:val="nil"/>
        <w:between w:val="nil"/>
      </w:pBdr>
      <w:tabs>
        <w:tab w:val="center" w:pos="4419"/>
      </w:tabs>
      <w:spacing w:after="0" w:line="240" w:lineRule="auto"/>
      <w:ind w:left="4536"/>
      <w:jc w:val="center"/>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 xml:space="preserve">Sujeto Obligado: </w:t>
    </w:r>
    <w:r w:rsidR="00A02C54" w:rsidRPr="00A02C54">
      <w:rPr>
        <w:rFonts w:ascii="Palatino Linotype" w:eastAsia="Palatino Linotype" w:hAnsi="Palatino Linotype" w:cs="Palatino Linotype"/>
        <w:b/>
        <w:color w:val="000000"/>
        <w:sz w:val="20"/>
        <w:szCs w:val="20"/>
      </w:rPr>
      <w:t xml:space="preserve">Ayuntamiento de </w:t>
    </w:r>
    <w:r w:rsidR="00072C60" w:rsidRPr="00072C60">
      <w:rPr>
        <w:rFonts w:ascii="Palatino Linotype" w:eastAsia="Palatino Linotype" w:hAnsi="Palatino Linotype" w:cs="Palatino Linotype"/>
        <w:b/>
        <w:color w:val="000000"/>
        <w:sz w:val="20"/>
        <w:szCs w:val="20"/>
      </w:rPr>
      <w:t>Mexicaltzingo</w:t>
    </w:r>
  </w:p>
  <w:p w14:paraId="3588596F" w14:textId="21A09B04" w:rsidR="00961261" w:rsidRPr="00BF57D2" w:rsidRDefault="008245B1" w:rsidP="00E163DB">
    <w:pPr>
      <w:pBdr>
        <w:top w:val="nil"/>
        <w:left w:val="nil"/>
        <w:bottom w:val="nil"/>
        <w:right w:val="nil"/>
        <w:between w:val="nil"/>
      </w:pBdr>
      <w:tabs>
        <w:tab w:val="center" w:pos="4419"/>
      </w:tabs>
      <w:spacing w:after="0" w:line="240" w:lineRule="auto"/>
      <w:ind w:left="4536"/>
      <w:jc w:val="center"/>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Comisionad</w:t>
    </w:r>
    <w:r w:rsidR="00715D82">
      <w:rPr>
        <w:rFonts w:ascii="Palatino Linotype" w:eastAsia="Palatino Linotype" w:hAnsi="Palatino Linotype" w:cs="Palatino Linotype"/>
        <w:b/>
        <w:color w:val="000000"/>
        <w:sz w:val="20"/>
        <w:szCs w:val="20"/>
      </w:rPr>
      <w:t>a</w:t>
    </w:r>
    <w:r w:rsidR="00F154E7">
      <w:rPr>
        <w:rFonts w:ascii="Palatino Linotype" w:eastAsia="Palatino Linotype" w:hAnsi="Palatino Linotype" w:cs="Palatino Linotype"/>
        <w:b/>
        <w:color w:val="000000"/>
        <w:sz w:val="20"/>
        <w:szCs w:val="20"/>
      </w:rPr>
      <w:t xml:space="preserve"> </w:t>
    </w:r>
    <w:r>
      <w:rPr>
        <w:rFonts w:ascii="Palatino Linotype" w:eastAsia="Palatino Linotype" w:hAnsi="Palatino Linotype" w:cs="Palatino Linotype"/>
        <w:b/>
        <w:color w:val="000000"/>
        <w:sz w:val="20"/>
        <w:szCs w:val="20"/>
      </w:rPr>
      <w:t xml:space="preserve">Ponente: </w:t>
    </w:r>
    <w:r w:rsidR="00575AB7" w:rsidRPr="00575AB7">
      <w:rPr>
        <w:rFonts w:ascii="Palatino Linotype" w:eastAsia="Palatino Linotype" w:hAnsi="Palatino Linotype" w:cs="Palatino Linotype"/>
        <w:b/>
        <w:color w:val="000000"/>
        <w:sz w:val="20"/>
        <w:szCs w:val="20"/>
      </w:rPr>
      <w:t>Guadalupe Ramírez Peña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DCE6" w14:textId="77777777" w:rsidR="00961261" w:rsidRDefault="00961261">
    <w:pPr>
      <w:pBdr>
        <w:top w:val="nil"/>
        <w:left w:val="nil"/>
        <w:bottom w:val="nil"/>
        <w:right w:val="nil"/>
        <w:between w:val="nil"/>
      </w:pBdr>
      <w:tabs>
        <w:tab w:val="center" w:pos="4419"/>
        <w:tab w:val="right" w:pos="8838"/>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261"/>
    <w:rsid w:val="000269C8"/>
    <w:rsid w:val="00054FEF"/>
    <w:rsid w:val="000603EA"/>
    <w:rsid w:val="000641C4"/>
    <w:rsid w:val="00072C60"/>
    <w:rsid w:val="00080DEE"/>
    <w:rsid w:val="000B674A"/>
    <w:rsid w:val="001126EC"/>
    <w:rsid w:val="00154868"/>
    <w:rsid w:val="00177D2C"/>
    <w:rsid w:val="00177E93"/>
    <w:rsid w:val="00192D17"/>
    <w:rsid w:val="00193F6E"/>
    <w:rsid w:val="001C7B69"/>
    <w:rsid w:val="001D09B5"/>
    <w:rsid w:val="001E0D25"/>
    <w:rsid w:val="001E4B59"/>
    <w:rsid w:val="001E5707"/>
    <w:rsid w:val="002040BD"/>
    <w:rsid w:val="002228FA"/>
    <w:rsid w:val="00223B14"/>
    <w:rsid w:val="0023029D"/>
    <w:rsid w:val="00256747"/>
    <w:rsid w:val="002735C0"/>
    <w:rsid w:val="0028491A"/>
    <w:rsid w:val="003239BB"/>
    <w:rsid w:val="003273C6"/>
    <w:rsid w:val="00376979"/>
    <w:rsid w:val="00390764"/>
    <w:rsid w:val="0039673E"/>
    <w:rsid w:val="00397D20"/>
    <w:rsid w:val="003C4FD1"/>
    <w:rsid w:val="003E201C"/>
    <w:rsid w:val="00410B9D"/>
    <w:rsid w:val="00427E1F"/>
    <w:rsid w:val="00444A11"/>
    <w:rsid w:val="00465E26"/>
    <w:rsid w:val="004969AB"/>
    <w:rsid w:val="004A265A"/>
    <w:rsid w:val="004A2C1F"/>
    <w:rsid w:val="004D14F1"/>
    <w:rsid w:val="004D5972"/>
    <w:rsid w:val="0055213F"/>
    <w:rsid w:val="005736A6"/>
    <w:rsid w:val="00575AB7"/>
    <w:rsid w:val="00582AB7"/>
    <w:rsid w:val="00595F7C"/>
    <w:rsid w:val="005D35D5"/>
    <w:rsid w:val="005D4A70"/>
    <w:rsid w:val="005D7EAE"/>
    <w:rsid w:val="005E34A6"/>
    <w:rsid w:val="005E73E1"/>
    <w:rsid w:val="00612BA0"/>
    <w:rsid w:val="006206FC"/>
    <w:rsid w:val="0064359B"/>
    <w:rsid w:val="006563AB"/>
    <w:rsid w:val="00667C84"/>
    <w:rsid w:val="00680F99"/>
    <w:rsid w:val="006A2ED7"/>
    <w:rsid w:val="00703F7A"/>
    <w:rsid w:val="00715D82"/>
    <w:rsid w:val="00732575"/>
    <w:rsid w:val="00742C03"/>
    <w:rsid w:val="00776208"/>
    <w:rsid w:val="00794317"/>
    <w:rsid w:val="00796574"/>
    <w:rsid w:val="007C6A16"/>
    <w:rsid w:val="007D4DC6"/>
    <w:rsid w:val="008245B1"/>
    <w:rsid w:val="00825F77"/>
    <w:rsid w:val="00844E8B"/>
    <w:rsid w:val="00845B69"/>
    <w:rsid w:val="00851B43"/>
    <w:rsid w:val="008577C7"/>
    <w:rsid w:val="0088396F"/>
    <w:rsid w:val="008852AD"/>
    <w:rsid w:val="00885C96"/>
    <w:rsid w:val="008D22A4"/>
    <w:rsid w:val="00916373"/>
    <w:rsid w:val="00961261"/>
    <w:rsid w:val="00961683"/>
    <w:rsid w:val="009750AD"/>
    <w:rsid w:val="009B57D5"/>
    <w:rsid w:val="009C5312"/>
    <w:rsid w:val="009E1CB6"/>
    <w:rsid w:val="009E3524"/>
    <w:rsid w:val="00A02C54"/>
    <w:rsid w:val="00A35BBD"/>
    <w:rsid w:val="00A43021"/>
    <w:rsid w:val="00A439E9"/>
    <w:rsid w:val="00A501E7"/>
    <w:rsid w:val="00A55DAA"/>
    <w:rsid w:val="00AA5DEA"/>
    <w:rsid w:val="00AB3ADF"/>
    <w:rsid w:val="00AE20D1"/>
    <w:rsid w:val="00B1123F"/>
    <w:rsid w:val="00B538D2"/>
    <w:rsid w:val="00B93686"/>
    <w:rsid w:val="00BD41FF"/>
    <w:rsid w:val="00BD5FDC"/>
    <w:rsid w:val="00BF2A19"/>
    <w:rsid w:val="00BF57D2"/>
    <w:rsid w:val="00BF614A"/>
    <w:rsid w:val="00C17835"/>
    <w:rsid w:val="00C3472F"/>
    <w:rsid w:val="00C35399"/>
    <w:rsid w:val="00C449DD"/>
    <w:rsid w:val="00C6390D"/>
    <w:rsid w:val="00C63F5B"/>
    <w:rsid w:val="00C85C24"/>
    <w:rsid w:val="00CA775F"/>
    <w:rsid w:val="00CE276B"/>
    <w:rsid w:val="00D30DB8"/>
    <w:rsid w:val="00D52BB0"/>
    <w:rsid w:val="00D54AEE"/>
    <w:rsid w:val="00D760FF"/>
    <w:rsid w:val="00DA6697"/>
    <w:rsid w:val="00DA698F"/>
    <w:rsid w:val="00DC51A4"/>
    <w:rsid w:val="00E01414"/>
    <w:rsid w:val="00E163DB"/>
    <w:rsid w:val="00E33461"/>
    <w:rsid w:val="00E6559B"/>
    <w:rsid w:val="00E86038"/>
    <w:rsid w:val="00E901C7"/>
    <w:rsid w:val="00EA74B0"/>
    <w:rsid w:val="00EB651D"/>
    <w:rsid w:val="00EC4AA9"/>
    <w:rsid w:val="00ED773B"/>
    <w:rsid w:val="00EE1124"/>
    <w:rsid w:val="00EE7F02"/>
    <w:rsid w:val="00F147A8"/>
    <w:rsid w:val="00F154E7"/>
    <w:rsid w:val="00F37113"/>
    <w:rsid w:val="00F37DE0"/>
    <w:rsid w:val="00F415DF"/>
    <w:rsid w:val="00F61B9A"/>
    <w:rsid w:val="00F72999"/>
    <w:rsid w:val="00F7412A"/>
    <w:rsid w:val="00F9394C"/>
    <w:rsid w:val="00FA1658"/>
    <w:rsid w:val="00FD4E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BD915"/>
  <w15:docId w15:val="{F331E159-9AC9-4F1B-B63D-0007126BA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7BA"/>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TableNormalf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0607B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EncabezadoCar">
    <w:name w:val="Encabezado Car"/>
    <w:basedOn w:val="Fuentedeprrafopredeter"/>
    <w:link w:val="Encabezado"/>
    <w:uiPriority w:val="99"/>
    <w:rsid w:val="000607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0607B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0607BA"/>
    <w:rPr>
      <w:rFonts w:ascii="Times New Roman" w:eastAsia="Times New Roman" w:hAnsi="Times New Roman" w:cs="Times New Roman"/>
      <w:sz w:val="24"/>
      <w:szCs w:val="24"/>
      <w:lang w:val="es-ES" w:eastAsia="es-ES"/>
    </w:rPr>
  </w:style>
  <w:style w:type="paragraph" w:styleId="NormalWeb">
    <w:name w:val="Normal (Web)"/>
    <w:basedOn w:val="Normal"/>
    <w:uiPriority w:val="99"/>
    <w:rsid w:val="000607B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0607BA"/>
    <w:pPr>
      <w:spacing w:after="0" w:line="240" w:lineRule="auto"/>
      <w:ind w:left="720"/>
      <w:contextualSpacing/>
    </w:pPr>
    <w:rPr>
      <w:rFonts w:ascii="Times New Roman" w:hAnsi="Times New Roman" w:cs="Times New Roman"/>
      <w:sz w:val="24"/>
      <w:szCs w:val="24"/>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0607BA"/>
    <w:rPr>
      <w:rFonts w:ascii="Times New Roman" w:eastAsia="Calibri" w:hAnsi="Times New Roman" w:cs="Times New Roman"/>
      <w:sz w:val="24"/>
      <w:szCs w:val="24"/>
      <w:lang w:val="es-ES" w:eastAsia="es-ES"/>
    </w:rPr>
  </w:style>
  <w:style w:type="paragraph" w:styleId="Textodeglobo">
    <w:name w:val="Balloon Text"/>
    <w:basedOn w:val="Normal"/>
    <w:link w:val="TextodegloboCar"/>
    <w:uiPriority w:val="99"/>
    <w:semiHidden/>
    <w:unhideWhenUsed/>
    <w:rsid w:val="0045646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56467"/>
    <w:rPr>
      <w:rFonts w:ascii="Segoe UI" w:hAnsi="Segoe UI" w:cs="Segoe UI"/>
      <w:sz w:val="18"/>
      <w:szCs w:val="18"/>
    </w:rPr>
  </w:style>
  <w:style w:type="character" w:customStyle="1" w:styleId="apple-converted-space">
    <w:name w:val="apple-converted-space"/>
    <w:basedOn w:val="Fuentedeprrafopredeter"/>
    <w:rsid w:val="002618A9"/>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921613"/>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921613"/>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qFormat/>
    <w:rsid w:val="00921613"/>
    <w:rPr>
      <w:vertAlign w:val="superscript"/>
    </w:rPr>
  </w:style>
  <w:style w:type="character" w:styleId="Hipervnculo">
    <w:name w:val="Hyperlink"/>
    <w:basedOn w:val="Fuentedeprrafopredeter"/>
    <w:uiPriority w:val="99"/>
    <w:semiHidden/>
    <w:unhideWhenUsed/>
    <w:rsid w:val="00696A57"/>
    <w:rPr>
      <w:color w:val="0000FF"/>
      <w:u w:val="single"/>
    </w:rPr>
  </w:style>
  <w:style w:type="paragraph" w:customStyle="1" w:styleId="Citas">
    <w:name w:val="Citas"/>
    <w:basedOn w:val="Normal"/>
    <w:qFormat/>
    <w:rsid w:val="00191E4D"/>
    <w:pPr>
      <w:spacing w:before="240" w:line="360" w:lineRule="auto"/>
      <w:ind w:left="851" w:right="851"/>
      <w:jc w:val="both"/>
    </w:pPr>
    <w:rPr>
      <w:rFonts w:ascii="Palatino Linotype" w:hAnsi="Palatino Linotype" w:cs="Arial"/>
      <w:i/>
    </w:rPr>
  </w:style>
  <w:style w:type="paragraph" w:styleId="Sinespaciado">
    <w:name w:val="No Spacing"/>
    <w:aliases w:val="Francesa,INAI"/>
    <w:link w:val="SinespaciadoCar"/>
    <w:uiPriority w:val="1"/>
    <w:qFormat/>
    <w:rsid w:val="00AB4878"/>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Francesa Car,INAI Car"/>
    <w:link w:val="Sinespaciado"/>
    <w:uiPriority w:val="1"/>
    <w:locked/>
    <w:rsid w:val="00AB4878"/>
    <w:rPr>
      <w:rFonts w:ascii="Times New Roman" w:eastAsia="Times New Roman" w:hAnsi="Times New Roman" w:cs="Times New Roman"/>
      <w:sz w:val="24"/>
      <w:szCs w:val="24"/>
      <w:lang w:eastAsia="es-ES"/>
    </w:rPr>
  </w:style>
  <w:style w:type="paragraph" w:customStyle="1" w:styleId="INFOEM">
    <w:name w:val="INFOEM"/>
    <w:basedOn w:val="Normal"/>
    <w:qFormat/>
    <w:rsid w:val="00A430B5"/>
    <w:pPr>
      <w:spacing w:before="240" w:line="360" w:lineRule="auto"/>
      <w:ind w:left="851" w:right="851"/>
      <w:jc w:val="both"/>
    </w:pPr>
    <w:rPr>
      <w:rFonts w:ascii="Palatino Linotype" w:hAnsi="Palatino Linotype"/>
      <w:i/>
      <w:szCs w:val="1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Fundamentos">
    <w:name w:val="Fundamentos"/>
    <w:basedOn w:val="Normal"/>
    <w:qFormat/>
    <w:rsid w:val="000B7742"/>
    <w:pPr>
      <w:pBdr>
        <w:top w:val="nil"/>
        <w:left w:val="nil"/>
        <w:bottom w:val="nil"/>
        <w:right w:val="nil"/>
        <w:between w:val="nil"/>
      </w:pBdr>
      <w:spacing w:after="0" w:line="240" w:lineRule="auto"/>
      <w:ind w:left="567" w:right="567"/>
      <w:contextualSpacing/>
      <w:jc w:val="both"/>
    </w:pPr>
    <w:rPr>
      <w:rFonts w:ascii="Palatino Linotype" w:eastAsia="Palatino Linotype" w:hAnsi="Palatino Linotype" w:cs="Palatino Linotype"/>
      <w:i/>
      <w:color w:val="000000"/>
      <w:szCs w:val="24"/>
      <w:lang w:val="es-ES_tradnl"/>
    </w:rPr>
  </w:style>
  <w:style w:type="table" w:customStyle="1" w:styleId="Tablaconcuadrcula31">
    <w:name w:val="Tabla con cuadrícula31"/>
    <w:basedOn w:val="Tablanormal"/>
    <w:uiPriority w:val="59"/>
    <w:rsid w:val="00E030B8"/>
    <w:pPr>
      <w:spacing w:after="0" w:line="240" w:lineRule="auto"/>
    </w:pPr>
    <w:rPr>
      <w:rFonts w:asciiTheme="minorHAnsi" w:eastAsiaTheme="minorHAnsi" w:hAnsiTheme="minorHAnsi" w:cstheme="minorBidi"/>
      <w:lang w:val="es-ES_trad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e"/>
    <w:pPr>
      <w:spacing w:after="0" w:line="240" w:lineRule="auto"/>
    </w:pPr>
    <w:tblPr>
      <w:tblStyleRowBandSize w:val="1"/>
      <w:tblStyleColBandSize w:val="1"/>
      <w:tblCellMar>
        <w:left w:w="108" w:type="dxa"/>
        <w:right w:w="108" w:type="dxa"/>
      </w:tblCellMar>
    </w:tblPr>
  </w:style>
  <w:style w:type="table" w:customStyle="1" w:styleId="a0">
    <w:basedOn w:val="TableNormale"/>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815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d3jd8npQVy+vPhUmEvG7MUNLg==">CgMxLjAyCWguMXQzaDVzZjIJaC4zMGowemxsMg5oLmQ4bDhjOHk1NjAzNzIJaC4yZXQ5MnAwMgloLjFmb2I5dGUyCGgudHlqY3d0MghoLmdqZGd4czIOaC5qa2F4bjhtZ3h5N3E4AHIhMWMxN3diOXkxMEVMYlBkOV9YMUN3VVVuZUM3dGtjMkhH</go:docsCustomData>
</go:gDocsCustomXmlDataStorage>
</file>

<file path=customXml/itemProps1.xml><?xml version="1.0" encoding="utf-8"?>
<ds:datastoreItem xmlns:ds="http://schemas.openxmlformats.org/officeDocument/2006/customXml" ds:itemID="{EA833B2C-650A-49D9-AAEF-9CBB3CC00BD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9</Pages>
  <Words>1832</Words>
  <Characters>10080</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Infoem Soporte</cp:lastModifiedBy>
  <cp:revision>29</cp:revision>
  <cp:lastPrinted>2025-06-23T19:02:00Z</cp:lastPrinted>
  <dcterms:created xsi:type="dcterms:W3CDTF">2026-06-26T16:10:00Z</dcterms:created>
  <dcterms:modified xsi:type="dcterms:W3CDTF">2026-08-17T22:52:00Z</dcterms:modified>
</cp:coreProperties>
</file>