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right="49" w:hanging="22"/>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de fecha </w:t>
      </w:r>
      <w:r w:rsidDel="00000000" w:rsidR="00000000" w:rsidRPr="00000000">
        <w:rPr>
          <w:rFonts w:ascii="Palatino Linotype" w:cs="Palatino Linotype" w:eastAsia="Palatino Linotype" w:hAnsi="Palatino Linotype"/>
          <w:b w:val="1"/>
          <w:bCs w:val="1"/>
          <w:sz w:val="22"/>
          <w:szCs w:val="22"/>
          <w:rtl w:val="0"/>
        </w:rPr>
        <w:t xml:space="preserve">diecinueve de agosto de dos mil</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veintiséis.</w:t>
      </w:r>
      <w:r w:rsidDel="00000000" w:rsidR="00000000" w:rsidRPr="00000000">
        <w:rPr>
          <w:rtl w:val="0"/>
        </w:rPr>
      </w:r>
    </w:p>
    <w:p w:rsidR="00000000" w:rsidDel="00000000" w:rsidP="00000000" w:rsidRDefault="00000000" w:rsidRPr="00000000" w14:paraId="00000002">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3">
      <w:pPr>
        <w:spacing w:line="360" w:lineRule="auto"/>
        <w:ind w:right="49"/>
        <w:jc w:val="both"/>
        <w:rPr>
          <w:rFonts w:ascii="Palatino Linotype" w:cs="Palatino Linotype" w:eastAsia="Palatino Linotype" w:hAnsi="Palatino Linotype"/>
          <w:sz w:val="22"/>
          <w:szCs w:val="22"/>
        </w:rPr>
      </w:pPr>
      <w:bookmarkStart w:colFirst="0" w:colLast="0" w:name="_heading=h.5wupbq8js0id" w:id="0"/>
      <w:bookmarkEnd w:id="0"/>
      <w:r w:rsidDel="00000000" w:rsidR="00000000" w:rsidRPr="00000000">
        <w:rPr>
          <w:rFonts w:ascii="Palatino Linotype" w:cs="Palatino Linotype" w:eastAsia="Palatino Linotype" w:hAnsi="Palatino Linotype"/>
          <w:b w:val="1"/>
          <w:bCs w:val="1"/>
          <w:sz w:val="22"/>
          <w:szCs w:val="22"/>
          <w:rtl w:val="0"/>
        </w:rPr>
        <w:t xml:space="preserve">VISTO </w:t>
      </w:r>
      <w:r w:rsidDel="00000000" w:rsidR="00000000" w:rsidRPr="00000000">
        <w:rPr>
          <w:rFonts w:ascii="Palatino Linotype" w:cs="Palatino Linotype" w:eastAsia="Palatino Linotype" w:hAnsi="Palatino Linotype"/>
          <w:sz w:val="22"/>
          <w:szCs w:val="22"/>
          <w:rtl w:val="0"/>
        </w:rPr>
        <w:t xml:space="preserve">el expediente relativo al recurso de revisión </w:t>
      </w:r>
      <w:r w:rsidDel="00000000" w:rsidR="00000000" w:rsidRPr="00000000">
        <w:rPr>
          <w:rFonts w:ascii="Palatino Linotype" w:cs="Palatino Linotype" w:eastAsia="Palatino Linotype" w:hAnsi="Palatino Linotype"/>
          <w:b w:val="1"/>
          <w:bCs w:val="1"/>
          <w:sz w:val="22"/>
          <w:szCs w:val="22"/>
          <w:rtl w:val="0"/>
        </w:rPr>
        <w:t xml:space="preserve">06394/INFOEM/IP/RR/2026, </w:t>
      </w:r>
      <w:r w:rsidDel="00000000" w:rsidR="00000000" w:rsidRPr="00000000">
        <w:rPr>
          <w:rFonts w:ascii="Palatino Linotype" w:cs="Palatino Linotype" w:eastAsia="Palatino Linotype" w:hAnsi="Palatino Linotype"/>
          <w:sz w:val="22"/>
          <w:szCs w:val="22"/>
          <w:rtl w:val="0"/>
        </w:rPr>
        <w:t xml:space="preserve">interpuesto por </w:t>
      </w:r>
      <w:r w:rsidDel="00000000" w:rsidR="00000000" w:rsidRPr="00000000">
        <w:rPr>
          <w:rFonts w:ascii="Palatino Linotype" w:cs="Palatino Linotype" w:eastAsia="Palatino Linotype" w:hAnsi="Palatino Linotype"/>
          <w:b w:val="1"/>
          <w:bCs w:val="1"/>
          <w:sz w:val="22"/>
          <w:szCs w:val="22"/>
          <w:rtl w:val="0"/>
        </w:rPr>
        <w:t xml:space="preserve">XXXXX XXX XXXXXXX XXXXXX XXXXXXX,</w:t>
      </w:r>
      <w:r w:rsidDel="00000000" w:rsidR="00000000" w:rsidRPr="00000000">
        <w:rPr>
          <w:rFonts w:ascii="Palatino Linotype" w:cs="Palatino Linotype" w:eastAsia="Palatino Linotype" w:hAnsi="Palatino Linotype"/>
          <w:sz w:val="22"/>
          <w:szCs w:val="22"/>
          <w:rtl w:val="0"/>
        </w:rPr>
        <w:t xml:space="preserve"> en lo sucesivo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contra de la respuesta a la solicitud de información por parte del </w:t>
      </w:r>
      <w:r w:rsidDel="00000000" w:rsidR="00000000" w:rsidRPr="00000000">
        <w:rPr>
          <w:rFonts w:ascii="Palatino Linotype" w:cs="Palatino Linotype" w:eastAsia="Palatino Linotype" w:hAnsi="Palatino Linotype"/>
          <w:b w:val="1"/>
          <w:bCs w:val="1"/>
          <w:sz w:val="22"/>
          <w:szCs w:val="22"/>
          <w:rtl w:val="0"/>
        </w:rPr>
        <w:t xml:space="preserve">Sistema de Agua Potable Alcantarillado y Saneamiento de Ecatepec de Morelos</w:t>
      </w:r>
      <w:r w:rsidDel="00000000" w:rsidR="00000000" w:rsidRPr="00000000">
        <w:rPr>
          <w:rFonts w:ascii="Palatino Linotype" w:cs="Palatino Linotype" w:eastAsia="Palatino Linotype" w:hAnsi="Palatino Linotype"/>
          <w:sz w:val="22"/>
          <w:szCs w:val="22"/>
          <w:rtl w:val="0"/>
        </w:rPr>
        <w:t xml:space="preserve">, en lo sucesivo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 siguiente.  </w:t>
      </w:r>
    </w:p>
    <w:p w:rsidR="00000000" w:rsidDel="00000000" w:rsidP="00000000" w:rsidRDefault="00000000" w:rsidRPr="00000000" w14:paraId="00000004">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5">
      <w:pPr>
        <w:spacing w:line="360" w:lineRule="auto"/>
        <w:ind w:right="49"/>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w:t>
        <w:tab/>
        <w:t xml:space="preserve">A N T E C E D E N T E S </w:t>
      </w:r>
    </w:p>
    <w:p w:rsidR="00000000" w:rsidDel="00000000" w:rsidP="00000000" w:rsidRDefault="00000000" w:rsidRPr="00000000" w14:paraId="00000006">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1.</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Solicitud de Acceso a la Información. El cinco de junio de dos mil veintiséis</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LA PARTE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formuló solicitud de acceso a información pública a través del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en la que requirió lo siguiente: </w:t>
      </w:r>
    </w:p>
    <w:p w:rsidR="00000000" w:rsidDel="00000000" w:rsidP="00000000" w:rsidRDefault="00000000" w:rsidRPr="00000000" w14:paraId="0000000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9">
      <w:pPr>
        <w:numPr>
          <w:ilvl w:val="0"/>
          <w:numId w:val="6"/>
        </w:numPr>
        <w:pBdr>
          <w:top w:space="0" w:sz="0" w:val="nil"/>
          <w:left w:space="0" w:sz="0" w:val="nil"/>
          <w:bottom w:space="0" w:sz="0" w:val="nil"/>
          <w:right w:space="0" w:sz="0" w:val="nil"/>
          <w:between w:space="0" w:sz="0" w:val="nil"/>
        </w:pBdr>
        <w:spacing w:line="360" w:lineRule="auto"/>
        <w:ind w:left="567" w:right="49" w:hanging="360"/>
        <w:jc w:val="both"/>
        <w:rPr>
          <w:b w:val="1"/>
          <w:bCs w:val="1"/>
          <w:sz w:val="22"/>
          <w:szCs w:val="22"/>
        </w:rPr>
      </w:pPr>
      <w:bookmarkStart w:colFirst="0" w:colLast="0" w:name="_heading=h.3znysh7" w:id="1"/>
      <w:bookmarkEnd w:id="1"/>
      <w:r w:rsidDel="00000000" w:rsidR="00000000" w:rsidRPr="00000000">
        <w:rPr>
          <w:rFonts w:ascii="Palatino Linotype" w:cs="Palatino Linotype" w:eastAsia="Palatino Linotype" w:hAnsi="Palatino Linotype"/>
          <w:b w:val="1"/>
          <w:bCs w:val="1"/>
          <w:sz w:val="22"/>
          <w:szCs w:val="22"/>
          <w:rtl w:val="0"/>
        </w:rPr>
        <w:t xml:space="preserve">00018/OASECATEPE/IP/2026</w:t>
      </w:r>
    </w:p>
    <w:p w:rsidR="00000000" w:rsidDel="00000000" w:rsidP="00000000" w:rsidRDefault="00000000" w:rsidRPr="00000000" w14:paraId="0000000A">
      <w:pPr>
        <w:spacing w:line="360" w:lineRule="auto"/>
        <w:ind w:left="567" w:right="843"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"Con motivo de la Obra Pública en Calle 12 de la Colonia Rustica Xalostoc, el día 5 de junio de 2026, pregunto a SAPASE: 1.- Cuando se tiene considerado de acuerdo a contrato se terminen los trabajos de Obra Pública, en lo relacionado con AGUA POTABLE DE LA RED PUBLICA, ya que la construcción que resguardan las válvulas de la red de agua potable, no se han terminado de construir, ya que les faltan las tapas a los registros. 2.- Solicito el último INFORME (o su equivalente) de supervisión de personal de SAPASE, ya que el tema del agua es responsabilidad del OPD SAPASE. 3.- Cuantas válvulas se han instalado en la RED DE AGUA POTABLE y su ubicación, en el marco de la RED DE AGUA POTABLE DE CALLE 12 DE LA COLONIA RUSTICA XALOSTOC, si es posible considerar la EVIDENCIA FOTOGRAFICA.</w:t>
      </w:r>
      <w:r w:rsidDel="00000000" w:rsidR="00000000" w:rsidRPr="00000000">
        <w:rPr>
          <w:rFonts w:ascii="Palatino Linotype" w:cs="Palatino Linotype" w:eastAsia="Palatino Linotype" w:hAnsi="Palatino Linotype"/>
          <w:b w:val="1"/>
          <w:bCs w:val="1"/>
          <w:i w:val="1"/>
          <w:iCs w:val="1"/>
          <w:sz w:val="22"/>
          <w:szCs w:val="22"/>
          <w:rtl w:val="0"/>
        </w:rPr>
        <w:t xml:space="preserve">” (Sic.)</w:t>
      </w:r>
    </w:p>
    <w:p w:rsidR="00000000" w:rsidDel="00000000" w:rsidP="00000000" w:rsidRDefault="00000000" w:rsidRPr="00000000" w14:paraId="0000000B">
      <w:pPr>
        <w:spacing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0C">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Modalidad elegida para la entrega de la información:</w:t>
      </w:r>
      <w:r w:rsidDel="00000000" w:rsidR="00000000" w:rsidRPr="00000000">
        <w:rPr>
          <w:rFonts w:ascii="Palatino Linotype" w:cs="Palatino Linotype" w:eastAsia="Palatino Linotype" w:hAnsi="Palatino Linotype"/>
          <w:sz w:val="22"/>
          <w:szCs w:val="22"/>
          <w:rtl w:val="0"/>
        </w:rPr>
        <w:t xml:space="preserve"> a través del Sistema de Acceso a la Información Mexiquense (SAIMEX).</w:t>
      </w:r>
    </w:p>
    <w:p w:rsidR="00000000" w:rsidDel="00000000" w:rsidP="00000000" w:rsidRDefault="00000000" w:rsidRPr="00000000" w14:paraId="0000000D">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E">
      <w:pPr>
        <w:widowControl w:val="0"/>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2. Respuesta.</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dieciséis de junio de dos mil veintiséis</w:t>
      </w:r>
      <w:r w:rsidDel="00000000" w:rsidR="00000000" w:rsidRPr="00000000">
        <w:rPr>
          <w:rFonts w:ascii="Palatino Linotype" w:cs="Palatino Linotype" w:eastAsia="Palatino Linotype" w:hAnsi="Palatino Linotype"/>
          <w:sz w:val="22"/>
          <w:szCs w:val="22"/>
          <w:rtl w:val="0"/>
        </w:rPr>
        <w:t xml:space="preserve">, el Sujeto Obligado dio respuesta a la solicitud, a través del Sistema de Acceso a la Información Mexiquense en los siguientes términos:</w:t>
      </w:r>
    </w:p>
    <w:p w:rsidR="00000000" w:rsidDel="00000000" w:rsidP="00000000" w:rsidRDefault="00000000" w:rsidRPr="00000000" w14:paraId="0000000F">
      <w:pPr>
        <w:widowControl w:val="0"/>
        <w:spacing w:line="360" w:lineRule="auto"/>
        <w:ind w:left="567" w:right="843" w:firstLine="0"/>
        <w:jc w:val="right"/>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“Folio de la solicitud: 00082/OASECATEPE/IP/2026</w:t>
      </w:r>
    </w:p>
    <w:p w:rsidR="00000000" w:rsidDel="00000000" w:rsidP="00000000" w:rsidRDefault="00000000" w:rsidRPr="00000000" w14:paraId="00000010">
      <w:pPr>
        <w:widowControl w:val="0"/>
        <w:spacing w:line="360" w:lineRule="auto"/>
        <w:ind w:left="567" w:right="843" w:firstLine="0"/>
        <w:jc w:val="right"/>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1">
      <w:pPr>
        <w:widowControl w:val="0"/>
        <w:spacing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respuesta a la solicitud recibida, nos permitimos hacer de su conocimiento que con fundamento en el artículo 53, Fracciones: II, V y VI de la Ley de Transparencia y Acceso a la Información Pública del Estado de México y Municipios, le contestamos que:</w:t>
      </w:r>
    </w:p>
    <w:p w:rsidR="00000000" w:rsidDel="00000000" w:rsidP="00000000" w:rsidRDefault="00000000" w:rsidRPr="00000000" w14:paraId="00000012">
      <w:pPr>
        <w:widowControl w:val="0"/>
        <w:spacing w:line="360" w:lineRule="auto"/>
        <w:ind w:left="567" w:right="843"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Folio de la Solicitud: 00082/OASECATEPE/IP/2026 En atención a su solicitud recibida y con fundamento en el artículo 53, fracciones II, V y VI de la Ley de Transparencia y Acceso a la Información Pública del Estado de México y Municipios, me permito hacerle de conocimiento que: De conformidad con lo establecido en los artículos 12 y 59 de la Ley de ley de Transparencia Local, y bajo la más estricta responsabilidad del Servidor Público Habilitado, haciendo una búsqueda exhaustiva y razonable, se envía la respuesta a la solicitud de información que nos ocupa en los archivos PDF adjuntos a esta contestación. adicional a la respuesta otorgada, </w:t>
      </w:r>
      <w:r w:rsidDel="00000000" w:rsidR="00000000" w:rsidRPr="00000000">
        <w:rPr>
          <w:rFonts w:ascii="Palatino Linotype" w:cs="Palatino Linotype" w:eastAsia="Palatino Linotype" w:hAnsi="Palatino Linotype"/>
          <w:b w:val="1"/>
          <w:bCs w:val="1"/>
          <w:i w:val="1"/>
          <w:iCs w:val="1"/>
          <w:sz w:val="22"/>
          <w:szCs w:val="22"/>
          <w:rtl w:val="0"/>
        </w:rPr>
        <w:t xml:space="preserve">le comento que no se ha generado ningún informe o su equivalente de supervisiones de personal de SAPASE puesto que la obra a la cual hace referencia no está a cargo de este Organismo, si no de la Direccion de Obras Publicas, perteneciente al H. Ayuntamiento de Ecatepec. Dando atención a su solicitud, quedo de usted.</w:t>
      </w:r>
    </w:p>
    <w:p w:rsidR="00000000" w:rsidDel="00000000" w:rsidP="00000000" w:rsidRDefault="00000000" w:rsidRPr="00000000" w14:paraId="00000013">
      <w:pPr>
        <w:widowControl w:val="0"/>
        <w:spacing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ATENTAMENTE</w:t>
      </w:r>
    </w:p>
    <w:p w:rsidR="00000000" w:rsidDel="00000000" w:rsidP="00000000" w:rsidRDefault="00000000" w:rsidRPr="00000000" w14:paraId="00000014">
      <w:pPr>
        <w:widowControl w:val="0"/>
        <w:spacing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LIC. MONSERRAT LOPEZ CRUZ”</w:t>
      </w:r>
    </w:p>
    <w:p w:rsidR="00000000" w:rsidDel="00000000" w:rsidP="00000000" w:rsidRDefault="00000000" w:rsidRPr="00000000" w14:paraId="00000015">
      <w:pPr>
        <w:widowControl w:val="0"/>
        <w:spacing w:line="360" w:lineRule="auto"/>
        <w:ind w:right="84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6">
      <w:pPr>
        <w:widowControl w:val="0"/>
        <w:numPr>
          <w:ilvl w:val="0"/>
          <w:numId w:val="5"/>
        </w:numPr>
        <w:pBdr>
          <w:top w:space="0" w:sz="0" w:val="nil"/>
          <w:left w:space="0" w:sz="0" w:val="nil"/>
          <w:bottom w:space="0" w:sz="0" w:val="nil"/>
          <w:right w:space="0" w:sz="0" w:val="nil"/>
          <w:between w:space="0" w:sz="0" w:val="nil"/>
        </w:pBdr>
        <w:spacing w:line="360" w:lineRule="auto"/>
        <w:ind w:left="720" w:right="-7"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El Sujeto Obligado adjuntó el documento electrónico denominado RESP-00082 OFC-1885-2026.pdf que contiene el oficio suscrito por el Director de Construcción y Operación Hidráulica mediante el cual refiere lo siguiente: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360" w:lineRule="auto"/>
        <w:ind w:left="720" w:right="-7"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054860" cy="2362321"/>
            <wp:effectExtent b="0" l="0" r="0" t="0"/>
            <wp:docPr id="15"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5054860" cy="2362321"/>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widowControl w:val="0"/>
        <w:spacing w:line="360" w:lineRule="auto"/>
        <w:ind w:right="84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4997707" cy="1282766"/>
            <wp:effectExtent b="0" l="0" r="0" t="0"/>
            <wp:docPr id="17"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997707" cy="1282766"/>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3. Del Recurso de Revisión. </w:t>
      </w:r>
      <w:r w:rsidDel="00000000" w:rsidR="00000000" w:rsidRPr="00000000">
        <w:rPr>
          <w:rFonts w:ascii="Palatino Linotype" w:cs="Palatino Linotype" w:eastAsia="Palatino Linotype" w:hAnsi="Palatino Linotype"/>
          <w:sz w:val="22"/>
          <w:szCs w:val="22"/>
          <w:rtl w:val="0"/>
        </w:rPr>
        <w:t xml:space="preserve">Inconforme con la respuesta del</w:t>
      </w:r>
      <w:r w:rsidDel="00000000" w:rsidR="00000000" w:rsidRPr="00000000">
        <w:rPr>
          <w:rFonts w:ascii="Palatino Linotype" w:cs="Palatino Linotype" w:eastAsia="Palatino Linotype" w:hAnsi="Palatino Linotype"/>
          <w:b w:val="1"/>
          <w:bCs w:val="1"/>
          <w:sz w:val="22"/>
          <w:szCs w:val="22"/>
          <w:rtl w:val="0"/>
        </w:rPr>
        <w:t xml:space="preserve"> SUJETO OBLIGADO,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dieciséis de junio de dos mil veintiséis, LA PARTE RECURRENTE </w:t>
      </w:r>
      <w:r w:rsidDel="00000000" w:rsidR="00000000" w:rsidRPr="00000000">
        <w:rPr>
          <w:rFonts w:ascii="Palatino Linotype" w:cs="Palatino Linotype" w:eastAsia="Palatino Linotype" w:hAnsi="Palatino Linotype"/>
          <w:sz w:val="22"/>
          <w:szCs w:val="22"/>
          <w:rtl w:val="0"/>
        </w:rPr>
        <w:t xml:space="preserve">interpuso el recurso de revisión, mediante el cual y manifestó lo siguiente: </w:t>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line="360" w:lineRule="auto"/>
        <w:ind w:left="720"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Acto Impugnado: “</w:t>
      </w:r>
      <w:r w:rsidDel="00000000" w:rsidR="00000000" w:rsidRPr="00000000">
        <w:rPr>
          <w:rFonts w:ascii="Palatino Linotype" w:cs="Palatino Linotype" w:eastAsia="Palatino Linotype" w:hAnsi="Palatino Linotype"/>
          <w:i w:val="1"/>
          <w:iCs w:val="1"/>
          <w:sz w:val="22"/>
          <w:szCs w:val="22"/>
          <w:rtl w:val="0"/>
        </w:rPr>
        <w:t xml:space="preserve">Con motivo de la Obra Pública en Calle 12 de la Colonia Rustica Xalostoc, el día 5 de junio de 2026, pregunto a SAPASE: 1.- Cuando se tiene considerado de acuerdo a contrato se terminen los trabajos de Obra Pública, en lo relacionado con AGUA POTABLE DE LA RED PUBLICA, ya que la construcción que resguardan las válvulas de la red de agua potable, no se han terminado de construir, ya que les faltan las tapas a los registros. 2.- Solicito el último INFORME (o su equivalente) de supervisión de personal de SAPASE, ya que el tema del agua es responsabilidad del OPD SAPASE. 3.- Cuantas válvulas se han instalado en la RED DE AGUA POTABLE y su ubicación, en el marco de la RED DE AGUA POTABLE DE CALLE 12 DE LA COLONIA RUSTICA XALOSTOC, si es posible considerar la EVIDENCIA FOTOGRAFICA.</w:t>
      </w:r>
      <w:r w:rsidDel="00000000" w:rsidR="00000000" w:rsidRPr="00000000">
        <w:rPr>
          <w:rFonts w:ascii="Palatino Linotype" w:cs="Palatino Linotype" w:eastAsia="Palatino Linotype" w:hAnsi="Palatino Linotype"/>
          <w:sz w:val="22"/>
          <w:szCs w:val="22"/>
          <w:rtl w:val="0"/>
        </w:rPr>
        <w:t xml:space="preserve">” (Sic.)</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360" w:lineRule="auto"/>
        <w:ind w:left="720" w:right="56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spacing w:line="360" w:lineRule="auto"/>
        <w:ind w:left="720" w:hanging="360"/>
        <w:jc w:val="both"/>
        <w:rPr>
          <w:sz w:val="22"/>
          <w:szCs w:val="22"/>
        </w:rPr>
      </w:pPr>
      <w:r w:rsidDel="00000000" w:rsidR="00000000" w:rsidRPr="00000000">
        <w:rPr>
          <w:rFonts w:ascii="Palatino Linotype" w:cs="Palatino Linotype" w:eastAsia="Palatino Linotype" w:hAnsi="Palatino Linotype"/>
          <w:b w:val="1"/>
          <w:bCs w:val="1"/>
          <w:sz w:val="22"/>
          <w:szCs w:val="22"/>
          <w:rtl w:val="0"/>
        </w:rPr>
        <w:t xml:space="preserve">Motivo de inconformidad:</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Se me ha entregado información INCOMPLETA. En relación a lo siguiente: "</w:t>
      </w:r>
      <w:r w:rsidDel="00000000" w:rsidR="00000000" w:rsidRPr="00000000">
        <w:rPr>
          <w:rFonts w:ascii="Palatino Linotype" w:cs="Palatino Linotype" w:eastAsia="Palatino Linotype" w:hAnsi="Palatino Linotype"/>
          <w:b w:val="1"/>
          <w:bCs w:val="1"/>
          <w:i w:val="1"/>
          <w:iCs w:val="1"/>
          <w:sz w:val="22"/>
          <w:szCs w:val="22"/>
          <w:rtl w:val="0"/>
        </w:rPr>
        <w:t xml:space="preserve">2.- Solicito el último INFORME (o su equivalente) de supervisión de personal de SAPASE, ya que el tema del agua es responsabilidad del OPD SAPASE</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3.- Cuantas válvulas se han instalado en la RED DE AGUA POTABLE y su ubicación</w:t>
      </w:r>
      <w:r w:rsidDel="00000000" w:rsidR="00000000" w:rsidRPr="00000000">
        <w:rPr>
          <w:rFonts w:ascii="Palatino Linotype" w:cs="Palatino Linotype" w:eastAsia="Palatino Linotype" w:hAnsi="Palatino Linotype"/>
          <w:i w:val="1"/>
          <w:iCs w:val="1"/>
          <w:sz w:val="22"/>
          <w:szCs w:val="22"/>
          <w:rtl w:val="0"/>
        </w:rPr>
        <w:t xml:space="preserve">, en el marco de la RED DE AGUA POTABLE DE CALLE 12 DE LA COLONIA RUSTICA XALOSTOC, si es posible considerar la EVIDENCIA FOTOGRAFICA." AGRADECERÉ COPIA DE LA INEXISTENCIA DE INFORMACIÓN DEL COMITE DE TRANSPARENCIA, consideren que el personal que ha estado en las pruebas de presión agua en la línea de agua potable, reparación, conexiones, entre otras, dice ser de OPD SAPASE, que cuando han estado laborando en la OBRA DE CALLE 12 DE LA COLONIA RUSTICA XALOSTOC, son recogidos por vehículos con logotipo de SAPASE alrededor de las 14:00 horas.</w:t>
      </w:r>
      <w:r w:rsidDel="00000000" w:rsidR="00000000" w:rsidRPr="00000000">
        <w:rPr>
          <w:rFonts w:ascii="Palatino Linotype" w:cs="Palatino Linotype" w:eastAsia="Palatino Linotype" w:hAnsi="Palatino Linotype"/>
          <w:sz w:val="22"/>
          <w:szCs w:val="22"/>
          <w:rtl w:val="0"/>
        </w:rPr>
        <w:t xml:space="preserve">” (Sic.)</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360" w:lineRule="auto"/>
        <w:ind w:left="360" w:firstLine="0"/>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1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4. Turno. </w:t>
      </w:r>
      <w:r w:rsidDel="00000000" w:rsidR="00000000" w:rsidRPr="00000000">
        <w:rPr>
          <w:rFonts w:ascii="Palatino Linotype" w:cs="Palatino Linotype" w:eastAsia="Palatino Linotype" w:hAnsi="Palatino Linotype"/>
          <w:sz w:val="22"/>
          <w:szCs w:val="22"/>
          <w:rtl w:val="0"/>
        </w:rPr>
        <w:t xml:space="preserve">De conformidad con el artículo 185, fracción I de la Ley de Transparencia y Acceso a la Información Pública del Estado de México y Municipios, el recurso de revisión número </w:t>
      </w:r>
      <w:r w:rsidDel="00000000" w:rsidR="00000000" w:rsidRPr="00000000">
        <w:rPr>
          <w:rFonts w:ascii="Palatino Linotype" w:cs="Palatino Linotype" w:eastAsia="Palatino Linotype" w:hAnsi="Palatino Linotype"/>
          <w:b w:val="1"/>
          <w:bCs w:val="1"/>
          <w:sz w:val="22"/>
          <w:szCs w:val="22"/>
          <w:rtl w:val="0"/>
        </w:rPr>
        <w:t xml:space="preserve">06394/INFOEM/IP/RR/2026</w:t>
      </w:r>
      <w:r w:rsidDel="00000000" w:rsidR="00000000" w:rsidRPr="00000000">
        <w:rPr>
          <w:rFonts w:ascii="Palatino Linotype" w:cs="Palatino Linotype" w:eastAsia="Palatino Linotype" w:hAnsi="Palatino Linotype"/>
          <w:sz w:val="22"/>
          <w:szCs w:val="22"/>
          <w:rtl w:val="0"/>
        </w:rPr>
        <w:t xml:space="preserve">, se turnó por el sistema electrónico del Instituto de Transparencia, Acceso a la Información Pública y Protección de Datos Personales del Estado de México y Municipios, a la Comisionada </w:t>
      </w:r>
      <w:r w:rsidDel="00000000" w:rsidR="00000000" w:rsidRPr="00000000">
        <w:rPr>
          <w:rFonts w:ascii="Palatino Linotype" w:cs="Palatino Linotype" w:eastAsia="Palatino Linotype" w:hAnsi="Palatino Linotype"/>
          <w:b w:val="1"/>
          <w:bCs w:val="1"/>
          <w:sz w:val="22"/>
          <w:szCs w:val="22"/>
          <w:rtl w:val="0"/>
        </w:rPr>
        <w:t xml:space="preserve">Guadalupe Ramírez Peña</w:t>
      </w:r>
      <w:r w:rsidDel="00000000" w:rsidR="00000000" w:rsidRPr="00000000">
        <w:rPr>
          <w:rFonts w:ascii="Palatino Linotype" w:cs="Palatino Linotype" w:eastAsia="Palatino Linotype" w:hAnsi="Palatino Linotype"/>
          <w:sz w:val="22"/>
          <w:szCs w:val="22"/>
          <w:rtl w:val="0"/>
        </w:rPr>
        <w:t xml:space="preserve">, para su análisis, estudio, elaboración del proyecto y presentación ante el Pleno de este Instituto.</w:t>
      </w:r>
    </w:p>
    <w:p w:rsidR="00000000" w:rsidDel="00000000" w:rsidP="00000000" w:rsidRDefault="00000000" w:rsidRPr="00000000" w14:paraId="0000001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0">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5. Admisión.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diecisiete de junio de dos mil veintiséis</w:t>
      </w:r>
      <w:r w:rsidDel="00000000" w:rsidR="00000000" w:rsidRPr="00000000">
        <w:rPr>
          <w:rFonts w:ascii="Palatino Linotype" w:cs="Palatino Linotype" w:eastAsia="Palatino Linotype" w:hAnsi="Palatino Linotype"/>
          <w:sz w:val="22"/>
          <w:szCs w:val="22"/>
          <w:rtl w:val="0"/>
        </w:rPr>
        <w:t xml:space="preserve">, en términos de lo dispuesto en el artículo 185 fracciones I, II y IV de la Ley de Transparencia y Acceso a la Información Pública del Estado de México y Municipios, se admitió a trámite el recurso de revisión</w:t>
      </w:r>
      <w:r w:rsidDel="00000000" w:rsidR="00000000" w:rsidRPr="00000000">
        <w:rPr>
          <w:rFonts w:ascii="Palatino Linotype" w:cs="Palatino Linotype" w:eastAsia="Palatino Linotype" w:hAnsi="Palatino Linotype"/>
          <w:b w:val="1"/>
          <w:bCs w:val="1"/>
          <w:sz w:val="22"/>
          <w:szCs w:val="22"/>
          <w:rtl w:val="0"/>
        </w:rPr>
        <w:t xml:space="preserve">. </w:t>
      </w:r>
    </w:p>
    <w:p w:rsidR="00000000" w:rsidDel="00000000" w:rsidP="00000000" w:rsidRDefault="00000000" w:rsidRPr="00000000" w14:paraId="00000021">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2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6. Manifestaciones.</w:t>
      </w:r>
      <w:r w:rsidDel="00000000" w:rsidR="00000000" w:rsidRPr="00000000">
        <w:rPr>
          <w:rFonts w:ascii="Palatino Linotype" w:cs="Palatino Linotype" w:eastAsia="Palatino Linotype" w:hAnsi="Palatino Linotype"/>
          <w:sz w:val="22"/>
          <w:szCs w:val="22"/>
          <w:rtl w:val="0"/>
        </w:rPr>
        <w:t xml:space="preserve"> De las constancias que obran en el expediente electrónico del SAIMEX, se advierte el Sujeto Obligado rindió su informe justificado el veinticinco de junio dos mil veintiséis mediante el cual ratifica su respuesta, tal como se advierte: </w:t>
      </w:r>
    </w:p>
    <w:p w:rsidR="00000000" w:rsidDel="00000000" w:rsidP="00000000" w:rsidRDefault="00000000" w:rsidRPr="00000000" w14:paraId="0000002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769561" cy="2428895"/>
            <wp:effectExtent b="0" l="0" r="0" t="0"/>
            <wp:docPr id="16"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5769561" cy="2428895"/>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contenido del informe justificado se puso a disposición del Recurrente el trece de agosto de dos mil veintiséis. </w:t>
      </w:r>
    </w:p>
    <w:p w:rsidR="00000000" w:rsidDel="00000000" w:rsidP="00000000" w:rsidRDefault="00000000" w:rsidRPr="00000000" w14:paraId="0000002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su parte, la Recurrente no realizó manifestaciones. </w:t>
      </w:r>
    </w:p>
    <w:p w:rsidR="00000000" w:rsidDel="00000000" w:rsidP="00000000" w:rsidRDefault="00000000" w:rsidRPr="00000000" w14:paraId="0000002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7. Ampliación de plazo. El trece de agosto de dos mil veintiséis</w:t>
      </w:r>
      <w:r w:rsidDel="00000000" w:rsidR="00000000" w:rsidRPr="00000000">
        <w:rPr>
          <w:rFonts w:ascii="Palatino Linotype" w:cs="Palatino Linotype" w:eastAsia="Palatino Linotype" w:hAnsi="Palatino Linotype"/>
          <w:sz w:val="22"/>
          <w:szCs w:val="22"/>
          <w:rtl w:val="0"/>
        </w:rPr>
        <w:t xml:space="preserve">, se amplió el término para resolver el recurso de revisión en términos del artículo 181 párrafo tercero de la Ley de Transparencia y Acceso a la Información Pública del Estado de México y Municipios.</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8. Cierre de instrucción</w:t>
      </w:r>
      <w:r w:rsidDel="00000000" w:rsidR="00000000" w:rsidRPr="00000000">
        <w:rPr>
          <w:rFonts w:ascii="Palatino Linotype" w:cs="Palatino Linotype" w:eastAsia="Palatino Linotype" w:hAnsi="Palatino Linotype"/>
          <w:sz w:val="22"/>
          <w:szCs w:val="22"/>
          <w:rtl w:val="0"/>
        </w:rPr>
        <w:t xml:space="preserve">. En fecha </w:t>
      </w:r>
      <w:r w:rsidDel="00000000" w:rsidR="00000000" w:rsidRPr="00000000">
        <w:rPr>
          <w:rFonts w:ascii="Palatino Linotype" w:cs="Palatino Linotype" w:eastAsia="Palatino Linotype" w:hAnsi="Palatino Linotype"/>
          <w:b w:val="1"/>
          <w:bCs w:val="1"/>
          <w:sz w:val="22"/>
          <w:szCs w:val="22"/>
          <w:rtl w:val="0"/>
        </w:rPr>
        <w:t xml:space="preserve">diecinueve de agosto de dos mil veintiséis</w:t>
      </w:r>
      <w:r w:rsidDel="00000000" w:rsidR="00000000" w:rsidRPr="00000000">
        <w:rPr>
          <w:rFonts w:ascii="Palatino Linotype" w:cs="Palatino Linotype" w:eastAsia="Palatino Linotype" w:hAnsi="Palatino Linotype"/>
          <w:sz w:val="22"/>
          <w:szCs w:val="22"/>
          <w:rtl w:val="0"/>
        </w:rPr>
        <w:t xml:space="preserve">, la Comisionada Ponente determinó el cierre de instrucción en términos de la fracción VI del artículo 185 de la Ley de Transparencia y Acceso a la Información Pública del Estado de México y Municipios.</w:t>
      </w:r>
    </w:p>
    <w:p w:rsidR="00000000" w:rsidDel="00000000" w:rsidP="00000000" w:rsidRDefault="00000000" w:rsidRPr="00000000" w14:paraId="0000002D">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E">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Debido a que fue debidamente sustanciado </w:t>
        <w:tab/>
        <w:t xml:space="preserve">el expediente electrónico y no existe diligencia pendiente de desahogo, se emite la Resolución que conforme a Derecho proceda, de acuerdo con los siguientes: </w:t>
      </w:r>
    </w:p>
    <w:p w:rsidR="00000000" w:rsidDel="00000000" w:rsidP="00000000" w:rsidRDefault="00000000" w:rsidRPr="00000000" w14:paraId="0000002F">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0">
      <w:pPr>
        <w:spacing w:line="360" w:lineRule="auto"/>
        <w:ind w:left="720" w:right="49" w:hanging="720"/>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w:t>
        <w:tab/>
        <w:t xml:space="preserve">C O N S I D E R A N D O: </w:t>
      </w:r>
    </w:p>
    <w:p w:rsidR="00000000" w:rsidDel="00000000" w:rsidP="00000000" w:rsidRDefault="00000000" w:rsidRPr="00000000" w14:paraId="00000031">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w:t>
      </w:r>
      <w:r w:rsidDel="00000000" w:rsidR="00000000" w:rsidRPr="00000000">
        <w:rPr>
          <w:rFonts w:ascii="Palatino Linotype" w:cs="Palatino Linotype" w:eastAsia="Palatino Linotype" w:hAnsi="Palatino Linotype"/>
          <w:sz w:val="22"/>
          <w:szCs w:val="22"/>
          <w:rtl w:val="0"/>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33">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Segundo. Oportunidad y Procedibilidad del Recurso de Revisión. </w:t>
      </w:r>
      <w:r w:rsidDel="00000000" w:rsidR="00000000" w:rsidRPr="00000000">
        <w:rPr>
          <w:rFonts w:ascii="Palatino Linotype" w:cs="Palatino Linotype" w:eastAsia="Palatino Linotype" w:hAnsi="Palatino Linotype"/>
          <w:sz w:val="22"/>
          <w:szCs w:val="22"/>
          <w:rtl w:val="0"/>
        </w:rPr>
        <w:t xml:space="preserve">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rsidR="00000000" w:rsidDel="00000000" w:rsidP="00000000" w:rsidRDefault="00000000" w:rsidRPr="00000000" w14:paraId="00000034">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la Ley de Transparencia y Acceso a la Información Pública del Estado de México y Municipios, establece lo siguiente:</w:t>
      </w:r>
    </w:p>
    <w:p w:rsidR="00000000" w:rsidDel="00000000" w:rsidP="00000000" w:rsidRDefault="00000000" w:rsidRPr="00000000" w14:paraId="00000035">
      <w:pPr>
        <w:spacing w:line="36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178. </w:t>
      </w:r>
      <w:r w:rsidDel="00000000" w:rsidR="00000000" w:rsidRPr="00000000">
        <w:rPr>
          <w:rFonts w:ascii="Palatino Linotype" w:cs="Palatino Linotype" w:eastAsia="Palatino Linotype" w:hAnsi="Palatino Linotype"/>
          <w:i w:val="1"/>
          <w:iCs w:val="1"/>
          <w:sz w:val="22"/>
          <w:szCs w:val="22"/>
          <w:rtl w:val="0"/>
        </w:rPr>
        <w:t xml:space="preserve">El solicitante podrá interponer, por sí mismo o a través de su representante, de manera directa o por medios electrónicos, recurso de revisión ante el Instituto o ante la Unidad de Transparencia que haya conocido de la solicitud dentro de los quince días hábiles, siguientes a la fecha de la notificación de la respuesta.</w:t>
      </w:r>
    </w:p>
    <w:p w:rsidR="00000000" w:rsidDel="00000000" w:rsidP="00000000" w:rsidRDefault="00000000" w:rsidRPr="00000000" w14:paraId="00000036">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Del precepto legal transcrito, se desprende que cuando los solicitantes de información en el ejercicio del derecho de acceso a la información no se encuentren satisfechos con la información entregada por los sujetos obligados, podrán interponer recurso de revisión de manera directa o por medios electrónicos dentro de los quince días hábiles siguientes a la fecha de notificación de la respuesta, y, toda vez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remitió la respuesta a la solicitud de información el día </w:t>
      </w:r>
      <w:r w:rsidDel="00000000" w:rsidR="00000000" w:rsidRPr="00000000">
        <w:rPr>
          <w:rFonts w:ascii="Palatino Linotype" w:cs="Palatino Linotype" w:eastAsia="Palatino Linotype" w:hAnsi="Palatino Linotype"/>
          <w:b w:val="1"/>
          <w:bCs w:val="1"/>
          <w:sz w:val="22"/>
          <w:szCs w:val="22"/>
          <w:rtl w:val="0"/>
        </w:rPr>
        <w:t xml:space="preserve">dieciséis de junio de dos mil veintiséis, </w:t>
      </w:r>
      <w:r w:rsidDel="00000000" w:rsidR="00000000" w:rsidRPr="00000000">
        <w:rPr>
          <w:rFonts w:ascii="Palatino Linotype" w:cs="Palatino Linotype" w:eastAsia="Palatino Linotype" w:hAnsi="Palatino Linotype"/>
          <w:sz w:val="22"/>
          <w:szCs w:val="22"/>
          <w:rtl w:val="0"/>
        </w:rPr>
        <w:t xml:space="preserve">mientras que el recurso de revisión interpuesto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se tuvo por presentado el </w:t>
      </w:r>
      <w:r w:rsidDel="00000000" w:rsidR="00000000" w:rsidRPr="00000000">
        <w:rPr>
          <w:rFonts w:ascii="Palatino Linotype" w:cs="Palatino Linotype" w:eastAsia="Palatino Linotype" w:hAnsi="Palatino Linotype"/>
          <w:b w:val="1"/>
          <w:bCs w:val="1"/>
          <w:sz w:val="22"/>
          <w:szCs w:val="22"/>
          <w:rtl w:val="0"/>
        </w:rPr>
        <w:t xml:space="preserve">dieciséis de junio de dos mil veintiséis</w:t>
      </w:r>
      <w:r w:rsidDel="00000000" w:rsidR="00000000" w:rsidRPr="00000000">
        <w:rPr>
          <w:rFonts w:ascii="Palatino Linotype" w:cs="Palatino Linotype" w:eastAsia="Palatino Linotype" w:hAnsi="Palatino Linotype"/>
          <w:sz w:val="22"/>
          <w:szCs w:val="22"/>
          <w:rtl w:val="0"/>
        </w:rPr>
        <w:t xml:space="preserve">; esto es, el mismo</w:t>
      </w:r>
      <w:r w:rsidDel="00000000" w:rsidR="00000000" w:rsidRPr="00000000">
        <w:rPr>
          <w:rFonts w:ascii="Palatino Linotype" w:cs="Palatino Linotype" w:eastAsia="Palatino Linotype" w:hAnsi="Palatino Linotype"/>
          <w:b w:val="1"/>
          <w:bCs w:val="1"/>
          <w:sz w:val="22"/>
          <w:szCs w:val="22"/>
          <w:rtl w:val="0"/>
        </w:rPr>
        <w:t xml:space="preserve"> día hábil </w:t>
      </w:r>
      <w:r w:rsidDel="00000000" w:rsidR="00000000" w:rsidRPr="00000000">
        <w:rPr>
          <w:rFonts w:ascii="Palatino Linotype" w:cs="Palatino Linotype" w:eastAsia="Palatino Linotype" w:hAnsi="Palatino Linotype"/>
          <w:sz w:val="22"/>
          <w:szCs w:val="22"/>
          <w:rtl w:val="0"/>
        </w:rPr>
        <w:t xml:space="preserve">en el que tuvo conocimiento de la respuesta.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Sin que contraríe a lo anterior, el artículo 178 en análisis, refiere que el plazo de quince días hábiles se contará a partir del día siguiente de la fecha en que el afectado tuvo conocimiento de la resolución materia de impugnación, ya que ello debe entenderse para el efecto de que transcurrido dicho plazo ya no podrá presentarse el medio de impugnación o si es que se presenta, el mismo se considerará extemporáneo, no así cuando el medio de defensa se interponga antes de que comience a correr el plazo legal; tiene aplicación por analogía, la jurisprudencia 1ª. /J.41/2015, publicada en el Semanario Judicial de la Federación y su Gaceta, Libro 19, Junio de 2015, Tomo I, página 569 de la Décima época que lleva por rubro y texto los siguientes:</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60" w:right="90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“RECURSO DE RECLAMACIÓN. SU INTERPOSICIÓN NO ES EXTEMPORÁNEA SI SE REALIZA ANTES DE QUE INICIE EL PLAZO PARA HACERLO</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60" w:right="90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“Conforme al artículo 104, párrafo segundo, de la Ley de Amparo, el recurso de reclamación podrá interponerse por cualquiera de las partes, por escrito, dentro del término de tres días siguientes al en que surta efectos la notificación de la resolución impugnada. Ahora bien, dicho numeral sólo refiere que el aludido medio de defensa no puede hacerse valer después de tres días, por tanto, no impide que el escrito correspondiente se presente antes de iniciado ese término. De ahí que si dicho recurso se interpone antes de que inicie el plazo para hacerlo, su presentación no es extemporánea.”</w:t>
      </w:r>
      <w:r w:rsidDel="00000000" w:rsidR="00000000" w:rsidRPr="00000000">
        <w:rPr>
          <w:rtl w:val="0"/>
        </w:rPr>
      </w:r>
    </w:p>
    <w:p w:rsidR="00000000" w:rsidDel="00000000" w:rsidP="00000000" w:rsidRDefault="00000000" w:rsidRPr="00000000" w14:paraId="0000003A">
      <w:pPr>
        <w:spacing w:after="240" w:before="240" w:line="360" w:lineRule="auto"/>
        <w:ind w:right="49"/>
        <w:jc w:val="both"/>
        <w:rPr>
          <w:rFonts w:ascii="Palatino Linotype" w:cs="Palatino Linotype" w:eastAsia="Palatino Linotype" w:hAnsi="Palatino Linotype"/>
          <w:b w:val="1"/>
          <w:bCs w:val="1"/>
          <w:sz w:val="22"/>
          <w:szCs w:val="22"/>
        </w:rPr>
      </w:pPr>
      <w:bookmarkStart w:colFirst="0" w:colLast="0" w:name="_heading=h.a323mhcy7uu4" w:id="2"/>
      <w:bookmarkEnd w:id="2"/>
      <w:r w:rsidDel="00000000" w:rsidR="00000000" w:rsidRPr="00000000">
        <w:rPr>
          <w:rFonts w:ascii="Palatino Linotype" w:cs="Palatino Linotype" w:eastAsia="Palatino Linotype" w:hAnsi="Palatino Linotype"/>
          <w:sz w:val="22"/>
          <w:szCs w:val="22"/>
          <w:rtl w:val="0"/>
        </w:rPr>
        <w:t xml:space="preserve">Así también, por cuanto hace a la procedibilidad del recurso de revisión, una vez realizado el análisis de los formatos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w:t>
      </w:r>
      <w:r w:rsidDel="00000000" w:rsidR="00000000" w:rsidRPr="00000000">
        <w:rPr>
          <w:rFonts w:ascii="Palatino Linotype" w:cs="Palatino Linotype" w:eastAsia="Palatino Linotype" w:hAnsi="Palatino Linotype"/>
          <w:b w:val="1"/>
          <w:bCs w:val="1"/>
          <w:sz w:val="22"/>
          <w:szCs w:val="22"/>
          <w:rtl w:val="0"/>
        </w:rPr>
        <w:t xml:space="preserve">SAIMEX.</w:t>
      </w:r>
    </w:p>
    <w:p w:rsidR="00000000" w:rsidDel="00000000" w:rsidP="00000000" w:rsidRDefault="00000000" w:rsidRPr="00000000" w14:paraId="0000003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el</w:t>
      </w:r>
      <w:r w:rsidDel="00000000" w:rsidR="00000000" w:rsidRPr="00000000">
        <w:rPr>
          <w:rFonts w:ascii="Palatino Linotype" w:cs="Palatino Linotype" w:eastAsia="Palatino Linotype" w:hAnsi="Palatino Linotype"/>
          <w:b w:val="1"/>
          <w:bCs w:val="1"/>
          <w:sz w:val="22"/>
          <w:szCs w:val="22"/>
          <w:rtl w:val="0"/>
        </w:rPr>
        <w:t xml:space="preserve"> SAIMEX</w:t>
      </w:r>
      <w:r w:rsidDel="00000000" w:rsidR="00000000" w:rsidRPr="00000000">
        <w:rPr>
          <w:rtl w:val="0"/>
        </w:rPr>
      </w:r>
    </w:p>
    <w:p w:rsidR="00000000" w:rsidDel="00000000" w:rsidP="00000000" w:rsidRDefault="00000000" w:rsidRPr="00000000" w14:paraId="0000003C">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resulta procedente la interposición del recurso de revisión al rubro anotado, toda vez que se actualiza las hipótesis previstas en el artículo 179, fracción V de la ley de la materia, que a la letra dice:</w:t>
      </w:r>
    </w:p>
    <w:p w:rsidR="00000000" w:rsidDel="00000000" w:rsidP="00000000" w:rsidRDefault="00000000" w:rsidRPr="00000000" w14:paraId="0000003D">
      <w:pPr>
        <w:spacing w:line="360" w:lineRule="auto"/>
        <w:ind w:left="567" w:right="104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179. </w:t>
      </w:r>
      <w:r w:rsidDel="00000000" w:rsidR="00000000" w:rsidRPr="00000000">
        <w:rPr>
          <w:rFonts w:ascii="Palatino Linotype" w:cs="Palatino Linotype" w:eastAsia="Palatino Linotype" w:hAnsi="Palatino Linotype"/>
          <w:i w:val="1"/>
          <w:iCs w:val="1"/>
          <w:sz w:val="22"/>
          <w:szCs w:val="22"/>
          <w:rtl w:val="0"/>
        </w:rPr>
        <w:t xml:space="preserve">El recurso de revisión es un medio de protección que la Ley otorga a los particulares, para hacer valer su derecho de acceso a la información pública, y procederá en contra de las siguientes causas:</w:t>
      </w:r>
    </w:p>
    <w:p w:rsidR="00000000" w:rsidDel="00000000" w:rsidP="00000000" w:rsidRDefault="00000000" w:rsidRPr="00000000" w14:paraId="0000003E">
      <w:pPr>
        <w:spacing w:line="360" w:lineRule="auto"/>
        <w:ind w:left="567" w:right="104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F">
      <w:pPr>
        <w:spacing w:line="360" w:lineRule="auto"/>
        <w:ind w:left="567" w:right="104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 La entrega de información incompleta;</w:t>
        <w:br w:type="textWrapping"/>
        <w:t xml:space="preserve">…</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240" w:before="240" w:line="360" w:lineRule="auto"/>
        <w:ind w:right="51"/>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Materia de la revisión. </w:t>
      </w:r>
      <w:r w:rsidDel="00000000" w:rsidR="00000000" w:rsidRPr="00000000">
        <w:rPr>
          <w:rFonts w:ascii="Palatino Linotype" w:cs="Palatino Linotype" w:eastAsia="Palatino Linotype" w:hAnsi="Palatino Linotype"/>
          <w:sz w:val="22"/>
          <w:szCs w:val="22"/>
          <w:rtl w:val="0"/>
        </w:rPr>
        <w:t xml:space="preserve">De la revisión a las constancias y documentos que obran en el expediente electrónico se advierte, que el tema sobre el que este Organismo Garante de Transparencia y Acceso a la Información se pronunciará será: verificar si la respuesta e informe justificado otorgados por el Sujeto Obligado son adecuados y suficientes para satisfacer el derecho de acceso a la información pública de la parte Recurrente, o en su defecto, en caso de ser procedente, ordenar la entrega de información oportuna</w:t>
      </w:r>
      <w:r w:rsidDel="00000000" w:rsidR="00000000" w:rsidRPr="00000000">
        <w:rPr>
          <w:rFonts w:ascii="Palatino Linotype" w:cs="Palatino Linotype" w:eastAsia="Palatino Linotype" w:hAnsi="Palatino Linotype"/>
          <w:b w:val="1"/>
          <w:bCs w:val="1"/>
          <w:sz w:val="22"/>
          <w:szCs w:val="22"/>
          <w:rtl w:val="0"/>
        </w:rPr>
        <w:t xml:space="preserve">.</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Cuarto. Estudio del asunto. </w:t>
      </w:r>
      <w:r w:rsidDel="00000000" w:rsidR="00000000" w:rsidRPr="00000000">
        <w:rPr>
          <w:rFonts w:ascii="Palatino Linotype" w:cs="Palatino Linotype" w:eastAsia="Palatino Linotype" w:hAnsi="Palatino Linotype"/>
          <w:sz w:val="22"/>
          <w:szCs w:val="22"/>
          <w:rtl w:val="0"/>
        </w:rPr>
        <w:t xml:space="preserve">Es conveniente analizar si la respuesta del Sujeto Obligado cumple con los requisitos y procedimientos del derecho de acceso a la información pública, en atención a que en la Ley de Transparencia y Acceso a la Información Pública del Estado de México y Municipios en su artículo 4, que dice que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4</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derecho humano de acceso a la información pública es la prerrogativa de las personas para buscar, difundir, investigar, recabar, recibir y solicitar información pública, sin necesidad de acreditar personalidad ni interés jurídico. </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Toda la información generada, obtenida, adquirida, transformada, administrada o en posesión de los sujetos obligados es pública y accesible de manera permanente a cualquier persona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Los sujetos obligados deben poner en práctica, políticas y programas de acceso a la información que se apeguen a criterios de publicidad, veracidad, oportunidad, precisión y suficiencia en beneficio de los solicitantes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12.-</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Quienes generen, recopilen, administren, manejen, procesen, archiven o conserven información pública serán responsables de la misma en los términos de las disposiciones jurídicas aplicables. </w:t>
      </w: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Los sujetos obligados sólo proporcionarán la información pública que se les requiera y que obre en sus archivos y en el estado en que ésta se encuentre</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La obligación de proporcionar información no comprende el procesamiento de la misma, ni el presentarla conforme al interés del solicitante; no estarán obligados a generarla, resumirla, efectuar cálculos o practicar investigaciones.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9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concretarán a proporcionar la información solicitada que tengan en su poder en el estado que se encuentran, sin necesidad de concretarse al interés o términos específicos del solicitante.</w:t>
      </w: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Sirve de apoyo a lo anterior, el criterio orientador 03-17, expuesto por el entonces Instituto Nacional de Transparencia, Acceso a la Información y Protección de Datos Personales, que dice:</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No existe obligación de elaborar documentos ad hoc para atender las solicitudes de acceso a la información.</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Resoluciones: </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RRA 0050/16. Instituto Nacional para la Evaluación de la Educación. 13 julio de 2016. Por unanimidad. Comisionado Ponente: Francisco Javier Acuña Llamas.</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RRA 0310/16. Instituto Nacional de Transparencia, Acceso a la Información y Protección de Datos Personales. 10 de agosto de 2016. Por unanimidad. Comisionada Ponente. Areli Cano Guadiana. </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RRA 1889/16. Secretaría de Hacienda y Crédito Público. 05 de octubre de 2016. Por unanimidad. Comisionada Ponente. Ximena Puente de la Mora.”</w:t>
      </w: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Siempre y cuando no se trate de información reservada o clasificada, que difundirla pondría en riesgo la seguridad jurídica y física del titular de la información,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3.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Para los efectos de la presente Ley se entenderá por:</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XI. Documento:</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expedientes, reportes, estudios, actas</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Siendo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CRITERIO 0002-11</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INFORMACIÓN PÚBLICA, CONCEPTO DE, EN MATERIA DE TRANSPARENCIA. INTERPRETACIÓN SISTEMÁTICA DE LOS ARTÍCULOS 2°, FRACCIÓN V, XV, Y XVI, 3°, 4°, 11 Y 41.</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En consecuencia el acceso a la información se refiere a que se cumplan cualquiera de los siguientes tres supuestos:</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1) Que se trate de información registrada en cualquier soporte documental, que en ejercicio de las atribuciones conferidas, sea generada por los Sujetos Obligados;</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2) Que se trate de información registrada en cualquier soporte documental, que en ejercicio de las atribuciones conferidas, sea administrada por los Sujetos Obligados, y</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3) Que se trate de información registrada en cualquier soporte documental, que en ejercicio de las atribuciones conferidas, se encuentre en posesión de los Sujetos Obligados.”</w:t>
      </w: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Ahora bien, del análisis de la solicitud de información motivo del recurso de revisión que ahora se resuelve, es necesario referir que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solicitó, lo siguiente:</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 De la Obra Pública en la Calle 12 de la Colonia Xalostoc:</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line="360" w:lineRule="auto"/>
        <w:ind w:left="284"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1.- Cuando se tiene considerado de acuerdo a contrato se terminen los trabajos de Obra Pública, en lo relacionado con AGUA POTABLE DE LA RED PUBLICA, </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line="360" w:lineRule="auto"/>
        <w:ind w:left="284"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2.- el último INFORME (o su equivalente) de supervisión de personal </w:t>
      </w:r>
      <w:r w:rsidDel="00000000" w:rsidR="00000000" w:rsidRPr="00000000">
        <w:rPr>
          <w:rFonts w:ascii="Palatino Linotype" w:cs="Palatino Linotype" w:eastAsia="Palatino Linotype" w:hAnsi="Palatino Linotype"/>
          <w:b w:val="1"/>
          <w:bCs w:val="1"/>
          <w:sz w:val="22"/>
          <w:szCs w:val="22"/>
          <w:u w:val="single"/>
          <w:rtl w:val="0"/>
        </w:rPr>
        <w:t xml:space="preserve">de SAPASE</w:t>
      </w:r>
      <w:r w:rsidDel="00000000" w:rsidR="00000000" w:rsidRPr="00000000">
        <w:rPr>
          <w:rFonts w:ascii="Palatino Linotype" w:cs="Palatino Linotype" w:eastAsia="Palatino Linotype" w:hAnsi="Palatino Linotype"/>
          <w:b w:val="1"/>
          <w:bCs w:val="1"/>
          <w:sz w:val="22"/>
          <w:szCs w:val="22"/>
          <w:rtl w:val="0"/>
        </w:rPr>
        <w:t xml:space="preserve">, ya que el tema del agua es responsabilidad del OPD SAPASE. </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line="360" w:lineRule="auto"/>
        <w:ind w:left="284"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3.- Cuantas válvulas se han instalado en la RED DE AGUA POTABLE y su ubicación, en el marco de la RED DE AGUA POTABLE DE CALLE 12 DE LA COLONIA RUSTICA XALOSTOC, si es posible considerar la EVIDENCIA FOTOGRAFICA.</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360" w:lineRule="auto"/>
        <w:ind w:left="284" w:firstLine="0"/>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70">
      <w:pPr>
        <w:widowControl w:val="0"/>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respuesta, el Sujeto Obligado mediante el Director de Construcción y Operación Hidráulica indicó que:</w:t>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line="360" w:lineRule="auto"/>
        <w:ind w:left="720" w:right="-7"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054860" cy="2362321"/>
            <wp:effectExtent b="0" l="0" r="0" t="0"/>
            <wp:docPr id="20"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5054860" cy="2362321"/>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widowControl w:val="0"/>
        <w:spacing w:line="360" w:lineRule="auto"/>
        <w:ind w:right="84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4997707" cy="1282766"/>
            <wp:effectExtent b="0" l="0" r="0" t="0"/>
            <wp:docPr id="19"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997707" cy="1282766"/>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widowControl w:val="0"/>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4">
      <w:pPr>
        <w:widowControl w:val="0"/>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su parte, el Recurrente se inconformó considerar que la respuesta es incompleta en lo que se refiere a los puntos 2 y 3 de la solicitud. </w:t>
      </w:r>
    </w:p>
    <w:p w:rsidR="00000000" w:rsidDel="00000000" w:rsidP="00000000" w:rsidRDefault="00000000" w:rsidRPr="00000000" w14:paraId="00000075">
      <w:pPr>
        <w:widowControl w:val="0"/>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6">
      <w:pPr>
        <w:widowControl w:val="0"/>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Mientras que, mediante el informe justificado, el Sujeto Obligado ratificó su repuesta en los siguientes términos: </w:t>
      </w:r>
    </w:p>
    <w:p w:rsidR="00000000" w:rsidDel="00000000" w:rsidP="00000000" w:rsidRDefault="00000000" w:rsidRPr="00000000" w14:paraId="00000077">
      <w:pPr>
        <w:widowControl w:val="0"/>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756275" cy="2423260"/>
            <wp:effectExtent b="0" l="0" r="0" t="0"/>
            <wp:docPr id="22"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5756275" cy="242326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widowControl w:val="0"/>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 de señalar que de la lectura del motivo de inconformidad de la parte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se advierte que este no versa sobre la totalidad de la respuesta proporcionada por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ya que no manifestó agravios respecto a la respuesta emitida respecto al punto 1 de la solicitud, sino únicamente  por los puntos  2  y 3,  por tanto, esta parte de la respuesta, al no haber sido impugnada, debe declararse consentida, ya que al no haber realizado manifestaciones de inconformidad al respecto, no pueden producirse efectos jurídicos tendentes a revocar, confirmar o modificar el acto, pues en el caso concreto se infiere que la información proporcionada, satisface la solicitud presentada respecto de los requerimientos que no fueron combatidos.</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Lo anterior es así, debido a que cuando la parte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impugna la respuesta del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y este no expresa razón o motivo de inconformidad en contra de todos los rubros solicitados, dichos rubros deben declararse atendidos, pues se entiende que ésta conforme con la información entregada al no contravenir la misma. </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Sirve de apoyo a lo anterior, lo plasmado en el criterio orientador con clave de control SO/001/2020, emitido por el entonces Instituto Nacional de Transparencia, Acceso a la Información, y Protección de Datos Personales, INAI, que lleva por rubro y texto, lo siguiente: </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Actos consentidos tácitamente. Improcedencia de su análisis.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Si en su recurso de revisión, la persona recurrente no expresó inconformidad alguna con ciertas partes de la respuesta otorgada, se entienden tácitamente consentidas, por ende, no deben formar parte del estudio de fondo de la resolución que emite el Instituto.”</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Asimismo, resulta aplicable por analogía la tesis jurisprudencial número VI.3o.C. J/60, publicada en el Semanario Judicial de la Federación y su Gaceta bajo el número de registro 176,608 que a la letra dice:</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90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1"/>
          <w:strike w:val="0"/>
          <w:color w:val="000000"/>
          <w:sz w:val="22"/>
          <w:szCs w:val="22"/>
          <w:u w:val="none"/>
          <w:shd w:fill="auto" w:val="clear"/>
          <w:vertAlign w:val="baseline"/>
          <w:rtl w:val="0"/>
        </w:rPr>
        <w:t xml:space="preserve">“ACTOS CONSENTIDOS. SON LOS QUE NO SE IMPUGNAN MEDIANTE EL RECURSO IDÓNEO.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Debe reputarse como consentido el acto que no se impugnó por el medio establecido por la ley, ya que si se hizo uso de otro no previsto por ella o si se hace una simple manifestación de inconformidad, tales actuaciones no producen efectos jurídicos tendientes a revocar, confirmar o modificar el acto reclamado en amparo, lo que significa consentimiento del mismo por falta de impugnación eficaz.”</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consecuencia, se insiste, ante la falta de impugnación eficaz, la respuesta entregada debe declararse consentida por la persona solicitante, y, por consiguiente, no es procedente el análisis de fondo en la resolución.</w:t>
      </w:r>
      <w:r w:rsidDel="00000000" w:rsidR="00000000" w:rsidRPr="00000000">
        <w:rPr>
          <w:rtl w:val="0"/>
        </w:rPr>
      </w:r>
    </w:p>
    <w:p w:rsidR="00000000" w:rsidDel="00000000" w:rsidP="00000000" w:rsidRDefault="00000000" w:rsidRPr="00000000" w14:paraId="00000080">
      <w:pPr>
        <w:spacing w:line="360" w:lineRule="auto"/>
        <w:ind w:right="99"/>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Una vez establecidas las posturas de las partes, a efecto de garantizar el efectivo ejercicio del derecho de acceso a la información pública que asiste a </w:t>
      </w:r>
      <w:r w:rsidDel="00000000" w:rsidR="00000000" w:rsidRPr="00000000">
        <w:rPr>
          <w:rFonts w:ascii="Palatino Linotype" w:cs="Palatino Linotype" w:eastAsia="Palatino Linotype" w:hAnsi="Palatino Linotype"/>
          <w:b w:val="1"/>
          <w:bCs w:val="1"/>
          <w:sz w:val="22"/>
          <w:szCs w:val="22"/>
          <w:rtl w:val="0"/>
        </w:rPr>
        <w:t xml:space="preserve">la parte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resulta conveniente señalar que </w:t>
      </w:r>
      <w:r w:rsidDel="00000000" w:rsidR="00000000" w:rsidRPr="00000000">
        <w:rPr>
          <w:rFonts w:ascii="Palatino Linotype" w:cs="Palatino Linotype" w:eastAsia="Palatino Linotype" w:hAnsi="Palatino Linotype"/>
          <w:b w:val="1"/>
          <w:bCs w:val="1"/>
          <w:sz w:val="22"/>
          <w:szCs w:val="22"/>
          <w:rtl w:val="0"/>
        </w:rPr>
        <w:t xml:space="preserve">el presente análisis versará respecto a los puntos 2 y 3 </w:t>
      </w:r>
      <w:r w:rsidDel="00000000" w:rsidR="00000000" w:rsidRPr="00000000">
        <w:rPr>
          <w:rFonts w:ascii="Palatino Linotype" w:cs="Palatino Linotype" w:eastAsia="Palatino Linotype" w:hAnsi="Palatino Linotype"/>
          <w:sz w:val="22"/>
          <w:szCs w:val="22"/>
          <w:rtl w:val="0"/>
        </w:rPr>
        <w:t xml:space="preserve">los cuales versan sobre lo siguiente:</w:t>
      </w:r>
      <w:r w:rsidDel="00000000" w:rsidR="00000000" w:rsidRPr="00000000">
        <w:rPr>
          <w:rtl w:val="0"/>
        </w:rPr>
      </w:r>
    </w:p>
    <w:p w:rsidR="00000000" w:rsidDel="00000000" w:rsidP="00000000" w:rsidRDefault="00000000" w:rsidRPr="00000000" w14:paraId="00000081">
      <w:pPr>
        <w:spacing w:line="360" w:lineRule="auto"/>
        <w:ind w:right="9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2">
      <w:pPr>
        <w:numPr>
          <w:ilvl w:val="0"/>
          <w:numId w:val="7"/>
        </w:numPr>
        <w:pBdr>
          <w:top w:space="0" w:sz="0" w:val="nil"/>
          <w:left w:space="0" w:sz="0" w:val="nil"/>
          <w:bottom w:space="0" w:sz="0" w:val="nil"/>
          <w:right w:space="0" w:sz="0" w:val="nil"/>
          <w:between w:space="0" w:sz="0" w:val="nil"/>
        </w:pBdr>
        <w:spacing w:line="360" w:lineRule="auto"/>
        <w:ind w:left="720" w:right="99" w:hanging="360"/>
        <w:jc w:val="both"/>
        <w:rPr>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2.- Solicito el último INFORME (o su equivalente) de supervisión de personal de SAPASE, ya que el tema del agua es responsabilidad del OPD SAPASE. </w:t>
      </w:r>
    </w:p>
    <w:p w:rsidR="00000000" w:rsidDel="00000000" w:rsidP="00000000" w:rsidRDefault="00000000" w:rsidRPr="00000000" w14:paraId="00000083">
      <w:pPr>
        <w:numPr>
          <w:ilvl w:val="0"/>
          <w:numId w:val="7"/>
        </w:numPr>
        <w:pBdr>
          <w:top w:space="0" w:sz="0" w:val="nil"/>
          <w:left w:space="0" w:sz="0" w:val="nil"/>
          <w:bottom w:space="0" w:sz="0" w:val="nil"/>
          <w:right w:space="0" w:sz="0" w:val="nil"/>
          <w:between w:space="0" w:sz="0" w:val="nil"/>
        </w:pBdr>
        <w:spacing w:line="360" w:lineRule="auto"/>
        <w:ind w:left="720" w:right="99" w:hanging="360"/>
        <w:jc w:val="both"/>
        <w:rPr>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3.- Cuantas válvulas se han instalado en la RED DE AGUA POTABLE y su ubicación. </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360" w:lineRule="auto"/>
        <w:ind w:right="99"/>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360" w:lineRule="auto"/>
        <w:ind w:right="99"/>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Respecto al punto 3 relativo: Cuantas válvulas se han instalado en la RED DE AGUA POTABLE y su ubicación.</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before="240"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necesario mencionar que la Dirección de Obras Públicas Municipal, de conformidad con el artículo 96 Bis de la Ley Orgánica Municipal del Estado de México, es la dependencia competente para realizar la programación y ejecución de las obras públicas y servicios relacionados, que por orden expresa del Ayuntamiento requieran prioridad; planear y coordinar los proyectos de obras públicas y servicios relacionados con las mismas que autorice el Ayuntamiento, una vez que se cumplan los requisitos de licitación y otros que determine la ley de la materia; proyectar las obras públicas y servicios relacionados, que realice el Municipio, incluyendo la conservación y mantenimiento de edificios, monumentos, calles, parques y jardines; vigilar que se cumplan y lleven a cabo los programas de construcción y mantenimiento de obras públicas y servicios relacionados; entre otras atribuciones.</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360" w:lineRule="auto"/>
        <w:ind w:left="720" w:right="-7" w:firstLine="0"/>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240"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es de suma importancia traer a contexto que el Programa Anual de Obras para el ejercicio 2025 del Ayuntamiento de Ecatepec de Morelos, se consideró entre las obras a ejecutar, la relativa a </w:t>
      </w:r>
      <w:r w:rsidDel="00000000" w:rsidR="00000000" w:rsidRPr="00000000">
        <w:rPr>
          <w:rFonts w:ascii="Palatino Linotype" w:cs="Palatino Linotype" w:eastAsia="Palatino Linotype" w:hAnsi="Palatino Linotype"/>
          <w:b w:val="1"/>
          <w:bCs w:val="1"/>
          <w:sz w:val="22"/>
          <w:szCs w:val="22"/>
          <w:rtl w:val="0"/>
        </w:rPr>
        <w:t xml:space="preserve">la Rehabilitación de Red de drenaje, agua potable y pavimentación con concreto hidráulico en la Calle 12 en la Colonia Rústica Xalostoc</w:t>
      </w:r>
      <w:r w:rsidDel="00000000" w:rsidR="00000000" w:rsidRPr="00000000">
        <w:rPr>
          <w:rFonts w:ascii="Palatino Linotype" w:cs="Palatino Linotype" w:eastAsia="Palatino Linotype" w:hAnsi="Palatino Linotype"/>
          <w:sz w:val="22"/>
          <w:szCs w:val="22"/>
          <w:rtl w:val="0"/>
        </w:rPr>
        <w:t xml:space="preserve">, como se observa a continuación:</w:t>
      </w:r>
    </w:p>
    <w:p w:rsidR="00000000" w:rsidDel="00000000" w:rsidP="00000000" w:rsidRDefault="00000000" w:rsidRPr="00000000" w14:paraId="00000089">
      <w:pPr>
        <w:spacing w:after="240" w:before="240"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612130" cy="711200"/>
            <wp:effectExtent b="0" l="0" r="0" t="0"/>
            <wp:docPr descr="Diagrama&#10;&#10;El contenido generado por IA puede ser incorrecto." id="21" name="image2.png"/>
            <a:graphic>
              <a:graphicData uri="http://schemas.openxmlformats.org/drawingml/2006/picture">
                <pic:pic>
                  <pic:nvPicPr>
                    <pic:cNvPr descr="Diagrama&#10;&#10;El contenido generado por IA puede ser incorrecto." id="0" name="image2.png"/>
                    <pic:cNvPicPr preferRelativeResize="0"/>
                  </pic:nvPicPr>
                  <pic:blipFill>
                    <a:blip r:embed="rId11"/>
                    <a:srcRect b="0" l="0" r="0" t="0"/>
                    <a:stretch>
                      <a:fillRect/>
                    </a:stretch>
                  </pic:blipFill>
                  <pic:spPr>
                    <a:xfrm>
                      <a:off x="0" y="0"/>
                      <a:ext cx="5612130" cy="711200"/>
                    </a:xfrm>
                    <a:prstGeom prst="rect"/>
                    <a:ln/>
                  </pic:spPr>
                </pic:pic>
              </a:graphicData>
            </a:graphic>
          </wp:inline>
        </w:drawing>
      </w:r>
      <w:r w:rsidDel="00000000" w:rsidR="00000000" w:rsidRPr="00000000">
        <w:rPr>
          <w:rFonts w:ascii="Palatino Linotype" w:cs="Palatino Linotype" w:eastAsia="Palatino Linotype" w:hAnsi="Palatino Linotype"/>
          <w:sz w:val="22"/>
          <w:szCs w:val="22"/>
        </w:rPr>
        <w:drawing>
          <wp:inline distB="0" distT="0" distL="0" distR="0">
            <wp:extent cx="5612130" cy="450850"/>
            <wp:effectExtent b="0" l="0" r="0" t="0"/>
            <wp:docPr id="24"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612130" cy="450850"/>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240" w:before="240"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mismo sentido, de igual forma, se localizó en la página oficial</w:t>
      </w:r>
      <w:r w:rsidDel="00000000" w:rsidR="00000000" w:rsidRPr="00000000">
        <w:rPr>
          <w:rFonts w:ascii="Palatino Linotype" w:cs="Palatino Linotype" w:eastAsia="Palatino Linotype" w:hAnsi="Palatino Linotype"/>
          <w:sz w:val="22"/>
          <w:szCs w:val="22"/>
          <w:vertAlign w:val="superscript"/>
        </w:rPr>
        <w:footnoteReference w:customMarkFollows="0" w:id="0"/>
      </w:r>
      <w:r w:rsidDel="00000000" w:rsidR="00000000" w:rsidRPr="00000000">
        <w:rPr>
          <w:rFonts w:ascii="Palatino Linotype" w:cs="Palatino Linotype" w:eastAsia="Palatino Linotype" w:hAnsi="Palatino Linotype"/>
          <w:sz w:val="22"/>
          <w:szCs w:val="22"/>
          <w:rtl w:val="0"/>
        </w:rPr>
        <w:t xml:space="preserve"> del </w:t>
      </w:r>
      <w:r w:rsidDel="00000000" w:rsidR="00000000" w:rsidRPr="00000000">
        <w:rPr>
          <w:rFonts w:ascii="Palatino Linotype" w:cs="Palatino Linotype" w:eastAsia="Palatino Linotype" w:hAnsi="Palatino Linotype"/>
          <w:b w:val="1"/>
          <w:bCs w:val="1"/>
          <w:sz w:val="22"/>
          <w:szCs w:val="22"/>
          <w:rtl w:val="0"/>
        </w:rPr>
        <w:t xml:space="preserve">Ayuntamiento de Ecatepec</w:t>
      </w:r>
      <w:r w:rsidDel="00000000" w:rsidR="00000000" w:rsidRPr="00000000">
        <w:rPr>
          <w:rFonts w:ascii="Palatino Linotype" w:cs="Palatino Linotype" w:eastAsia="Palatino Linotype" w:hAnsi="Palatino Linotype"/>
          <w:sz w:val="22"/>
          <w:szCs w:val="22"/>
          <w:rtl w:val="0"/>
        </w:rPr>
        <w:t xml:space="preserve"> el boletín 932/DCS/Ecatepec de fecha veintinueve de septiembre de dos mil veinticinco, en el cual se informa que el Cabildo aprobó la actualización del Programa Anual de Obra Pública, entre las que se encuentra la rehabilitación de red de drenaje, red entubada de agua potable, guarniciones, banquetas y pavimentación en calle 12, colonia Rústica Xalostoc:</w:t>
      </w:r>
    </w:p>
    <w:p w:rsidR="00000000" w:rsidDel="00000000" w:rsidP="00000000" w:rsidRDefault="00000000" w:rsidRPr="00000000" w14:paraId="0000008B">
      <w:pPr>
        <w:spacing w:after="240" w:before="240" w:line="360" w:lineRule="auto"/>
        <w:ind w:right="-7"/>
        <w:jc w:val="center"/>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4712924" cy="711364"/>
            <wp:effectExtent b="0" l="0" r="0" t="0"/>
            <wp:docPr descr="Texto&#10;&#10;El contenido generado por IA puede ser incorrecto." id="23" name="image1.png"/>
            <a:graphic>
              <a:graphicData uri="http://schemas.openxmlformats.org/drawingml/2006/picture">
                <pic:pic>
                  <pic:nvPicPr>
                    <pic:cNvPr descr="Texto&#10;&#10;El contenido generado por IA puede ser incorrecto." id="0" name="image1.png"/>
                    <pic:cNvPicPr preferRelativeResize="0"/>
                  </pic:nvPicPr>
                  <pic:blipFill>
                    <a:blip r:embed="rId13"/>
                    <a:srcRect b="0" l="0" r="0" t="0"/>
                    <a:stretch>
                      <a:fillRect/>
                    </a:stretch>
                  </pic:blipFill>
                  <pic:spPr>
                    <a:xfrm>
                      <a:off x="0" y="0"/>
                      <a:ext cx="4712924" cy="711364"/>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spacing w:after="240" w:before="240" w:line="360" w:lineRule="auto"/>
        <w:ind w:right="-7"/>
        <w:jc w:val="center"/>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083825" cy="1456465"/>
            <wp:effectExtent b="0" l="0" r="0" t="0"/>
            <wp:docPr descr="Texto&#10;&#10;El contenido generado por IA puede ser incorrecto." id="25" name="image5.png"/>
            <a:graphic>
              <a:graphicData uri="http://schemas.openxmlformats.org/drawingml/2006/picture">
                <pic:pic>
                  <pic:nvPicPr>
                    <pic:cNvPr descr="Texto&#10;&#10;El contenido generado por IA puede ser incorrecto." id="0" name="image5.png"/>
                    <pic:cNvPicPr preferRelativeResize="0"/>
                  </pic:nvPicPr>
                  <pic:blipFill>
                    <a:blip r:embed="rId14"/>
                    <a:srcRect b="0" l="0" r="0" t="0"/>
                    <a:stretch>
                      <a:fillRect/>
                    </a:stretch>
                  </pic:blipFill>
                  <pic:spPr>
                    <a:xfrm>
                      <a:off x="0" y="0"/>
                      <a:ext cx="5083825" cy="1456465"/>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left" w:leader="none" w:pos="2805"/>
        </w:tabs>
        <w:spacing w:line="360" w:lineRule="auto"/>
        <w:ind w:left="286" w:right="-7"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 anterior, estamos en presencia lo un hecho notorio, el cual se sustenta conforme a las siguientes tesis jurisprudenciales:</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120" w:before="120" w:line="360" w:lineRule="auto"/>
        <w:ind w:left="567" w:right="843"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“HECHOS NOTORIOS. CONCEPTOS GENERAL Y JURÍDICO. Conforme al artículo 88 del Código Federal de Procedimientos Civiles los tribunales pueden invocar hechos notorios aunque no hayan sido alegados ni probados por las partes.</w:t>
      </w:r>
      <w:r w:rsidDel="00000000" w:rsidR="00000000" w:rsidRPr="00000000">
        <w:rPr>
          <w:rFonts w:ascii="Palatino Linotype" w:cs="Palatino Linotype" w:eastAsia="Palatino Linotype" w:hAnsi="Palatino Linotype"/>
          <w:i w:val="1"/>
          <w:iCs w:val="1"/>
          <w:sz w:val="22"/>
          <w:szCs w:val="22"/>
          <w:rtl w:val="0"/>
        </w:rPr>
        <w:t xml:space="preserve"> Por hechos notorios deben entenderse, en general, aquellos que por el conocimiento humano se consideran ciertos e indiscutibles, ya sea que pertenezcan a la historia, a la ciencia, a la naturaleza</w:t>
      </w:r>
      <w:r w:rsidDel="00000000" w:rsidR="00000000" w:rsidRPr="00000000">
        <w:rPr>
          <w:rFonts w:ascii="Palatino Linotype" w:cs="Palatino Linotype" w:eastAsia="Palatino Linotype" w:hAnsi="Palatino Linotype"/>
          <w:b w:val="1"/>
          <w:bCs w:val="1"/>
          <w:i w:val="1"/>
          <w:iCs w:val="1"/>
          <w:sz w:val="22"/>
          <w:szCs w:val="22"/>
          <w:rtl w:val="0"/>
        </w:rPr>
        <w:t xml:space="preserve">, a las vicisitudes de la vida pública actual o a circunstancias comúnmente conocidas en un determinado lugar</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de modo que toda persona de ese medio esté en condiciones de saberlo</w:t>
      </w:r>
      <w:r w:rsidDel="00000000" w:rsidR="00000000" w:rsidRPr="00000000">
        <w:rPr>
          <w:rFonts w:ascii="Palatino Linotype" w:cs="Palatino Linotype" w:eastAsia="Palatino Linotype" w:hAnsi="Palatino Linotype"/>
          <w:i w:val="1"/>
          <w:iCs w:val="1"/>
          <w:sz w:val="22"/>
          <w:szCs w:val="22"/>
          <w:rtl w:val="0"/>
        </w:rPr>
        <w:t xml:space="preserve">; y desde el punto de vista jurídico, hecho notorio es cualquier acontecimiento de dominio público conocido por todos o casi todos los miembros de un círculo social en el momento en que va a pronunciarse la decisión judicial, respecto del cual no hay duda ni discusión; de manera que al ser notorio la ley exime de su prueba, por ser del conocimiento público en el medio social donde ocurrió o donde se tramita el procedimiento.”</w:t>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120" w:before="120" w:line="360" w:lineRule="auto"/>
        <w:ind w:left="567" w:right="843"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PÁGINAS WEB O ELECTRÓNICAS. SU CONTENIDO ES UN HECHO NOTORIO Y SUSCEPTIBLE DE SER VALORADO EN UNA DECISIÓN JUDICIAL.</w:t>
      </w:r>
      <w:r w:rsidDel="00000000" w:rsidR="00000000" w:rsidRPr="00000000">
        <w:rPr>
          <w:rFonts w:ascii="Palatino Linotype" w:cs="Palatino Linotype" w:eastAsia="Palatino Linotype" w:hAnsi="Palatino Linotype"/>
          <w:i w:val="1"/>
          <w:iCs w:val="1"/>
          <w:sz w:val="22"/>
          <w:szCs w:val="22"/>
          <w:rtl w:val="0"/>
        </w:rPr>
        <w:t xml:space="preserve"> Los datos publicados en documentos o páginas situados en redes informáticas constituyen un hecho notorio por formar parte del conocimiento público a través de tales medios al momento en que se dicta una resolución judicial, de conformidad con el artículo 88 del Código Federal de Procedimientos Civiles. El acceso al uso de Internet para buscar información sobre la existencia de personas morales, establecimientos mercantiles, domicilios y en general cualquier dato publicado en redes informáticas, forma parte de la cultura normal de sectores específicos de la sociedad dependiendo del tipo de información de que se trate. De ahí que, si bien no es posible afirmar que esa información se encuentra al alcance de todos los sectores de la sociedad, lo cierto es que sí es posible determinar si por el tipo de datos un hecho forma parte de la cultura normal de un sector de la sociedad y pueda ser considerado como notorio por el juzgador y, consecuentemente, valorado en una decisión judicial, por tratarse de un dato u opinión común indiscutible, no por el número de personas que conocen ese hecho, sino por la notoriedad, accesibilidad, aceptación e imparcialidad de este conocimiento. Por tanto, el contenido de una página de Internet que refleja hechos propios de una de las partes en cualquier juicio, puede ser tomado como prueba plena, a menos que haya una en contrario que no fue creada por orden del interesado, ya que se le reputará autor y podrá perjudicarle lo que ofrezca en sus términos.</w:t>
      </w: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120" w:before="120" w:line="360" w:lineRule="auto"/>
        <w:ind w:left="567" w:right="843"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HECHO NOTORIO. LO CONSTITUYEN LOS DATOS QUE APARECEN EN LAS PÁGINAS ELECTRÓNICAS OFICIALES QUE LOS ÓRGANOS DE GOBIERNO UTILIZAN PARA PONER A DISPOSICIÓN DEL PÚBLICO, ENTRE OTROS SERVICIOS, LA DESCRIPCIÓN DE SUS PLAZAS, EL DIRECTORIO DE SUS EMPLEADOS O EL ESTADO QUE GUARDAN SUS EXPEDIENTES Y, POR ELLO, ES VÁLIDO QUE SE INVOQUEN DE OFICIO PARA RESOLVER UN ASUNTO EN PARTICULAR</w:t>
      </w:r>
      <w:r w:rsidDel="00000000" w:rsidR="00000000" w:rsidRPr="00000000">
        <w:rPr>
          <w:rFonts w:ascii="Palatino Linotype" w:cs="Palatino Linotype" w:eastAsia="Palatino Linotype" w:hAnsi="Palatino Linotype"/>
          <w:i w:val="1"/>
          <w:iCs w:val="1"/>
          <w:sz w:val="22"/>
          <w:szCs w:val="22"/>
          <w:rtl w:val="0"/>
        </w:rPr>
        <w:t xml:space="preserve">. Los datos que aparecen en las páginas electrónicas oficiales que los órganos de gobierno utilizan para poner a disposición del público, entre otros servicios, la descripción de sus plazas, el directorio de sus empleados o el estado que guardan sus expedientes, constituyen un hecho notorio que puede invocarse por los tribunales, en términos del artículo 88 del Código Federal de Procedimientos Civiles, de aplicación supletoria a la Ley de Amparo; porque la información generada o comunicada por esa vía forma parte del sistema mundial de diseminación y obtención de datos denominada "internet", del cual puede obtenerse, por ejemplo, el nombre de un servidor público, el organigrama de una institución, así como el sentido de sus resoluciones; de ahí que sea válido que los órganos jurisdiccionales invoquen de oficio lo publicado en ese medio para resolver un asunto en particular.”</w:t>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before="240"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otro lado, si bien es cierto que el Organismo Público Descentralizado para la Prestación de los Servicios de Agua Potable, Alcantarillado y Saneamiento del Municipio de Ecatepec de Morelos, (SAPASE), como organismo operador es responsable de administrar y operar los servicios, conservar, dar mantenimiento, rehabilitar y ampliar los sistemas de suministro, de drenaje y de alcantarillado, y en su caso, el tratamiento de aguas y su reúso, así como la disposición final de sus productos resultantes, dentro del ámbito territorial que le corresponda, de conformidad con el artículo 5, fracción L de la Ley del Agua para el Estado de México y Municipios, </w:t>
      </w:r>
      <w:r w:rsidDel="00000000" w:rsidR="00000000" w:rsidRPr="00000000">
        <w:rPr>
          <w:rFonts w:ascii="Palatino Linotype" w:cs="Palatino Linotype" w:eastAsia="Palatino Linotype" w:hAnsi="Palatino Linotype"/>
          <w:b w:val="1"/>
          <w:bCs w:val="1"/>
          <w:sz w:val="22"/>
          <w:szCs w:val="22"/>
          <w:rtl w:val="0"/>
        </w:rPr>
        <w:t xml:space="preserve">no debe perderse de vista</w:t>
      </w:r>
      <w:r w:rsidDel="00000000" w:rsidR="00000000" w:rsidRPr="00000000">
        <w:rPr>
          <w:rFonts w:ascii="Palatino Linotype" w:cs="Palatino Linotype" w:eastAsia="Palatino Linotype" w:hAnsi="Palatino Linotype"/>
          <w:sz w:val="22"/>
          <w:szCs w:val="22"/>
          <w:rtl w:val="0"/>
        </w:rPr>
        <w:t xml:space="preserve"> que </w:t>
      </w:r>
      <w:r w:rsidDel="00000000" w:rsidR="00000000" w:rsidRPr="00000000">
        <w:rPr>
          <w:rFonts w:ascii="Palatino Linotype" w:cs="Palatino Linotype" w:eastAsia="Palatino Linotype" w:hAnsi="Palatino Linotype"/>
          <w:b w:val="1"/>
          <w:bCs w:val="1"/>
          <w:sz w:val="22"/>
          <w:szCs w:val="22"/>
          <w:u w:val="single"/>
          <w:rtl w:val="0"/>
        </w:rPr>
        <w:t xml:space="preserve">la obra referida por la persona solicitante fue ejecutada por el Ayuntamiento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de acuerdo el Programa Anual de Obra, para lo cual se consideró la celebración de un contrato adjudicado a través de Licitación Pública, como se advierte en líneas anteriores.</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360" w:lineRule="auto"/>
        <w:ind w:left="720" w:right="-7" w:firstLine="0"/>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240"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contexto, es oportuno traer a colación el Reglamento del Libro Décimo Segundo del Código Administrativo del Estado de México y Municipios, cuyo objeto consiste en regular los actos relativos a la planeación, programación, presupuestación, adjudicación, contratación, ejecución y control de la obra pública, así como los servicios relacionados con la misma que, por sí o por conducto de terceros, realicen las secretarías y unidades administrativas del Poder Ejecutivo del Estado; la Fiscalía General de Justicia; los ayuntamientos de los municipios del Estado; los organismos auxiliares y fideicomisos públicos del Estado y municipios; y los tribunales administrativos, en cuyos artículos 20, 104, 230, 231, 232, disponen lo siguiente en su parte conducente:</w:t>
      </w:r>
    </w:p>
    <w:p w:rsidR="00000000" w:rsidDel="00000000" w:rsidP="00000000" w:rsidRDefault="00000000" w:rsidRPr="00000000" w14:paraId="00000094">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20</w:t>
      </w:r>
      <w:r w:rsidDel="00000000" w:rsidR="00000000" w:rsidRPr="00000000">
        <w:rPr>
          <w:rFonts w:ascii="Palatino Linotype" w:cs="Palatino Linotype" w:eastAsia="Palatino Linotype" w:hAnsi="Palatino Linotype"/>
          <w:i w:val="1"/>
          <w:iCs w:val="1"/>
          <w:sz w:val="22"/>
          <w:szCs w:val="22"/>
          <w:rtl w:val="0"/>
        </w:rPr>
        <w:t xml:space="preserve">.- Las dependencias, entidades y, en su caso, los ayuntamientos, al formular el presupuesto específico de una obra o servicio, considerarán lo siguiente:</w:t>
      </w:r>
    </w:p>
    <w:p w:rsidR="00000000" w:rsidDel="00000000" w:rsidP="00000000" w:rsidRDefault="00000000" w:rsidRPr="00000000" w14:paraId="00000095">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96">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Las fechas previstas de inicio y término de la obra;</w:t>
      </w:r>
    </w:p>
    <w:p w:rsidR="00000000" w:rsidDel="00000000" w:rsidP="00000000" w:rsidRDefault="00000000" w:rsidRPr="00000000" w14:paraId="00000097">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98">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104</w:t>
      </w:r>
      <w:r w:rsidDel="00000000" w:rsidR="00000000" w:rsidRPr="00000000">
        <w:rPr>
          <w:rFonts w:ascii="Palatino Linotype" w:cs="Palatino Linotype" w:eastAsia="Palatino Linotype" w:hAnsi="Palatino Linotype"/>
          <w:i w:val="1"/>
          <w:iCs w:val="1"/>
          <w:sz w:val="22"/>
          <w:szCs w:val="22"/>
          <w:rtl w:val="0"/>
        </w:rPr>
        <w:t xml:space="preserve">.- Los contratos de obra pública y servicios contendrán, como mínimo:</w:t>
      </w:r>
    </w:p>
    <w:p w:rsidR="00000000" w:rsidDel="00000000" w:rsidP="00000000" w:rsidRDefault="00000000" w:rsidRPr="00000000" w14:paraId="00000099">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9A">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El plazo de ejecución de los trabajos</w:t>
      </w:r>
      <w:r w:rsidDel="00000000" w:rsidR="00000000" w:rsidRPr="00000000">
        <w:rPr>
          <w:rFonts w:ascii="Palatino Linotype" w:cs="Palatino Linotype" w:eastAsia="Palatino Linotype" w:hAnsi="Palatino Linotype"/>
          <w:i w:val="1"/>
          <w:iCs w:val="1"/>
          <w:sz w:val="22"/>
          <w:szCs w:val="22"/>
          <w:rtl w:val="0"/>
        </w:rPr>
        <w:t xml:space="preserve"> determinado en días naturales, indicando la fecha de inicio y término de los mismos, así como </w:t>
      </w:r>
      <w:r w:rsidDel="00000000" w:rsidR="00000000" w:rsidRPr="00000000">
        <w:rPr>
          <w:rFonts w:ascii="Palatino Linotype" w:cs="Palatino Linotype" w:eastAsia="Palatino Linotype" w:hAnsi="Palatino Linotype"/>
          <w:b w:val="1"/>
          <w:bCs w:val="1"/>
          <w:i w:val="1"/>
          <w:iCs w:val="1"/>
          <w:sz w:val="22"/>
          <w:szCs w:val="22"/>
          <w:rtl w:val="0"/>
        </w:rPr>
        <w:t xml:space="preserve">el plazo para la recepción física de los trabajos </w:t>
      </w:r>
      <w:r w:rsidDel="00000000" w:rsidR="00000000" w:rsidRPr="00000000">
        <w:rPr>
          <w:rFonts w:ascii="Palatino Linotype" w:cs="Palatino Linotype" w:eastAsia="Palatino Linotype" w:hAnsi="Palatino Linotype"/>
          <w:i w:val="1"/>
          <w:iCs w:val="1"/>
          <w:sz w:val="22"/>
          <w:szCs w:val="22"/>
          <w:rtl w:val="0"/>
        </w:rPr>
        <w:t xml:space="preserve">y la elaboración del finiquito, los cuales deben ser establecidos de acuerdo con las características, complejidad y magnitud de los trabajos;</w:t>
      </w:r>
    </w:p>
    <w:p w:rsidR="00000000" w:rsidDel="00000000" w:rsidP="00000000" w:rsidRDefault="00000000" w:rsidRPr="00000000" w14:paraId="0000009B">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9C">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230</w:t>
      </w:r>
      <w:r w:rsidDel="00000000" w:rsidR="00000000" w:rsidRPr="00000000">
        <w:rPr>
          <w:rFonts w:ascii="Palatino Linotype" w:cs="Palatino Linotype" w:eastAsia="Palatino Linotype" w:hAnsi="Palatino Linotype"/>
          <w:i w:val="1"/>
          <w:iCs w:val="1"/>
          <w:sz w:val="22"/>
          <w:szCs w:val="22"/>
          <w:rtl w:val="0"/>
        </w:rPr>
        <w:t xml:space="preserve">.- Para iniciar el procedimiento de recepción de los trabajos, </w:t>
      </w:r>
      <w:r w:rsidDel="00000000" w:rsidR="00000000" w:rsidRPr="00000000">
        <w:rPr>
          <w:rFonts w:ascii="Palatino Linotype" w:cs="Palatino Linotype" w:eastAsia="Palatino Linotype" w:hAnsi="Palatino Linotype"/>
          <w:b w:val="1"/>
          <w:bCs w:val="1"/>
          <w:i w:val="1"/>
          <w:iCs w:val="1"/>
          <w:sz w:val="22"/>
          <w:szCs w:val="22"/>
          <w:rtl w:val="0"/>
        </w:rPr>
        <w:t xml:space="preserve">el contratista deberá notificar al contratante la terminación de los mismos mediante la bitácora y por escrito, </w:t>
      </w:r>
      <w:r w:rsidDel="00000000" w:rsidR="00000000" w:rsidRPr="00000000">
        <w:rPr>
          <w:rFonts w:ascii="Palatino Linotype" w:cs="Palatino Linotype" w:eastAsia="Palatino Linotype" w:hAnsi="Palatino Linotype"/>
          <w:i w:val="1"/>
          <w:iCs w:val="1"/>
          <w:sz w:val="22"/>
          <w:szCs w:val="22"/>
          <w:rtl w:val="0"/>
        </w:rPr>
        <w:t xml:space="preserve">anexando los documentos de soporte que incluye una relación de las estimaciones o de gastos aprobados, monto ejercido y créditos a favor o en contra.</w:t>
      </w:r>
    </w:p>
    <w:p w:rsidR="00000000" w:rsidDel="00000000" w:rsidP="00000000" w:rsidRDefault="00000000" w:rsidRPr="00000000" w14:paraId="0000009D">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231</w:t>
      </w:r>
      <w:r w:rsidDel="00000000" w:rsidR="00000000" w:rsidRPr="00000000">
        <w:rPr>
          <w:rFonts w:ascii="Palatino Linotype" w:cs="Palatino Linotype" w:eastAsia="Palatino Linotype" w:hAnsi="Palatino Linotype"/>
          <w:i w:val="1"/>
          <w:iCs w:val="1"/>
          <w:sz w:val="22"/>
          <w:szCs w:val="22"/>
          <w:rtl w:val="0"/>
        </w:rPr>
        <w:t xml:space="preserve">.- Si,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durante la verificación de los trabajos, el contratante observa deficiencias, deberá solicitar al contratista que realice las correcciones o reparaciones conforme a lo establecido en el contrato</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09E">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este caso, el </w:t>
      </w:r>
      <w:r w:rsidDel="00000000" w:rsidR="00000000" w:rsidRPr="00000000">
        <w:rPr>
          <w:rFonts w:ascii="Palatino Linotype" w:cs="Palatino Linotype" w:eastAsia="Palatino Linotype" w:hAnsi="Palatino Linotype"/>
          <w:b w:val="1"/>
          <w:bCs w:val="1"/>
          <w:i w:val="1"/>
          <w:iCs w:val="1"/>
          <w:sz w:val="22"/>
          <w:szCs w:val="22"/>
          <w:rtl w:val="0"/>
        </w:rPr>
        <w:t xml:space="preserve">plazo de verificación de los trabajos, pactado en el contrato, se podrá ampliar por el periodo que acuerden las partes para la reparación de las deficiencias.</w:t>
      </w:r>
      <w:r w:rsidDel="00000000" w:rsidR="00000000" w:rsidRPr="00000000">
        <w:rPr>
          <w:rFonts w:ascii="Palatino Linotype" w:cs="Palatino Linotype" w:eastAsia="Palatino Linotype" w:hAnsi="Palatino Linotype"/>
          <w:i w:val="1"/>
          <w:iCs w:val="1"/>
          <w:sz w:val="22"/>
          <w:szCs w:val="22"/>
          <w:rtl w:val="0"/>
        </w:rPr>
        <w:t xml:space="preserve"> Lo anterior, sin perjuicio de que el contratante opte por la rescisión del contrato. </w:t>
      </w:r>
    </w:p>
    <w:p w:rsidR="00000000" w:rsidDel="00000000" w:rsidP="00000000" w:rsidRDefault="00000000" w:rsidRPr="00000000" w14:paraId="0000009F">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232</w:t>
      </w:r>
      <w:r w:rsidDel="00000000" w:rsidR="00000000" w:rsidRPr="00000000">
        <w:rPr>
          <w:rFonts w:ascii="Palatino Linotype" w:cs="Palatino Linotype" w:eastAsia="Palatino Linotype" w:hAnsi="Palatino Linotype"/>
          <w:i w:val="1"/>
          <w:iCs w:val="1"/>
          <w:sz w:val="22"/>
          <w:szCs w:val="22"/>
          <w:rtl w:val="0"/>
        </w:rPr>
        <w:t xml:space="preserve">.- En la fecha señalada, </w:t>
      </w:r>
      <w:r w:rsidDel="00000000" w:rsidR="00000000" w:rsidRPr="00000000">
        <w:rPr>
          <w:rFonts w:ascii="Palatino Linotype" w:cs="Palatino Linotype" w:eastAsia="Palatino Linotype" w:hAnsi="Palatino Linotype"/>
          <w:b w:val="1"/>
          <w:bCs w:val="1"/>
          <w:i w:val="1"/>
          <w:iCs w:val="1"/>
          <w:sz w:val="22"/>
          <w:szCs w:val="22"/>
          <w:rtl w:val="0"/>
        </w:rPr>
        <w:t xml:space="preserve">el contratante recibirá físicamente los trabajos y levantará el acta correspondiente</w:t>
      </w:r>
      <w:r w:rsidDel="00000000" w:rsidR="00000000" w:rsidRPr="00000000">
        <w:rPr>
          <w:rFonts w:ascii="Palatino Linotype" w:cs="Palatino Linotype" w:eastAsia="Palatino Linotype" w:hAnsi="Palatino Linotype"/>
          <w:i w:val="1"/>
          <w:iCs w:val="1"/>
          <w:sz w:val="22"/>
          <w:szCs w:val="22"/>
          <w:rtl w:val="0"/>
        </w:rPr>
        <w:t xml:space="preserve">, que contendrá:</w:t>
      </w:r>
    </w:p>
    <w:p w:rsidR="00000000" w:rsidDel="00000000" w:rsidP="00000000" w:rsidRDefault="00000000" w:rsidRPr="00000000" w14:paraId="000000A0">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A1">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Descripción de los trabajos que se reciben;</w:t>
      </w:r>
    </w:p>
    <w:p w:rsidR="00000000" w:rsidDel="00000000" w:rsidP="00000000" w:rsidRDefault="00000000" w:rsidRPr="00000000" w14:paraId="000000A2">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A3">
      <w:pPr>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Periodo de ejecución de los trabajos, precisando las fechas de inicio y terminación contractual y el plazo en que realmente se ejecutaron,</w:t>
      </w:r>
      <w:r w:rsidDel="00000000" w:rsidR="00000000" w:rsidRPr="00000000">
        <w:rPr>
          <w:rFonts w:ascii="Palatino Linotype" w:cs="Palatino Linotype" w:eastAsia="Palatino Linotype" w:hAnsi="Palatino Linotype"/>
          <w:i w:val="1"/>
          <w:iCs w:val="1"/>
          <w:sz w:val="22"/>
          <w:szCs w:val="22"/>
          <w:rtl w:val="0"/>
        </w:rPr>
        <w:t xml:space="preserve"> incluyendo los convenios;”</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240" w:before="240"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los preceptos citados, se desprende que al momento de formular el presupuesto para una obra, se debe considerar entre otros datos, </w:t>
      </w:r>
      <w:r w:rsidDel="00000000" w:rsidR="00000000" w:rsidRPr="00000000">
        <w:rPr>
          <w:rFonts w:ascii="Palatino Linotype" w:cs="Palatino Linotype" w:eastAsia="Palatino Linotype" w:hAnsi="Palatino Linotype"/>
          <w:b w:val="1"/>
          <w:bCs w:val="1"/>
          <w:sz w:val="22"/>
          <w:szCs w:val="22"/>
          <w:u w:val="single"/>
          <w:rtl w:val="0"/>
        </w:rPr>
        <w:t xml:space="preserve">las características técnicas</w:t>
      </w:r>
      <w:r w:rsidDel="00000000" w:rsidR="00000000" w:rsidRPr="00000000">
        <w:rPr>
          <w:rFonts w:ascii="Palatino Linotype" w:cs="Palatino Linotype" w:eastAsia="Palatino Linotype" w:hAnsi="Palatino Linotype"/>
          <w:sz w:val="22"/>
          <w:szCs w:val="22"/>
          <w:rtl w:val="0"/>
        </w:rPr>
        <w:t xml:space="preserve">, las fechas previstas de inicio y término de la obra, de igual forma, en el contrato que se celebre se debe considerar el plazo de ejecución de los trabajos, indicando la fecha de inicio y de término de los mismos, así como el plazo para la recepción de física de los trabajos, debiendo el contratante </w:t>
      </w:r>
      <w:r w:rsidDel="00000000" w:rsidR="00000000" w:rsidRPr="00000000">
        <w:rPr>
          <w:rFonts w:ascii="Palatino Linotype" w:cs="Palatino Linotype" w:eastAsia="Palatino Linotype" w:hAnsi="Palatino Linotype"/>
          <w:b w:val="1"/>
          <w:bCs w:val="1"/>
          <w:sz w:val="22"/>
          <w:szCs w:val="22"/>
          <w:u w:val="single"/>
          <w:rtl w:val="0"/>
        </w:rPr>
        <w:t xml:space="preserve">verificar los trabajos, y elaborar reportes de avance</w:t>
      </w:r>
      <w:r w:rsidDel="00000000" w:rsidR="00000000" w:rsidRPr="00000000">
        <w:rPr>
          <w:rFonts w:ascii="Palatino Linotype" w:cs="Palatino Linotype" w:eastAsia="Palatino Linotype" w:hAnsi="Palatino Linotype"/>
          <w:sz w:val="22"/>
          <w:szCs w:val="22"/>
          <w:rtl w:val="0"/>
        </w:rPr>
        <w:t xml:space="preserve">,  a efecto de constatar que no existan deficiencias en los mismos, y en caso contrario solicitar al contratista realice las correcciones conforme a lo establecido en el contrato, finalmente, una vez que se señale una fecha para la recepción física, se debe levantar un acta, en la que se haga constar entre otros datos la descripción de los trabajos, y el periodo de ejecución, en donde se señalan las fechas de inicio y de término, así como el plazo en el cual se ejecutaron.</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before="240" w:line="360" w:lineRule="auto"/>
        <w:ind w:right="-7"/>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Es así que se concluye que el Sistema de Agua Potable Alcantarillado y Saneamiento de Ecatepec de Morelos no es el Sujeto Obligado idóneo para atender la solicitud del particular, sino que es atribución del Ayuntamiento de Ecatepec de Morelos quien enunciativamente por conducto de la Dirección de Obras Públicas, </w:t>
      </w:r>
      <w:r w:rsidDel="00000000" w:rsidR="00000000" w:rsidRPr="00000000">
        <w:rPr>
          <w:rFonts w:ascii="Palatino Linotype" w:cs="Palatino Linotype" w:eastAsia="Palatino Linotype" w:hAnsi="Palatino Linotype"/>
          <w:b w:val="1"/>
          <w:bCs w:val="1"/>
          <w:sz w:val="22"/>
          <w:szCs w:val="22"/>
          <w:rtl w:val="0"/>
        </w:rPr>
        <w:t xml:space="preserve">debe contar con documentación que dé cuenta del número de válvulas instaladas a la fecha de la solicitud, y su ubicación, respecto a la obra pública referida. </w:t>
      </w:r>
    </w:p>
    <w:p w:rsidR="00000000" w:rsidDel="00000000" w:rsidP="00000000" w:rsidRDefault="00000000" w:rsidRPr="00000000" w14:paraId="000000A6">
      <w:pPr>
        <w:widowControl w:val="0"/>
        <w:spacing w:line="360" w:lineRule="auto"/>
        <w:ind w:right="-7"/>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240"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dado que como ente público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se encuentra obligado a poner a disposición del ciudadano, de manera permanente y actualizada en los respectivos medios electrónicos, información sobre los procesos y resultados sobre procedimientos de adjudicación directa, invitación restringida y licitación de cualquier naturaleza, incluyendo la versión pública del expediente respectivo y de los contratos celebrados; como se desprende del artículo 92, fracción XXIX de la Ley de Transparencia y Acceso a la Información Pública del Estado de México y Municipios:</w:t>
      </w:r>
    </w:p>
    <w:p w:rsidR="00000000" w:rsidDel="00000000" w:rsidP="00000000" w:rsidRDefault="00000000" w:rsidRPr="00000000" w14:paraId="000000A8">
      <w:pPr>
        <w:spacing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92</w:t>
      </w:r>
      <w:r w:rsidDel="00000000" w:rsidR="00000000" w:rsidRPr="00000000">
        <w:rPr>
          <w:rFonts w:ascii="Palatino Linotype" w:cs="Palatino Linotype" w:eastAsia="Palatino Linotype" w:hAnsi="Palatino Linotype"/>
          <w:i w:val="1"/>
          <w:iCs w:val="1"/>
          <w:sz w:val="22"/>
          <w:szCs w:val="22"/>
          <w:rtl w:val="0"/>
        </w:rPr>
        <w:t xml:space="preserve">.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rsidR="00000000" w:rsidDel="00000000" w:rsidP="00000000" w:rsidRDefault="00000000" w:rsidRPr="00000000" w14:paraId="000000A9">
      <w:pPr>
        <w:tabs>
          <w:tab w:val="left" w:leader="none" w:pos="426"/>
          <w:tab w:val="left" w:leader="none" w:pos="2145"/>
        </w:tabs>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tab/>
      </w:r>
    </w:p>
    <w:p w:rsidR="00000000" w:rsidDel="00000000" w:rsidP="00000000" w:rsidRDefault="00000000" w:rsidRPr="00000000" w14:paraId="000000AA">
      <w:pPr>
        <w:tabs>
          <w:tab w:val="left" w:leader="none" w:pos="426"/>
        </w:tabs>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XXIX.</w:t>
      </w:r>
      <w:r w:rsidDel="00000000" w:rsidR="00000000" w:rsidRPr="00000000">
        <w:rPr>
          <w:rFonts w:ascii="Palatino Linotype" w:cs="Palatino Linotype" w:eastAsia="Palatino Linotype" w:hAnsi="Palatino Linotype"/>
          <w:i w:val="1"/>
          <w:iCs w:val="1"/>
          <w:sz w:val="22"/>
          <w:szCs w:val="22"/>
          <w:rtl w:val="0"/>
        </w:rPr>
        <w:t xml:space="preserve"> La </w:t>
      </w:r>
      <w:r w:rsidDel="00000000" w:rsidR="00000000" w:rsidRPr="00000000">
        <w:rPr>
          <w:rFonts w:ascii="Palatino Linotype" w:cs="Palatino Linotype" w:eastAsia="Palatino Linotype" w:hAnsi="Palatino Linotype"/>
          <w:b w:val="1"/>
          <w:bCs w:val="1"/>
          <w:i w:val="1"/>
          <w:iCs w:val="1"/>
          <w:sz w:val="22"/>
          <w:szCs w:val="22"/>
          <w:rtl w:val="0"/>
        </w:rPr>
        <w:t xml:space="preserve">información sobre los procesos y resultados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sobre procedimientos de adjudicación directa, invitación restringida y licitación de cualquier naturaleza</w:t>
      </w:r>
      <w:r w:rsidDel="00000000" w:rsidR="00000000" w:rsidRPr="00000000">
        <w:rPr>
          <w:rFonts w:ascii="Palatino Linotype" w:cs="Palatino Linotype" w:eastAsia="Palatino Linotype" w:hAnsi="Palatino Linotype"/>
          <w:i w:val="1"/>
          <w:iCs w:val="1"/>
          <w:sz w:val="22"/>
          <w:szCs w:val="22"/>
          <w:u w:val="single"/>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incluyendo la versión pública</w:t>
      </w:r>
      <w:r w:rsidDel="00000000" w:rsidR="00000000" w:rsidRPr="00000000">
        <w:rPr>
          <w:rFonts w:ascii="Palatino Linotype" w:cs="Palatino Linotype" w:eastAsia="Palatino Linotype" w:hAnsi="Palatino Linotype"/>
          <w:i w:val="1"/>
          <w:iCs w:val="1"/>
          <w:sz w:val="22"/>
          <w:szCs w:val="22"/>
          <w:rtl w:val="0"/>
        </w:rPr>
        <w:t xml:space="preserve"> del expediente respectivo y </w:t>
      </w:r>
      <w:r w:rsidDel="00000000" w:rsidR="00000000" w:rsidRPr="00000000">
        <w:rPr>
          <w:rFonts w:ascii="Palatino Linotype" w:cs="Palatino Linotype" w:eastAsia="Palatino Linotype" w:hAnsi="Palatino Linotype"/>
          <w:b w:val="1"/>
          <w:bCs w:val="1"/>
          <w:i w:val="1"/>
          <w:iCs w:val="1"/>
          <w:sz w:val="22"/>
          <w:szCs w:val="22"/>
          <w:rtl w:val="0"/>
        </w:rPr>
        <w:t xml:space="preserve">de los contratos celebrados</w:t>
      </w:r>
      <w:r w:rsidDel="00000000" w:rsidR="00000000" w:rsidRPr="00000000">
        <w:rPr>
          <w:rFonts w:ascii="Palatino Linotype" w:cs="Palatino Linotype" w:eastAsia="Palatino Linotype" w:hAnsi="Palatino Linotype"/>
          <w:i w:val="1"/>
          <w:iCs w:val="1"/>
          <w:sz w:val="22"/>
          <w:szCs w:val="22"/>
          <w:rtl w:val="0"/>
        </w:rPr>
        <w:t xml:space="preserve">, que deberán contener, por los menos, lo siguiente:</w:t>
      </w:r>
    </w:p>
    <w:p w:rsidR="00000000" w:rsidDel="00000000" w:rsidP="00000000" w:rsidRDefault="00000000" w:rsidRPr="00000000" w14:paraId="000000AB">
      <w:pPr>
        <w:tabs>
          <w:tab w:val="left" w:leader="none" w:pos="426"/>
        </w:tabs>
        <w:spacing w:after="120" w:before="120" w:line="360" w:lineRule="auto"/>
        <w:ind w:left="1135" w:right="843"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 De licitaciones públicas o procedimientos de invitación restringida:</w:t>
      </w:r>
    </w:p>
    <w:p w:rsidR="00000000" w:rsidDel="00000000" w:rsidP="00000000" w:rsidRDefault="00000000" w:rsidRPr="00000000" w14:paraId="000000AC">
      <w:pPr>
        <w:tabs>
          <w:tab w:val="left" w:leader="none" w:pos="426"/>
        </w:tabs>
        <w:spacing w:after="120" w:before="120" w:line="360" w:lineRule="auto"/>
        <w:ind w:left="1135" w:right="843"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0AD">
      <w:pPr>
        <w:tabs>
          <w:tab w:val="left" w:leader="none" w:pos="426"/>
        </w:tabs>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7) El contrato </w:t>
      </w:r>
      <w:r w:rsidDel="00000000" w:rsidR="00000000" w:rsidRPr="00000000">
        <w:rPr>
          <w:rFonts w:ascii="Palatino Linotype" w:cs="Palatino Linotype" w:eastAsia="Palatino Linotype" w:hAnsi="Palatino Linotype"/>
          <w:i w:val="1"/>
          <w:iCs w:val="1"/>
          <w:sz w:val="22"/>
          <w:szCs w:val="22"/>
          <w:rtl w:val="0"/>
        </w:rPr>
        <w:t xml:space="preserve">y, en su caso, sus anexos; </w:t>
      </w:r>
    </w:p>
    <w:p w:rsidR="00000000" w:rsidDel="00000000" w:rsidP="00000000" w:rsidRDefault="00000000" w:rsidRPr="00000000" w14:paraId="000000AE">
      <w:pPr>
        <w:tabs>
          <w:tab w:val="left" w:leader="none" w:pos="426"/>
        </w:tabs>
        <w:spacing w:after="120" w:before="120" w:line="360" w:lineRule="auto"/>
        <w:ind w:left="1135" w:right="843"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0AF">
      <w:pPr>
        <w:tabs>
          <w:tab w:val="left" w:leader="none" w:pos="426"/>
        </w:tabs>
        <w:spacing w:after="120" w:before="120" w:line="360" w:lineRule="auto"/>
        <w:ind w:left="1135" w:right="843"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b) De las adjudicaciones directas: </w:t>
      </w:r>
    </w:p>
    <w:p w:rsidR="00000000" w:rsidDel="00000000" w:rsidP="00000000" w:rsidRDefault="00000000" w:rsidRPr="00000000" w14:paraId="000000B0">
      <w:pPr>
        <w:tabs>
          <w:tab w:val="left" w:leader="none" w:pos="426"/>
        </w:tabs>
        <w:spacing w:after="120" w:before="120" w:line="360" w:lineRule="auto"/>
        <w:ind w:left="1135" w:right="843"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0B1">
      <w:pPr>
        <w:tabs>
          <w:tab w:val="left" w:leader="none" w:pos="426"/>
        </w:tabs>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7) El número, fecha, el monto del contrato</w:t>
      </w:r>
      <w:r w:rsidDel="00000000" w:rsidR="00000000" w:rsidRPr="00000000">
        <w:rPr>
          <w:rFonts w:ascii="Palatino Linotype" w:cs="Palatino Linotype" w:eastAsia="Palatino Linotype" w:hAnsi="Palatino Linotype"/>
          <w:i w:val="1"/>
          <w:iCs w:val="1"/>
          <w:sz w:val="22"/>
          <w:szCs w:val="22"/>
          <w:rtl w:val="0"/>
        </w:rPr>
        <w:t xml:space="preserve"> y el plazo de entrega o de ejecución de los servicios u obra; “</w:t>
      </w:r>
    </w:p>
    <w:p w:rsidR="00000000" w:rsidDel="00000000" w:rsidP="00000000" w:rsidRDefault="00000000" w:rsidRPr="00000000" w14:paraId="000000B2">
      <w:pPr>
        <w:tabs>
          <w:tab w:val="left" w:leader="none" w:pos="426"/>
        </w:tabs>
        <w:spacing w:after="120" w:before="120" w:line="360" w:lineRule="auto"/>
        <w:ind w:left="1135" w:right="843"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0B3">
      <w:pPr>
        <w:tabs>
          <w:tab w:val="left" w:leader="none" w:pos="426"/>
        </w:tabs>
        <w:spacing w:after="120" w:before="120" w:line="360" w:lineRule="auto"/>
        <w:ind w:left="1135"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12) </w:t>
      </w:r>
      <w:r w:rsidDel="00000000" w:rsidR="00000000" w:rsidRPr="00000000">
        <w:rPr>
          <w:rFonts w:ascii="Palatino Linotype" w:cs="Palatino Linotype" w:eastAsia="Palatino Linotype" w:hAnsi="Palatino Linotype"/>
          <w:b w:val="1"/>
          <w:bCs w:val="1"/>
          <w:sz w:val="22"/>
          <w:szCs w:val="22"/>
          <w:u w:val="single"/>
          <w:rtl w:val="0"/>
        </w:rPr>
        <w:t xml:space="preserve">Los informes de avance físico </w:t>
      </w:r>
      <w:r w:rsidDel="00000000" w:rsidR="00000000" w:rsidRPr="00000000">
        <w:rPr>
          <w:rFonts w:ascii="Palatino Linotype" w:cs="Palatino Linotype" w:eastAsia="Palatino Linotype" w:hAnsi="Palatino Linotype"/>
          <w:sz w:val="22"/>
          <w:szCs w:val="22"/>
          <w:rtl w:val="0"/>
        </w:rPr>
        <w:t xml:space="preserve">y financiero sobre las obras o servicios contratados;</w:t>
      </w: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por lo que, en virtud de que el Sujeto Obligado declinó su competencia respecto a la información relacionada con la solicitud toda vez que la obra de referencia se encuentra a cargo del Ayuntamiento de Ecatepec de Morelos, es que no resulta dable ordenar el acuerdo que declare formalmente la incompetencia del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pues como se advirtió del estudio la incompetencia resulta notaria.</w:t>
      </w:r>
    </w:p>
    <w:p w:rsidR="00000000" w:rsidDel="00000000" w:rsidP="00000000" w:rsidRDefault="00000000" w:rsidRPr="00000000" w14:paraId="000000B5">
      <w:pPr>
        <w:spacing w:line="360" w:lineRule="auto"/>
        <w:ind w:right="-7"/>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mismo, resulta necesario precisar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que, el hecho de notificar a las personas solicitantes sobre la incompetencia cuando ésta sea notoria, dentro del plazo de tres días siguientes a partir de la recepción de las solicitudes, permite que estas puedan presentar sin mayor dilación sus requerimientos de información ante los Sujetos Obligados competentes con la finalidad de obtener la información que es de su interés.</w:t>
      </w:r>
    </w:p>
    <w:p w:rsidR="00000000" w:rsidDel="00000000" w:rsidP="00000000" w:rsidRDefault="00000000" w:rsidRPr="00000000" w14:paraId="000000B7">
      <w:pPr>
        <w:spacing w:line="360" w:lineRule="auto"/>
        <w:ind w:right="-7"/>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por ello que resulta de suma importancia que las Unidades de Transparencia, cuando adviertan que dicho supuesto se actualiza, se ciñan al plazo que la normativa establece, a fin de ajustarse al principio de expedites que en todo procedimiento en materia de transparencia se debe observar.</w:t>
      </w:r>
    </w:p>
    <w:p w:rsidR="00000000" w:rsidDel="00000000" w:rsidP="00000000" w:rsidRDefault="00000000" w:rsidRPr="00000000" w14:paraId="000000B9">
      <w:pPr>
        <w:spacing w:line="360" w:lineRule="auto"/>
        <w:ind w:right="-7"/>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cuando se advierta una notoria incompetencia respecto de la información solicitada por un particular,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debe atender los plazos establecidos por la norma para declarar la incompetencia </w:t>
      </w:r>
      <w:r w:rsidDel="00000000" w:rsidR="00000000" w:rsidRPr="00000000">
        <w:rPr>
          <w:rFonts w:ascii="Palatino Linotype" w:cs="Palatino Linotype" w:eastAsia="Palatino Linotype" w:hAnsi="Palatino Linotype"/>
          <w:sz w:val="22"/>
          <w:szCs w:val="22"/>
          <w:rtl w:val="0"/>
        </w:rPr>
        <w:t xml:space="preserve">para entregar información, con el propósito de que los particulares puedan acudir ante las instancias correspondientes para formular las solicitudes que estimen pertinentes.</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line="360" w:lineRule="auto"/>
        <w:ind w:left="720" w:right="-7" w:firstLine="0"/>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C">
      <w:pP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consecuencia, no se advierte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tenga acceso, administre o posea los documentos donde se conste la información solicitada.</w:t>
      </w:r>
    </w:p>
    <w:p w:rsidR="00000000" w:rsidDel="00000000" w:rsidP="00000000" w:rsidRDefault="00000000" w:rsidRPr="00000000" w14:paraId="000000BD">
      <w:pPr>
        <w:spacing w:line="360" w:lineRule="auto"/>
        <w:ind w:right="-59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E">
      <w:pP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tanto, bajo los principios de certeza, eficacia y objetividad, establecidos en el artículo 9 de la Ley de Transparencia y Acceso a la Información Pública del Estado de México y Municipios, y derivado de que la información requerida corresponde con atribuciones de un Sujeto Obligado distinto al que le fue presentada la solicitud, y a fin de no dilatar el derecho de acceso a la información, como ya fue establecido, </w:t>
      </w:r>
      <w:r w:rsidDel="00000000" w:rsidR="00000000" w:rsidRPr="00000000">
        <w:rPr>
          <w:rFonts w:ascii="Palatino Linotype" w:cs="Palatino Linotype" w:eastAsia="Palatino Linotype" w:hAnsi="Palatino Linotype"/>
          <w:b w:val="1"/>
          <w:bCs w:val="1"/>
          <w:sz w:val="22"/>
          <w:szCs w:val="22"/>
          <w:rtl w:val="0"/>
        </w:rPr>
        <w:t xml:space="preserve">se dejan a salvo los derechos del RECURRENTE para que pueda realizar la solicitud de información ante el Sujeto Obligado correspondiente.</w:t>
      </w:r>
      <w:r w:rsidDel="00000000" w:rsidR="00000000" w:rsidRPr="00000000">
        <w:rPr>
          <w:rtl w:val="0"/>
        </w:rPr>
      </w:r>
    </w:p>
    <w:p w:rsidR="00000000" w:rsidDel="00000000" w:rsidP="00000000" w:rsidRDefault="00000000" w:rsidRPr="00000000" w14:paraId="000000BF">
      <w:pPr>
        <w:spacing w:line="360" w:lineRule="auto"/>
        <w:ind w:right="99"/>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C0">
      <w:pPr>
        <w:spacing w:line="360" w:lineRule="auto"/>
        <w:ind w:right="9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Por lo que corresponde al requerimiento identificado con el numeral 2, el cual se relaciona con último INFORME (o su equivalente) de supervisión de personal de SAPASE, es necesario traer a contexto </w:t>
      </w:r>
      <w:r w:rsidDel="00000000" w:rsidR="00000000" w:rsidRPr="00000000">
        <w:rPr>
          <w:rFonts w:ascii="Palatino Linotype" w:cs="Palatino Linotype" w:eastAsia="Palatino Linotype" w:hAnsi="Palatino Linotype"/>
          <w:sz w:val="22"/>
          <w:szCs w:val="22"/>
          <w:rtl w:val="0"/>
        </w:rPr>
        <w:t xml:space="preserve">el Reglamento Orgánico del Organismo Público Descentralizado para la prestación de los Servicios de Agua Potable, Alcantarillado y Saneamiento del Municipio de Ecatepec, Estado de México, el cual determina la existencia del área Dirección de Construcción y Operación Hidráulica.</w:t>
      </w:r>
    </w:p>
    <w:p w:rsidR="00000000" w:rsidDel="00000000" w:rsidP="00000000" w:rsidRDefault="00000000" w:rsidRPr="00000000" w14:paraId="000000C1">
      <w:pPr>
        <w:spacing w:before="240" w:line="360"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23.</w:t>
      </w:r>
      <w:r w:rsidDel="00000000" w:rsidR="00000000" w:rsidRPr="00000000">
        <w:rPr>
          <w:rFonts w:ascii="Palatino Linotype" w:cs="Palatino Linotype" w:eastAsia="Palatino Linotype" w:hAnsi="Palatino Linotype"/>
          <w:i w:val="1"/>
          <w:iCs w:val="1"/>
          <w:sz w:val="22"/>
          <w:szCs w:val="22"/>
          <w:rtl w:val="0"/>
        </w:rPr>
        <w:t xml:space="preserve"> Para el ejercicio de las atribuciones y responsabilidades y para el estudio, planeación y despacho de los asuntos en diversos ramos de la administración del organismo, el director general se auxiliará de las siguientes unidades administrativas:</w:t>
      </w:r>
    </w:p>
    <w:p w:rsidR="00000000" w:rsidDel="00000000" w:rsidP="00000000" w:rsidRDefault="00000000" w:rsidRPr="00000000" w14:paraId="000000C2">
      <w:pPr>
        <w:spacing w:before="240" w:line="360"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 Secretaria técnica;</w:t>
      </w:r>
    </w:p>
    <w:p w:rsidR="00000000" w:rsidDel="00000000" w:rsidP="00000000" w:rsidRDefault="00000000" w:rsidRPr="00000000" w14:paraId="000000C3">
      <w:pPr>
        <w:spacing w:before="240" w:line="360"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 Coordinación de Pipas;</w:t>
      </w:r>
    </w:p>
    <w:p w:rsidR="00000000" w:rsidDel="00000000" w:rsidP="00000000" w:rsidRDefault="00000000" w:rsidRPr="00000000" w14:paraId="000000C4">
      <w:pPr>
        <w:spacing w:before="240" w:line="360"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III. Coordinación jurídica;</w:t>
      </w:r>
    </w:p>
    <w:p w:rsidR="00000000" w:rsidDel="00000000" w:rsidP="00000000" w:rsidRDefault="00000000" w:rsidRPr="00000000" w14:paraId="000000C5">
      <w:pPr>
        <w:spacing w:before="240" w:line="360"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IV. Dirección de Finanzas y Administración;</w:t>
      </w:r>
    </w:p>
    <w:p w:rsidR="00000000" w:rsidDel="00000000" w:rsidP="00000000" w:rsidRDefault="00000000" w:rsidRPr="00000000" w14:paraId="000000C6">
      <w:pPr>
        <w:spacing w:before="240" w:line="360"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 Dirección de Comercialización;</w:t>
      </w:r>
    </w:p>
    <w:p w:rsidR="00000000" w:rsidDel="00000000" w:rsidP="00000000" w:rsidRDefault="00000000" w:rsidRPr="00000000" w14:paraId="000000C7">
      <w:pPr>
        <w:spacing w:before="240" w:line="360" w:lineRule="auto"/>
        <w:ind w:left="851" w:right="567"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 Dirección de Construcción, y Operación Hidráulica; y</w:t>
      </w:r>
    </w:p>
    <w:p w:rsidR="00000000" w:rsidDel="00000000" w:rsidP="00000000" w:rsidRDefault="00000000" w:rsidRPr="00000000" w14:paraId="000000C8">
      <w:pPr>
        <w:spacing w:before="240" w:line="360"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VII. Órgano interno de control.</w:t>
      </w:r>
    </w:p>
    <w:p w:rsidR="00000000" w:rsidDel="00000000" w:rsidP="00000000" w:rsidRDefault="00000000" w:rsidRPr="00000000" w14:paraId="000000C9">
      <w:pPr>
        <w:spacing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La cual tiene entre sus atribuciones la construcción, operación, y mantenimiento de la red hidráulica así también para la supervisión de actividades de operación y mantenimiento de los sistemas de agua potable. Precisamente esta última mencionada corresponde a la materia del recurso de revisión.</w:t>
      </w:r>
    </w:p>
    <w:p w:rsidR="00000000" w:rsidDel="00000000" w:rsidP="00000000" w:rsidRDefault="00000000" w:rsidRPr="00000000" w14:paraId="000000CA">
      <w:pPr>
        <w:spacing w:before="240" w:line="360" w:lineRule="auto"/>
        <w:ind w:left="567" w:right="843" w:firstLine="0"/>
        <w:jc w:val="center"/>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SECCIÓN SEGUNDA</w:t>
      </w:r>
    </w:p>
    <w:p w:rsidR="00000000" w:rsidDel="00000000" w:rsidP="00000000" w:rsidRDefault="00000000" w:rsidRPr="00000000" w14:paraId="000000CB">
      <w:pPr>
        <w:spacing w:before="240" w:line="360" w:lineRule="auto"/>
        <w:ind w:left="567" w:right="843" w:firstLine="0"/>
        <w:jc w:val="center"/>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DE LAS ATRIBUCIONES Y FUNCIONES DE LA DIRECCIÓN DE CONSTRUCCIÓN Y OPERACIÓN HÍDRAULICA</w:t>
      </w:r>
    </w:p>
    <w:p w:rsidR="00000000" w:rsidDel="00000000" w:rsidP="00000000" w:rsidRDefault="00000000" w:rsidRPr="00000000" w14:paraId="000000CC">
      <w:pPr>
        <w:spacing w:before="240"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65.</w:t>
      </w:r>
      <w:r w:rsidDel="00000000" w:rsidR="00000000" w:rsidRPr="00000000">
        <w:rPr>
          <w:rFonts w:ascii="Palatino Linotype" w:cs="Palatino Linotype" w:eastAsia="Palatino Linotype" w:hAnsi="Palatino Linotype"/>
          <w:i w:val="1"/>
          <w:iCs w:val="1"/>
          <w:sz w:val="22"/>
          <w:szCs w:val="22"/>
          <w:rtl w:val="0"/>
        </w:rPr>
        <w:t xml:space="preserve"> Estará a cargo de un titular, cuyo puesto se denominará “Director de Construcción y Operación Hidráulica” quien responderá directamente del desempeño de sus funciones a la dirección general y contará con las siguientes funciones y atribuciones:</w:t>
      </w:r>
    </w:p>
    <w:p w:rsidR="00000000" w:rsidDel="00000000" w:rsidP="00000000" w:rsidRDefault="00000000" w:rsidRPr="00000000" w14:paraId="000000CD">
      <w:pPr>
        <w:spacing w:before="240"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Planear, ejecutar y </w:t>
      </w:r>
      <w:r w:rsidDel="00000000" w:rsidR="00000000" w:rsidRPr="00000000">
        <w:rPr>
          <w:rFonts w:ascii="Palatino Linotype" w:cs="Palatino Linotype" w:eastAsia="Palatino Linotype" w:hAnsi="Palatino Linotype"/>
          <w:i w:val="1"/>
          <w:iCs w:val="1"/>
          <w:sz w:val="22"/>
          <w:szCs w:val="22"/>
          <w:u w:val="single"/>
          <w:rtl w:val="0"/>
        </w:rPr>
        <w:t xml:space="preserve">supervisar las actividades de operación y mantenimiento de los sistemas de agua potable, drenaje sanitario y agua residual tratada en el territorio del municipio de Ecatepec de Morelos</w:t>
      </w:r>
      <w:r w:rsidDel="00000000" w:rsidR="00000000" w:rsidRPr="00000000">
        <w:rPr>
          <w:rFonts w:ascii="Palatino Linotype" w:cs="Palatino Linotype" w:eastAsia="Palatino Linotype" w:hAnsi="Palatino Linotype"/>
          <w:i w:val="1"/>
          <w:iCs w:val="1"/>
          <w:sz w:val="22"/>
          <w:szCs w:val="22"/>
          <w:rtl w:val="0"/>
        </w:rPr>
        <w:t xml:space="preserve">, gestionando la aprobación de los recursos necesarios para cumplir con los objetivos operativos.</w:t>
      </w:r>
    </w:p>
    <w:p w:rsidR="00000000" w:rsidDel="00000000" w:rsidP="00000000" w:rsidRDefault="00000000" w:rsidRPr="00000000" w14:paraId="000000CE">
      <w:pPr>
        <w:spacing w:before="240" w:line="360" w:lineRule="auto"/>
        <w:ind w:left="567" w:right="843"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 Aplicar las políticas, normas y lineamientos técnicos que regulen el funcionamiento de los sistemas de agua potable, además de operar y mantener las redes primarias y secundarias para garantizar el suministro de agua y el cumplimiento del programa de recuperación de caudales.</w:t>
      </w:r>
    </w:p>
    <w:p w:rsidR="00000000" w:rsidDel="00000000" w:rsidP="00000000" w:rsidRDefault="00000000" w:rsidRPr="00000000" w14:paraId="000000CF">
      <w:pPr>
        <w:spacing w:line="360" w:lineRule="auto"/>
        <w:ind w:right="99"/>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lo anterior, se advierten atribuciones del Sujeto Obligado a realizar revisiones a las tomas de agua potable; en este sentido se advierte que la Unidad de Transparencia turnó la solicitud de información a la Unidad administrativa competente, situación que nos lleva a determinar que la Unidad de Transparencia siguió el procedimiento establecido en la Ley de Transparencia y Acceso a la Información Pública del Estado de México y Municipios. </w:t>
      </w: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 mayor abundamiento, conviene indicar que los Sujetos Obligados deben seguir el procedimiento para la atención a las solicitudes de acceso a la información, establecido en los artículos 151, 159, 160, 162, 163, 164, 165 y 166, de la Ley de Transparencia y Acceso a la Información Pública del Estado de México y Municipios, el cual es el siguiente:</w:t>
      </w: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tl w:val="0"/>
        </w:rPr>
        <w:br w:type="textWrapping"/>
      </w:r>
    </w:p>
    <w:p w:rsidR="00000000" w:rsidDel="00000000" w:rsidP="00000000" w:rsidRDefault="00000000" w:rsidRPr="00000000" w14:paraId="000000D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Las Unidades de Transparencia de los Sujetos Obligados deben garantizar las medidas y condiciones de accesibilidad para que toda persona puede ejercer el derecho de acceso a la información; por lo que, son las responsables de hacer las notificaciones correspondientes, además de llevar a cabo de todas las gestiones necesarias para facilitar el acceso de la información;</w:t>
      </w: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Los Sujetos Obligados podrán requerirle a los Solicitantes, que complementen, corrijan o amplíen su solicitud de información, cuando resulten los datos proporcionados insuficientes, incorrectos, incompletos o erróneos; solicitar dicha aclaración, interrumpirá el plazo para dar respuesta y comenzará a computarse el día siguiente al desahogo de esta;</w:t>
      </w: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Las respuestas a los requerimientos informativos deberán notificarse al interesado en el menor tiempo posible, que no podrá exceder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quince días, contados a partir del día siguiente a la presentación de ésta.</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Excepcionalmente, el plazo referido podrá ampliarse por siete días hábiles más, cuando existan razones fundadas y motivadas, a través del Comité de Transparencia;</w:t>
      </w: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1"/>
          <w:bCs w:val="1"/>
          <w:i w:val="0"/>
          <w:iCs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tl w:val="0"/>
        </w:rPr>
        <w:t xml:space="preserve">Las Unidades de Transparencia garantizarán que las solicitudes se turnen a todas las áreas competentes que cuenten con la información o deban tenerla de acuerdo con sus facultades, funciones y atribuciones, para que realicen una búsqueda exhaustiva y razonable de la documentación solicitada, con el fin de que proporcionen las expresiones documentales que se encuentren en sus archivos o que estén constreñidos a elaborar;</w:t>
      </w: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1"/>
          <w:bCs w:val="1"/>
          <w:i w:val="0"/>
          <w:iCs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El acceso se dará en la modalidad de entrega y en su caso, de envío elegido por el solicitante, cuando no pueda entregarse en dicha modalidad, el Sujeto Obligado deberá ofrecer otras; por lo cual, deberá fundamentar y motivar la necesidad de modificar el medio de entrega, y</w:t>
      </w: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1"/>
          <w:bCs w:val="1"/>
          <w:i w:val="0"/>
          <w:iCs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Las Unidades de Transparencia, tendrán disponible la información requerida durante un plazo mínimo de sesenta días hábiles, contados a partir de que el solicitante hubiere realizado, en su caso, el pago respectivo, el cual deberá efectuarse en un plazo no mayor a treinta días hábiles; por lo que, una vez transcurrida dicha temporalidad, los Sujetos Obligados darán por concluida la solicitud y procederán de ser el caso, a la destrucción del material.</w:t>
      </w: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virtud de lo anterior,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tl w:val="0"/>
        </w:rPr>
        <w:t xml:space="preserve">el procedimiento de búsqueda de la información se tiene por atendido. </w:t>
      </w: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Ahora bien, en cuanto hace al análisis de los motivos de inconformidad hechos valer por la parte Recurrente, es menester señalar que, la unidad administrativa competente señaló en respuesta que, no se cuenta con ningún informe y/o equivalente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tl w:val="0"/>
        </w:rPr>
        <w:t xml:space="preserve">de supervisiones de SAPASE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derivado que la obra no está a cargo de dicho Organismo, por ser obra nueva en informe justificado ratifica su respuesta en el sentido de que la obra continua en proceso de ejecución y se encuentra a cago del Ayuntamiento de Ecatepec, por lo que al no haberse concluido, ni entregado formalmente no se cuenta con información relacionada con la misma. </w:t>
      </w: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Referido lo anterior, este Organismo Garante considera que, debido a que el Sujeto Obligado señaló que,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tl w:val="0"/>
        </w:rPr>
        <w:t xml:space="preserve">llevó a cabo una búsqueda exhaustiva y razonable y, no se encontró documento alguno que dé cuenta de la información solicitada</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por no haber generado informes a la fecha de la solicitud por parte del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tl w:val="0"/>
        </w:rPr>
        <w:t xml:space="preserve">SAPASE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nos encontramos ante la presencia de un denominado hecho negativo. </w:t>
      </w: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Esto es que, es obvio que la información no puede fácticamente obrar en los archivos del Sujeto Obligado, ya que no puede probarse por ser lógica y materialmente imposible.</w:t>
      </w: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Asimismo, no se trata de un caso por el cual la negación del hecho implique la afirmación del mismo, simplemente se está ante una notoria y evidente inexistencia fáctica de la información solicitada.</w:t>
      </w: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Encontrándonos ante un hecho negativo, destacando entonces que el Pleno de este Organismo Garante, ha sostenido que ante la presencia de un hecho negativo, resultaría innecesaria una declaratoria de inexistencia en términos de los artículos 19, 169 y 170 de la Ley de Transparencia y Acceso a la Información Pública del Estado de México y Municipios, y ante una hecho negativo resulta aplicable la siguiente tesis: </w:t>
      </w: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6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HECHOS NEGATIVOS, NO SON SUSCEPTIBLES DE DEMOSTRACIÓN.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Tratándose de un hecho negativo, el Juez no tiene por qué invocar prueba alguna de la que se desprenda, ya que es bien sabido que esta clase de hechos no son susceptibles de demostración.</w:t>
      </w: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lo anterior, se considera que el requerimiento de información se tiene por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atendido.</w:t>
      </w: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Finalmente, de conformidad con el artículo 12 de la Ley de Transparencia y Acceso a la Información Pública del Estado de México y Municipios, los sujetos obligados sólo deberán proporcionar la información que obre en sus archivos, en el estado en que esta se encuentre, asimismo, se precisa que conforme a lo establecido en el Criterio orientador 31/10 emitido por el entonces Instituto Nacional de Transparencia, Acceso a la Información Pública y Protección de Datos Personales INAI (anteriormente IFAI) que se procede a citar a continuación:</w:t>
      </w: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56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“El Instituto Federal de Acceso a la Información y Protección de Datos no cuenta con facultades para pronunciarse respecto de la veracidad de los documentos proporcionados por los sujetos obligados.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Instituto Federal de Acceso a la Información y Protección de Datos es un órgano de la Administración Pública Federal con autonomía operativa, presupuestaria y de decisión, encargado de promover y difundir el ejercicio del derecho de acceso a la información; resolver sobre la negativa de las solicitudes de acceso a la información; y proteger los datos personales en poder de las dependencias y entidades. Sin embargo, no está facultado para pronunciarse sobre la veracidad de la información proporcionada por las autoridades en respuesta a las solicitudes de información que les presentan los particulares, en virtud de que en los artículos 49 y 50 de la Ley Federal de Transparencia y Acceso a la Información Pública Gubernamental no se prevé una causal que permita al Instituto Federal de Acceso a la Información y Protección de Datos conocer, vía recurso revisión, al respecto.</w:t>
      </w: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lo que, este Organismo Garante carece de facultades para dudar de la veracidad de la información que el Sujeto Obligado puso a disposición de la parte Recurrente</w:t>
      </w: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 así como, en mérito de lo expuesto en líneas anteriores, resultan infundadas las razones o motivos de inconformidad hechos valer por la parte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dentro del recurso de revisión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06394/INFOEM/IP/RR/2026</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por ello, y con fundamento en la fracción II del numeral 186 de la Ley de Transparencia y Acceso a la Información Pública del Estado de México y Municipios se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Confirma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 respuesta del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 la solicitud de información</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Así, con fundamento en lo prescrito en los artículos 5 párrafos cuadragésimo cuarto, cuadragésimo quinto y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de Transparencia y Acceso a la Información Pública del Estado de México y Municipios, este Pleno:</w:t>
      </w: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 E S U E L V E</w:t>
      </w: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Primero.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Resultan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Infundados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los motivos de inconformidad hechos valer por la parte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en el Recurso de Revisión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06394/INFOEM/IP/RR/2026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lo que, en términos del</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 Considerando Cuarto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 esta resolución, se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Confirma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 respuesta emitida por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Segundo. Notifíquese vía Sistema de Acceso a la Información Mexiquense (SAIMEX)</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al Titular de la Unidad de Transparencia del Sujeto Obligado, para su conocimiento.</w:t>
      </w: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Tercero. Notifíquese vía Sistema de Acceso a la Información Mexiquense (SAIMEX)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 presente resolución a la parte recurrente, así como, que de conformidad con lo establecido en el artículo 196 de la Ley de Transparencia y Acceso a la Información Pública del Estado de México y Municipios, podrá impugnarla vía Juicio de Amparo en los términos de las leyes aplicables.</w:t>
      </w: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SHARON CRISTINA MORALES MARTÍNEZ, LUIS GUSTAVO PARRA NORIEGA Y GUADALUPE RAMÍREZ PEÑA; EN LA VIGÉSIMA NOVENA SESIÓN ORDINARIA CELEBRADA EL DIECINUEVE DE AGOSTO DE DOS MIL VEINTISÉIS, ANTE EL SECRETARIO TÉCNICO DEL PLENO ALEXIS TAPIA RAMÍREZ.</w:t>
      </w:r>
      <w:r w:rsidDel="00000000" w:rsidR="00000000" w:rsidRPr="00000000">
        <w:rPr>
          <w:rtl w:val="0"/>
        </w:rPr>
      </w:r>
    </w:p>
    <w:p w:rsidR="00000000" w:rsidDel="00000000" w:rsidP="00000000" w:rsidRDefault="00000000" w:rsidRPr="00000000" w14:paraId="00000103">
      <w:pPr>
        <w:spacing w:before="240"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4">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5">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6">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tbl>
      <w:tblPr>
        <w:tblStyle w:val="Table1"/>
        <w:tblW w:w="9284.0" w:type="dxa"/>
        <w:jc w:val="left"/>
        <w:tblLayout w:type="fixed"/>
        <w:tblLook w:val="0400"/>
      </w:tblPr>
      <w:tblGrid>
        <w:gridCol w:w="4282"/>
        <w:gridCol w:w="5002"/>
        <w:tblGridChange w:id="0">
          <w:tblGrid>
            <w:gridCol w:w="4282"/>
            <w:gridCol w:w="5002"/>
          </w:tblGrid>
        </w:tblGridChange>
      </w:tblGrid>
      <w:tr>
        <w:trPr>
          <w:cantSplit w:val="0"/>
          <w:trHeight w:val="2342" w:hRule="atLeast"/>
          <w:tblHeader w:val="0"/>
        </w:trPr>
        <w:tc>
          <w:tcPr>
            <w:gridSpan w:val="2"/>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c>
          <w:tcPr>
            <w:vAlign w:val="bottom"/>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0"/>
          <w:trHeight w:val="281" w:hRule="atLeast"/>
          <w:tblHeader w:val="0"/>
        </w:trPr>
        <w:tc>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c>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0"/>
          <w:trHeight w:val="317" w:hRule="atLeast"/>
          <w:tblHeader w:val="0"/>
        </w:trPr>
        <w:tc>
          <w:tcPr>
            <w:gridSpan w:val="2"/>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0"/>
                <w:bCs w:val="0"/>
                <w:i w:val="0"/>
                <w:iCs w:val="0"/>
                <w:smallCaps w:val="0"/>
                <w:strike w:val="0"/>
                <w:color w:val="000000"/>
                <w:sz w:val="23"/>
                <w:szCs w:val="23"/>
                <w:u w:val="none"/>
                <w:shd w:fill="auto" w:val="clear"/>
                <w:vertAlign w:val="baseline"/>
              </w:rPr>
            </w:pPr>
            <w:r w:rsidDel="00000000" w:rsidR="00000000" w:rsidRPr="00000000">
              <w:rPr>
                <w:rtl w:val="0"/>
              </w:rPr>
            </w:r>
          </w:p>
        </w:tc>
      </w:tr>
    </w:tbl>
    <w:p w:rsidR="00000000" w:rsidDel="00000000" w:rsidP="00000000" w:rsidRDefault="00000000" w:rsidRPr="00000000" w14:paraId="0000010F">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sectPr>
      <w:headerReference r:id="rId15" w:type="default"/>
      <w:headerReference r:id="rId16" w:type="first"/>
      <w:footerReference r:id="rId17" w:type="default"/>
      <w:footerReference r:id="rId18" w:type="first"/>
      <w:pgSz w:h="15840" w:w="12240" w:orient="portrait"/>
      <w:pgMar w:bottom="1701" w:top="2041" w:left="1701" w:right="147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pBdr>
        <w:top w:space="0" w:sz="0" w:val="nil"/>
        <w:left w:space="0" w:sz="0" w:val="nil"/>
        <w:bottom w:space="0" w:sz="0" w:val="nil"/>
        <w:right w:space="0" w:sz="0" w:val="nil"/>
        <w:between w:space="0" w:sz="0" w:val="nil"/>
      </w:pBdr>
      <w:tabs>
        <w:tab w:val="center" w:leader="none" w:pos="4419"/>
        <w:tab w:val="right" w:leader="none" w:pos="8838"/>
      </w:tabs>
      <w:jc w:val="right"/>
      <w:rPr>
        <w:color w:val="000000"/>
      </w:rPr>
    </w:pPr>
    <w:r w:rsidDel="00000000" w:rsidR="00000000" w:rsidRPr="00000000">
      <w:rPr>
        <w:color w:val="000000"/>
        <w:rtl w:val="0"/>
      </w:rPr>
      <w:t xml:space="preserve">Página </w:t>
    </w:r>
    <w:r w:rsidDel="00000000" w:rsidR="00000000" w:rsidRPr="00000000">
      <w:rPr>
        <w:b w:val="1"/>
        <w:bCs w:val="1"/>
        <w:color w:val="000000"/>
      </w:rPr>
      <w:fldChar w:fldCharType="begin"/>
      <w:instrText xml:space="preserve">PAGE</w:instrText>
      <w:fldChar w:fldCharType="separate"/>
      <w:fldChar w:fldCharType="end"/>
    </w:r>
    <w:r w:rsidDel="00000000" w:rsidR="00000000" w:rsidRPr="00000000">
      <w:rPr>
        <w:color w:val="000000"/>
        <w:rtl w:val="0"/>
      </w:rPr>
      <w:t xml:space="preserve"> de </w:t>
    </w:r>
    <w:r w:rsidDel="00000000" w:rsidR="00000000" w:rsidRPr="00000000">
      <w:rPr>
        <w:b w:val="1"/>
        <w:bCs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pBdr>
        <w:top w:space="0" w:sz="0" w:val="nil"/>
        <w:left w:space="0" w:sz="0" w:val="nil"/>
        <w:bottom w:space="0" w:sz="0" w:val="nil"/>
        <w:right w:space="0" w:sz="0" w:val="nil"/>
        <w:between w:space="0" w:sz="0" w:val="nil"/>
      </w:pBdr>
      <w:tabs>
        <w:tab w:val="center" w:leader="none" w:pos="4419"/>
        <w:tab w:val="right" w:leader="none" w:pos="8838"/>
      </w:tabs>
      <w:jc w:val="right"/>
      <w:rPr>
        <w:color w:val="000000"/>
      </w:rPr>
    </w:pPr>
    <w:r w:rsidDel="00000000" w:rsidR="00000000" w:rsidRPr="00000000">
      <w:rPr>
        <w:color w:val="000000"/>
        <w:rtl w:val="0"/>
      </w:rPr>
      <w:t xml:space="preserve">Página </w:t>
    </w:r>
    <w:r w:rsidDel="00000000" w:rsidR="00000000" w:rsidRPr="00000000">
      <w:rPr>
        <w:b w:val="1"/>
        <w:bCs w:val="1"/>
        <w:color w:val="000000"/>
      </w:rPr>
      <w:fldChar w:fldCharType="begin"/>
      <w:instrText xml:space="preserve">PAGE</w:instrText>
      <w:fldChar w:fldCharType="separate"/>
      <w:fldChar w:fldCharType="end"/>
    </w:r>
    <w:r w:rsidDel="00000000" w:rsidR="00000000" w:rsidRPr="00000000">
      <w:rPr>
        <w:color w:val="000000"/>
        <w:rtl w:val="0"/>
      </w:rPr>
      <w:t xml:space="preserve"> de </w:t>
    </w:r>
    <w:r w:rsidDel="00000000" w:rsidR="00000000" w:rsidRPr="00000000">
      <w:rPr>
        <w:b w:val="1"/>
        <w:bCs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10">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hyperlink r:id="rId1">
        <w:r w:rsidDel="00000000" w:rsidR="00000000" w:rsidRPr="00000000">
          <w:rPr>
            <w:rFonts w:ascii="Calibri" w:cs="Calibri" w:eastAsia="Calibri" w:hAnsi="Calibri"/>
            <w:color w:val="0563c1"/>
            <w:sz w:val="20"/>
            <w:szCs w:val="20"/>
            <w:u w:val="single"/>
            <w:rtl w:val="0"/>
          </w:rPr>
          <w:t xml:space="preserve">https://ecatepec.gob.mx/cabildo-de-ecatepec-aprueba-actualizacion-del-programa-anual-de-obra-publica/</w:t>
        </w:r>
      </w:hyperlink>
      <w:r w:rsidDel="00000000" w:rsidR="00000000" w:rsidRPr="00000000">
        <w:rPr>
          <w:rFonts w:ascii="Calibri" w:cs="Calibri" w:eastAsia="Calibri" w:hAnsi="Calibri"/>
          <w:color w:val="000000"/>
          <w:sz w:val="20"/>
          <w:szCs w:val="20"/>
          <w:rtl w:val="0"/>
        </w:rPr>
        <w:t xml:space="preserve"> consultada el 27/05/2026</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-876299</wp:posOffset>
          </wp:positionH>
          <wp:positionV relativeFrom="paragraph">
            <wp:posOffset>-401319</wp:posOffset>
          </wp:positionV>
          <wp:extent cx="7809876" cy="10165823"/>
          <wp:effectExtent b="0" l="0" r="0" t="0"/>
          <wp:wrapNone/>
          <wp:docPr id="1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09876" cy="10165823"/>
                  </a:xfrm>
                  <a:prstGeom prst="rect"/>
                  <a:ln/>
                </pic:spPr>
              </pic:pic>
            </a:graphicData>
          </a:graphic>
        </wp:anchor>
      </w:drawing>
    </w:r>
  </w:p>
  <w:tbl>
    <w:tblPr>
      <w:tblStyle w:val="Table2"/>
      <w:tblW w:w="5603.0" w:type="dxa"/>
      <w:jc w:val="left"/>
      <w:tblInd w:w="3611.0" w:type="dxa"/>
      <w:tblLayout w:type="fixed"/>
      <w:tblLook w:val="0400"/>
    </w:tblPr>
    <w:tblGrid>
      <w:gridCol w:w="2551"/>
      <w:gridCol w:w="3052"/>
      <w:tblGridChange w:id="0">
        <w:tblGrid>
          <w:gridCol w:w="2551"/>
          <w:gridCol w:w="3052"/>
        </w:tblGrid>
      </w:tblGridChange>
    </w:tblGrid>
    <w:tr>
      <w:trPr>
        <w:cantSplit w:val="0"/>
        <w:tblHeader w:val="0"/>
      </w:trPr>
      <w:tc>
        <w:tcPr>
          <w:vAlign w:val="center"/>
        </w:tcPr>
        <w:p w:rsidR="00000000" w:rsidDel="00000000" w:rsidP="00000000" w:rsidRDefault="00000000" w:rsidRPr="00000000" w14:paraId="00000112">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2"/>
              <w:szCs w:val="22"/>
            </w:rPr>
          </w:pPr>
          <w:r w:rsidDel="00000000" w:rsidR="00000000" w:rsidRPr="00000000">
            <w:rPr>
              <w:rFonts w:ascii="Palatino Linotype" w:cs="Palatino Linotype" w:eastAsia="Palatino Linotype" w:hAnsi="Palatino Linotype"/>
              <w:b w:val="1"/>
              <w:bCs w:val="1"/>
              <w:color w:val="000000"/>
              <w:sz w:val="22"/>
              <w:szCs w:val="22"/>
              <w:rtl w:val="0"/>
            </w:rPr>
            <w:t xml:space="preserve">Recurso de Revisión:</w:t>
          </w:r>
        </w:p>
        <w:p w:rsidR="00000000" w:rsidDel="00000000" w:rsidP="00000000" w:rsidRDefault="00000000" w:rsidRPr="00000000" w14:paraId="00000113">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2"/>
              <w:szCs w:val="22"/>
            </w:rPr>
          </w:pPr>
          <w:r w:rsidDel="00000000" w:rsidR="00000000" w:rsidRPr="00000000">
            <w:rPr>
              <w:rtl w:val="0"/>
            </w:rPr>
          </w:r>
        </w:p>
      </w:tc>
      <w:tc>
        <w:tcPr>
          <w:vAlign w:val="center"/>
        </w:tcPr>
        <w:p w:rsidR="00000000" w:rsidDel="00000000" w:rsidP="00000000" w:rsidRDefault="00000000" w:rsidRPr="00000000" w14:paraId="00000114">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2"/>
              <w:szCs w:val="22"/>
            </w:rPr>
          </w:pPr>
          <w:r w:rsidDel="00000000" w:rsidR="00000000" w:rsidRPr="00000000">
            <w:rPr>
              <w:rFonts w:ascii="Palatino Linotype" w:cs="Palatino Linotype" w:eastAsia="Palatino Linotype" w:hAnsi="Palatino Linotype"/>
              <w:b w:val="1"/>
              <w:bCs w:val="1"/>
              <w:sz w:val="22"/>
              <w:szCs w:val="22"/>
              <w:rtl w:val="0"/>
            </w:rPr>
            <w:t xml:space="preserve">06394/</w:t>
          </w:r>
          <w:r w:rsidDel="00000000" w:rsidR="00000000" w:rsidRPr="00000000">
            <w:rPr>
              <w:rFonts w:ascii="Palatino Linotype" w:cs="Palatino Linotype" w:eastAsia="Palatino Linotype" w:hAnsi="Palatino Linotype"/>
              <w:b w:val="1"/>
              <w:bCs w:val="1"/>
              <w:color w:val="000000"/>
              <w:sz w:val="22"/>
              <w:szCs w:val="22"/>
              <w:rtl w:val="0"/>
            </w:rPr>
            <w:t xml:space="preserve">INFOEM/IP/RR/2026</w:t>
          </w:r>
        </w:p>
      </w:tc>
    </w:tr>
    <w:tr>
      <w:trPr>
        <w:cantSplit w:val="0"/>
        <w:trHeight w:val="217" w:hRule="atLeast"/>
        <w:tblHeader w:val="0"/>
      </w:trPr>
      <w:tc>
        <w:tcPr>
          <w:vAlign w:val="center"/>
        </w:tcPr>
        <w:p w:rsidR="00000000" w:rsidDel="00000000" w:rsidP="00000000" w:rsidRDefault="00000000" w:rsidRPr="00000000" w14:paraId="00000115">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2"/>
              <w:szCs w:val="22"/>
            </w:rPr>
          </w:pPr>
          <w:r w:rsidDel="00000000" w:rsidR="00000000" w:rsidRPr="00000000">
            <w:rPr>
              <w:rFonts w:ascii="Palatino Linotype" w:cs="Palatino Linotype" w:eastAsia="Palatino Linotype" w:hAnsi="Palatino Linotype"/>
              <w:b w:val="1"/>
              <w:bCs w:val="1"/>
              <w:color w:val="000000"/>
              <w:sz w:val="22"/>
              <w:szCs w:val="22"/>
              <w:rtl w:val="0"/>
            </w:rPr>
            <w:t xml:space="preserve">Sujeto obligado:</w:t>
          </w:r>
        </w:p>
      </w:tc>
      <w:tc>
        <w:tcPr>
          <w:vAlign w:val="center"/>
        </w:tcPr>
        <w:p w:rsidR="00000000" w:rsidDel="00000000" w:rsidP="00000000" w:rsidRDefault="00000000" w:rsidRPr="00000000" w14:paraId="00000116">
          <w:pPr>
            <w:pBdr>
              <w:top w:space="0" w:sz="0" w:val="nil"/>
              <w:left w:space="0" w:sz="0" w:val="nil"/>
              <w:bottom w:space="0" w:sz="0" w:val="nil"/>
              <w:right w:space="0" w:sz="0" w:val="nil"/>
              <w:between w:space="0" w:sz="0" w:val="nil"/>
            </w:pBdr>
            <w:tabs>
              <w:tab w:val="center" w:leader="none" w:pos="4419"/>
              <w:tab w:val="right" w:leader="none" w:pos="8838"/>
            </w:tabs>
            <w:ind w:right="168"/>
            <w:jc w:val="both"/>
            <w:rPr>
              <w:rFonts w:ascii="Palatino Linotype" w:cs="Palatino Linotype" w:eastAsia="Palatino Linotype" w:hAnsi="Palatino Linotype"/>
              <w:b w:val="1"/>
              <w:bCs w:val="1"/>
              <w:color w:val="000000"/>
              <w:sz w:val="22"/>
              <w:szCs w:val="22"/>
            </w:rPr>
          </w:pPr>
          <w:r w:rsidDel="00000000" w:rsidR="00000000" w:rsidRPr="00000000">
            <w:rPr>
              <w:rFonts w:ascii="Palatino Linotype" w:cs="Palatino Linotype" w:eastAsia="Palatino Linotype" w:hAnsi="Palatino Linotype"/>
              <w:b w:val="1"/>
              <w:bCs w:val="1"/>
              <w:color w:val="000000"/>
              <w:sz w:val="22"/>
              <w:szCs w:val="22"/>
              <w:rtl w:val="0"/>
            </w:rPr>
            <w:t xml:space="preserve">Sistema de Agua Potable Alcantarillado y Saneamiento de Ecatepec de Morelos</w:t>
          </w:r>
        </w:p>
      </w:tc>
    </w:tr>
    <w:tr>
      <w:trPr>
        <w:cantSplit w:val="0"/>
        <w:tblHeader w:val="0"/>
      </w:trPr>
      <w:tc>
        <w:tcPr>
          <w:vAlign w:val="center"/>
        </w:tcPr>
        <w:p w:rsidR="00000000" w:rsidDel="00000000" w:rsidP="00000000" w:rsidRDefault="00000000" w:rsidRPr="00000000" w14:paraId="00000117">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2"/>
              <w:szCs w:val="22"/>
            </w:rPr>
          </w:pPr>
          <w:r w:rsidDel="00000000" w:rsidR="00000000" w:rsidRPr="00000000">
            <w:rPr>
              <w:rFonts w:ascii="Palatino Linotype" w:cs="Palatino Linotype" w:eastAsia="Palatino Linotype" w:hAnsi="Palatino Linotype"/>
              <w:b w:val="1"/>
              <w:bCs w:val="1"/>
              <w:color w:val="000000"/>
              <w:sz w:val="22"/>
              <w:szCs w:val="22"/>
              <w:rtl w:val="0"/>
            </w:rPr>
            <w:t xml:space="preserve">Comisionada ponente:</w:t>
          </w:r>
        </w:p>
      </w:tc>
      <w:tc>
        <w:tcPr>
          <w:vAlign w:val="center"/>
        </w:tcPr>
        <w:p w:rsidR="00000000" w:rsidDel="00000000" w:rsidP="00000000" w:rsidRDefault="00000000" w:rsidRPr="00000000" w14:paraId="00000118">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2"/>
              <w:szCs w:val="22"/>
            </w:rPr>
          </w:pPr>
          <w:r w:rsidDel="00000000" w:rsidR="00000000" w:rsidRPr="00000000">
            <w:rPr>
              <w:rFonts w:ascii="Palatino Linotype" w:cs="Palatino Linotype" w:eastAsia="Palatino Linotype" w:hAnsi="Palatino Linotype"/>
              <w:b w:val="1"/>
              <w:bCs w:val="1"/>
              <w:color w:val="000000"/>
              <w:sz w:val="22"/>
              <w:szCs w:val="22"/>
              <w:rtl w:val="0"/>
            </w:rPr>
            <w:t xml:space="preserve">Guadalupe Ramírez Peña</w:t>
          </w:r>
        </w:p>
      </w:tc>
    </w:tr>
  </w:tbl>
  <w:p w:rsidR="00000000" w:rsidDel="00000000" w:rsidP="00000000" w:rsidRDefault="00000000" w:rsidRPr="00000000" w14:paraId="00000119">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rPr>
        <w:rFonts w:ascii="Palatino Linotype" w:cs="Palatino Linotype" w:eastAsia="Palatino Linotype" w:hAnsi="Palatino Linotype"/>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-929001</wp:posOffset>
          </wp:positionH>
          <wp:positionV relativeFrom="paragraph">
            <wp:posOffset>-644521</wp:posOffset>
          </wp:positionV>
          <wp:extent cx="7809865" cy="10165715"/>
          <wp:effectExtent b="0" l="0" r="0" t="0"/>
          <wp:wrapNone/>
          <wp:docPr id="1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3"/>
      <w:tblW w:w="5461.0" w:type="dxa"/>
      <w:jc w:val="left"/>
      <w:tblInd w:w="3611.0" w:type="dxa"/>
      <w:tblLayout w:type="fixed"/>
      <w:tblLook w:val="0400"/>
    </w:tblPr>
    <w:tblGrid>
      <w:gridCol w:w="2343"/>
      <w:gridCol w:w="3118"/>
      <w:tblGridChange w:id="0">
        <w:tblGrid>
          <w:gridCol w:w="2343"/>
          <w:gridCol w:w="3118"/>
        </w:tblGrid>
      </w:tblGridChange>
    </w:tblGrid>
    <w:tr>
      <w:trPr>
        <w:cantSplit w:val="0"/>
        <w:tblHeader w:val="0"/>
      </w:trPr>
      <w:tc>
        <w:tcPr>
          <w:vAlign w:val="center"/>
        </w:tcPr>
        <w:p w:rsidR="00000000" w:rsidDel="00000000" w:rsidP="00000000" w:rsidRDefault="00000000" w:rsidRPr="00000000" w14:paraId="0000011B">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Recurso de Revisión:</w:t>
          </w:r>
        </w:p>
        <w:p w:rsidR="00000000" w:rsidDel="00000000" w:rsidP="00000000" w:rsidRDefault="00000000" w:rsidRPr="00000000" w14:paraId="0000011C">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tl w:val="0"/>
            </w:rPr>
          </w:r>
        </w:p>
      </w:tc>
      <w:tc>
        <w:tcPr>
          <w:vAlign w:val="center"/>
        </w:tcPr>
        <w:p w:rsidR="00000000" w:rsidDel="00000000" w:rsidP="00000000" w:rsidRDefault="00000000" w:rsidRPr="00000000" w14:paraId="0000011D">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sz w:val="22"/>
              <w:szCs w:val="22"/>
              <w:rtl w:val="0"/>
            </w:rPr>
            <w:t xml:space="preserve">06394/</w:t>
          </w:r>
          <w:r w:rsidDel="00000000" w:rsidR="00000000" w:rsidRPr="00000000">
            <w:rPr>
              <w:rFonts w:ascii="Palatino Linotype" w:cs="Palatino Linotype" w:eastAsia="Palatino Linotype" w:hAnsi="Palatino Linotype"/>
              <w:b w:val="1"/>
              <w:bCs w:val="1"/>
              <w:color w:val="000000"/>
              <w:sz w:val="22"/>
              <w:szCs w:val="22"/>
              <w:rtl w:val="0"/>
            </w:rPr>
            <w:t xml:space="preserve">INFOEM/IP/RR/2026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E">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Recurrente:</w:t>
          </w:r>
        </w:p>
      </w:tc>
      <w:tc>
        <w:tcPr>
          <w:vAlign w:val="center"/>
        </w:tcPr>
        <w:p w:rsidR="00000000" w:rsidDel="00000000" w:rsidP="00000000" w:rsidRDefault="00000000" w:rsidRPr="00000000" w14:paraId="0000011F">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XXXXX XXX XXXXXXX XXXXXX XXXXXXX </w:t>
          </w:r>
        </w:p>
      </w:tc>
    </w:tr>
    <w:tr>
      <w:trPr>
        <w:cantSplit w:val="0"/>
        <w:trHeight w:val="152" w:hRule="atLeast"/>
        <w:tblHeader w:val="0"/>
      </w:trPr>
      <w:tc>
        <w:tcPr>
          <w:vAlign w:val="center"/>
        </w:tcPr>
        <w:p w:rsidR="00000000" w:rsidDel="00000000" w:rsidP="00000000" w:rsidRDefault="00000000" w:rsidRPr="00000000" w14:paraId="00000120">
          <w:pP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Sujeto obligado:</w:t>
          </w:r>
        </w:p>
        <w:p w:rsidR="00000000" w:rsidDel="00000000" w:rsidP="00000000" w:rsidRDefault="00000000" w:rsidRPr="00000000" w14:paraId="00000121">
          <w:pP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tl w:val="0"/>
            </w:rPr>
          </w:r>
        </w:p>
      </w:tc>
      <w:tc>
        <w:tcPr>
          <w:vAlign w:val="center"/>
        </w:tcPr>
        <w:p w:rsidR="00000000" w:rsidDel="00000000" w:rsidP="00000000" w:rsidRDefault="00000000" w:rsidRPr="00000000" w14:paraId="00000122">
          <w:pPr>
            <w:pBdr>
              <w:top w:space="0" w:sz="0" w:val="nil"/>
              <w:left w:space="0" w:sz="0" w:val="nil"/>
              <w:bottom w:space="0" w:sz="0" w:val="nil"/>
              <w:right w:space="0" w:sz="0" w:val="nil"/>
              <w:between w:space="0" w:sz="0" w:val="nil"/>
            </w:pBdr>
            <w:tabs>
              <w:tab w:val="center" w:leader="none" w:pos="4419"/>
              <w:tab w:val="right" w:leader="none" w:pos="8838"/>
            </w:tabs>
            <w:jc w:val="both"/>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2"/>
              <w:szCs w:val="22"/>
              <w:rtl w:val="0"/>
            </w:rPr>
            <w:t xml:space="preserve">Sistema de Agua Potable Alcantarillado y Saneamiento de Ecatepec de Morelos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23">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Comisionada ponente:</w:t>
          </w:r>
        </w:p>
      </w:tc>
      <w:tc>
        <w:tcPr>
          <w:vAlign w:val="center"/>
        </w:tcPr>
        <w:p w:rsidR="00000000" w:rsidDel="00000000" w:rsidP="00000000" w:rsidRDefault="00000000" w:rsidRPr="00000000" w14:paraId="00000124">
          <w:pPr>
            <w:pBdr>
              <w:top w:space="0" w:sz="0" w:val="nil"/>
              <w:left w:space="0" w:sz="0" w:val="nil"/>
              <w:bottom w:space="0" w:sz="0" w:val="nil"/>
              <w:right w:space="0" w:sz="0" w:val="nil"/>
              <w:between w:space="0" w:sz="0" w:val="nil"/>
            </w:pBdr>
            <w:tabs>
              <w:tab w:val="center" w:leader="none" w:pos="4419"/>
              <w:tab w:val="right" w:leader="none" w:pos="8838"/>
            </w:tabs>
            <w:rPr>
              <w:rFonts w:ascii="Palatino Linotype" w:cs="Palatino Linotype" w:eastAsia="Palatino Linotype" w:hAnsi="Palatino Linotype"/>
              <w:b w:val="1"/>
              <w:bCs w:val="1"/>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Guadalupe Ramírez Peña</w:t>
          </w:r>
        </w:p>
      </w:tc>
    </w:tr>
  </w:tbl>
  <w:p w:rsidR="00000000" w:rsidDel="00000000" w:rsidP="00000000" w:rsidRDefault="00000000" w:rsidRPr="00000000" w14:paraId="00000125">
    <w:pPr>
      <w:rPr>
        <w:color w:val="000000"/>
        <w:sz w:val="22"/>
        <w:szCs w:val="22"/>
      </w:rPr>
    </w:pPr>
    <w:r w:rsidDel="00000000" w:rsidR="00000000" w:rsidRPr="00000000">
      <w:rPr>
        <w:color w:val="000000"/>
        <w:sz w:val="22"/>
        <w:szCs w:val="22"/>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15.0" w:type="dxa"/>
        <w:left w:w="115.0" w:type="dxa"/>
        <w:bottom w:w="15.0" w:type="dxa"/>
        <w:right w:w="115.0" w:type="dxa"/>
      </w:tblCellMar>
    </w:tblPr>
  </w:style>
  <w:style w:type="table" w:styleId="a0" w:customStyle="1">
    <w:basedOn w:val="TableNormal"/>
    <w:tblPr>
      <w:tblStyleRowBandSize w:val="1"/>
      <w:tblStyleColBandSize w:val="1"/>
      <w:tblCellMar>
        <w:top w:w="15.0" w:type="dxa"/>
        <w:left w:w="115.0" w:type="dxa"/>
        <w:bottom w:w="15.0" w:type="dxa"/>
        <w:right w:w="115.0" w:type="dxa"/>
      </w:tblCellMar>
    </w:tblPr>
  </w:style>
  <w:style w:type="paragraph" w:styleId="Encabezado">
    <w:name w:val="header"/>
    <w:basedOn w:val="Normal"/>
    <w:link w:val="EncabezadoCar"/>
    <w:uiPriority w:val="99"/>
    <w:unhideWhenUsed w:val="1"/>
    <w:rsid w:val="006B41C1"/>
    <w:pPr>
      <w:tabs>
        <w:tab w:val="center" w:pos="4419"/>
        <w:tab w:val="right" w:pos="8838"/>
      </w:tabs>
    </w:pPr>
  </w:style>
  <w:style w:type="character" w:styleId="EncabezadoCar" w:customStyle="1">
    <w:name w:val="Encabezado Car"/>
    <w:basedOn w:val="Fuentedeprrafopredeter"/>
    <w:link w:val="Encabezado"/>
    <w:uiPriority w:val="99"/>
    <w:rsid w:val="006B41C1"/>
  </w:style>
  <w:style w:type="paragraph" w:styleId="Piedepgina">
    <w:name w:val="footer"/>
    <w:basedOn w:val="Normal"/>
    <w:link w:val="PiedepginaCar"/>
    <w:uiPriority w:val="99"/>
    <w:unhideWhenUsed w:val="1"/>
    <w:rsid w:val="006B41C1"/>
    <w:pPr>
      <w:tabs>
        <w:tab w:val="center" w:pos="4419"/>
        <w:tab w:val="right" w:pos="8838"/>
      </w:tabs>
    </w:pPr>
  </w:style>
  <w:style w:type="character" w:styleId="PiedepginaCar" w:customStyle="1">
    <w:name w:val="Pie de página Car"/>
    <w:basedOn w:val="Fuentedeprrafopredeter"/>
    <w:link w:val="Piedepgina"/>
    <w:uiPriority w:val="99"/>
    <w:rsid w:val="006B41C1"/>
  </w:style>
  <w:style w:type="paragraph" w:styleId="NormalWeb">
    <w:name w:val="Normal (Web)"/>
    <w:basedOn w:val="Normal"/>
    <w:uiPriority w:val="99"/>
    <w:unhideWhenUsed w:val="1"/>
    <w:rsid w:val="009A6235"/>
    <w:pPr>
      <w:spacing w:after="100" w:afterAutospacing="1" w:before="100" w:beforeAutospacing="1"/>
    </w:pPr>
  </w:style>
  <w:style w:type="paragraph" w:styleId="Sinespaciado">
    <w:name w:val="No Spacing"/>
    <w:aliases w:val="Francesa"/>
    <w:link w:val="SinespaciadoCar"/>
    <w:uiPriority w:val="1"/>
    <w:qFormat w:val="1"/>
    <w:rsid w:val="00350B68"/>
    <w:rPr>
      <w:rFonts w:asciiTheme="minorHAnsi" w:cstheme="minorBidi" w:eastAsiaTheme="minorHAnsi" w:hAnsiTheme="minorHAnsi"/>
      <w:sz w:val="22"/>
      <w:szCs w:val="22"/>
      <w:lang w:eastAsia="en-US"/>
    </w:rPr>
  </w:style>
  <w:style w:type="character" w:styleId="SinespaciadoCar" w:customStyle="1">
    <w:name w:val="Sin espaciado Car"/>
    <w:aliases w:val="Francesa Car"/>
    <w:link w:val="Sinespaciado"/>
    <w:uiPriority w:val="1"/>
    <w:locked w:val="1"/>
    <w:rsid w:val="00350B68"/>
    <w:rPr>
      <w:rFonts w:asciiTheme="minorHAnsi" w:cstheme="minorBidi" w:eastAsiaTheme="minorHAnsi" w:hAnsiTheme="minorHAnsi"/>
      <w:sz w:val="22"/>
      <w:szCs w:val="22"/>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 w:type="table" w:styleId="Table3">
    <w:basedOn w:val="TableNormal"/>
    <w:tblPr>
      <w:tblStyleRowBandSize w:val="1"/>
      <w:tblStyleColBandSize w:val="1"/>
      <w:tblCellMar>
        <w:top w:w="15.0" w:type="dxa"/>
        <w:left w:w="115.0" w:type="dxa"/>
        <w:bottom w:w="15.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6.png"/><Relationship Id="rId13" Type="http://schemas.openxmlformats.org/officeDocument/2006/relationships/image" Target="media/image1.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8.png"/><Relationship Id="rId15" Type="http://schemas.openxmlformats.org/officeDocument/2006/relationships/header" Target="header1.xml"/><Relationship Id="rId14" Type="http://schemas.openxmlformats.org/officeDocument/2006/relationships/image" Target="media/image5.png"/><Relationship Id="rId17" Type="http://schemas.openxmlformats.org/officeDocument/2006/relationships/footer" Target="footer1.xml"/><Relationship Id="rId16"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18" Type="http://schemas.openxmlformats.org/officeDocument/2006/relationships/footer" Target="footer2.xml"/><Relationship Id="rId7" Type="http://schemas.openxmlformats.org/officeDocument/2006/relationships/customXml" Target="../customXML/item1.xml"/><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ecatepec.gob.mx/cabildo-de-ecatepec-aprueba-actualizacion-del-programa-anual-de-obra-publi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M3gVuyPejia0lCpT1NiW+XmXRA==">CgMxLjAyDmguNXd1cGJxOGpzMGlkMgloLjN6bnlzaDcyDmguYTMyM21oY3k3dXU0OAByITFjaTdPZV9QbEkzNkxMaFFuejhUeGJzejlhMkljMEtqTw==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2026-09-03T22:47:00Z</dcterms:created>
  <dc:creator>USUARIO</dc:creator>
</cp:coreProperties>
</file>