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veinticinco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spacing w:line="360" w:lineRule="auto"/>
        <w:jc w:val="both"/>
        <w:rPr>
          <w:rFonts w:ascii="Palatino Linotype" w:cs="Palatino Linotype" w:eastAsia="Palatino Linotype" w:hAnsi="Palatino Linotype"/>
          <w:sz w:val="22"/>
          <w:szCs w:val="22"/>
        </w:rPr>
      </w:pPr>
      <w:bookmarkStart w:colFirst="0" w:colLast="0" w:name="_heading=h.w0ne576emzp5" w:id="0"/>
      <w:bookmarkEnd w:id="0"/>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06609/INFOEM/IP/RR/2026</w:t>
      </w:r>
      <w:r w:rsidDel="00000000" w:rsidR="00000000" w:rsidRPr="00000000">
        <w:rPr>
          <w:rFonts w:ascii="Palatino Linotype" w:cs="Palatino Linotype" w:eastAsia="Palatino Linotype" w:hAnsi="Palatino Linotype"/>
          <w:sz w:val="22"/>
          <w:szCs w:val="22"/>
          <w:rtl w:val="0"/>
        </w:rPr>
        <w:t xml:space="preserve">, interpuesto por</w:t>
      </w:r>
      <w:r w:rsidDel="00000000" w:rsidR="00000000" w:rsidRPr="00000000">
        <w:rPr>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XXXXXXXXX XXXXXXX,</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 </w:t>
      </w:r>
      <w:r w:rsidDel="00000000" w:rsidR="00000000" w:rsidRPr="00000000">
        <w:rPr>
          <w:rFonts w:ascii="Palatino Linotype" w:cs="Palatino Linotype" w:eastAsia="Palatino Linotype" w:hAnsi="Palatino Linotype"/>
          <w:b w:val="1"/>
          <w:bCs w:val="1"/>
          <w:sz w:val="22"/>
          <w:szCs w:val="22"/>
          <w:rtl w:val="0"/>
        </w:rPr>
        <w:t xml:space="preserve">01928/TOLUCA/IP/2026,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Ayuntamiento de Toluca,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4">
      <w:pP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6">
      <w:pPr>
        <w:spacing w:line="360" w:lineRule="auto"/>
        <w:jc w:val="both"/>
        <w:rPr>
          <w:rFonts w:ascii="Palatino Linotype" w:cs="Palatino Linotype" w:eastAsia="Palatino Linotype" w:hAnsi="Palatino Linotype"/>
          <w:sz w:val="22"/>
          <w:szCs w:val="22"/>
        </w:rPr>
      </w:pPr>
      <w:bookmarkStart w:colFirst="0" w:colLast="0" w:name="_heading=h.4d34og8" w:id="1"/>
      <w:bookmarkEnd w:id="1"/>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primero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solicitud de acceso a la información pública, mediante la cual requirió la información siguiente: </w:t>
      </w:r>
    </w:p>
    <w:p w:rsidR="00000000" w:rsidDel="00000000" w:rsidP="00000000" w:rsidRDefault="00000000" w:rsidRPr="00000000" w14:paraId="00000007">
      <w:pPr>
        <w:ind w:left="851" w:right="902" w:firstLine="0"/>
        <w:jc w:val="both"/>
        <w:rPr>
          <w:rFonts w:ascii="Palatino Linotype" w:cs="Palatino Linotype" w:eastAsia="Palatino Linotype" w:hAnsi="Palatino Linotype"/>
          <w:i w:val="1"/>
          <w:iCs w:val="1"/>
          <w:sz w:val="22"/>
          <w:szCs w:val="22"/>
        </w:rPr>
      </w:pPr>
      <w:bookmarkStart w:colFirst="0" w:colLast="0" w:name="_heading=h.gjdgxs" w:id="2"/>
      <w:bookmarkEnd w:id="2"/>
      <w:r w:rsidDel="00000000" w:rsidR="00000000" w:rsidRPr="00000000">
        <w:rPr>
          <w:rFonts w:ascii="Palatino Linotype" w:cs="Palatino Linotype" w:eastAsia="Palatino Linotype" w:hAnsi="Palatino Linotype"/>
          <w:i w:val="1"/>
          <w:iCs w:val="1"/>
          <w:sz w:val="22"/>
          <w:szCs w:val="22"/>
          <w:rtl w:val="0"/>
        </w:rPr>
        <w:t xml:space="preserve"> “Amablemente el que suscribe, solicita la constancia de no Deudor Alimentario Moroso, constancia de no inhabilitación del servicio público y el título de licenciado en economía del quinto regidor de Toluca, Armando Díaz; dado que en la plataforma de ipomex artículo 92 fracción XXI “Información Curricular y Sanciones administrativas” no se encuentra cargada ninguna información del servidor público y de muchos otros miembros de Cabildo. Favor de anexar los oficios de turno a los servidores públicos habilitados así como el acta de la sesión del comité de transparencia donde se haya aprobado alguna clasificación de la información solicitada y donde se desglosen los argumentos y artículos de la ley de transparencia por los que no se pueda dar la información o se tenga que hacer una versión pública.” (sic) </w:t>
      </w:r>
    </w:p>
    <w:p w:rsidR="00000000" w:rsidDel="00000000" w:rsidP="00000000" w:rsidRDefault="00000000" w:rsidRPr="00000000" w14:paraId="00000008">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9">
      <w:pPr>
        <w:spacing w:line="360" w:lineRule="auto"/>
        <w:jc w:val="both"/>
        <w:rPr>
          <w:rFonts w:ascii="Palatino Linotype" w:cs="Palatino Linotype" w:eastAsia="Palatino Linotype" w:hAnsi="Palatino Linotype"/>
          <w:b w:val="1"/>
          <w:bCs w:val="1"/>
          <w:sz w:val="22"/>
          <w:szCs w:val="22"/>
        </w:rPr>
      </w:pPr>
      <w:bookmarkStart w:colFirst="0" w:colLast="0" w:name="_heading=h.3dy6vkm" w:id="3"/>
      <w:bookmarkEnd w:id="3"/>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w:t>
      </w:r>
      <w:r w:rsidDel="00000000" w:rsidR="00000000" w:rsidRPr="00000000">
        <w:rPr>
          <w:rFonts w:ascii="Palatino Linotype" w:cs="Palatino Linotype" w:eastAsia="Palatino Linotype" w:hAnsi="Palatino Linotype"/>
          <w:b w:val="1"/>
          <w:bCs w:val="1"/>
          <w:sz w:val="22"/>
          <w:szCs w:val="22"/>
          <w:rtl w:val="0"/>
        </w:rPr>
        <w:t xml:space="preserve">de SAIMEX</w:t>
      </w:r>
    </w:p>
    <w:p w:rsidR="00000000" w:rsidDel="00000000" w:rsidP="00000000" w:rsidRDefault="00000000" w:rsidRPr="00000000" w14:paraId="0000000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w:t>
      </w:r>
      <w:r w:rsidDel="00000000" w:rsidR="00000000" w:rsidRPr="00000000">
        <w:rPr>
          <w:rFonts w:ascii="Palatino Linotype" w:cs="Palatino Linotype" w:eastAsia="Palatino Linotype" w:hAnsi="Palatino Linotype"/>
          <w:b w:val="1"/>
          <w:bCs w:val="1"/>
          <w:sz w:val="22"/>
          <w:szCs w:val="22"/>
          <w:rtl w:val="0"/>
        </w:rPr>
        <w:t xml:space="preserve"> veintidós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 SAIMEX, sustancialmente en los términos siguientes:</w:t>
      </w:r>
    </w:p>
    <w:p w:rsidR="00000000" w:rsidDel="00000000" w:rsidP="00000000" w:rsidRDefault="00000000" w:rsidRPr="00000000" w14:paraId="0000000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D">
      <w:pPr>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 PROPORCIONA RESPUESTA A LA SOLICITUD 01928/TOLUCA/IP/2026.......” (sic)</w:t>
      </w:r>
    </w:p>
    <w:p w:rsidR="00000000" w:rsidDel="00000000" w:rsidP="00000000" w:rsidRDefault="00000000" w:rsidRPr="00000000" w14:paraId="0000000E">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F">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adjuntó a su escrito de respuesta, lo siguiente:</w:t>
      </w:r>
    </w:p>
    <w:p w:rsidR="00000000" w:rsidDel="00000000" w:rsidP="00000000" w:rsidRDefault="00000000" w:rsidRPr="00000000" w14:paraId="0000001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02 de junio de 2026, a través del cual el Titular del Órgano Interno de Control Municipal refiere que si bien es obligación mantener la actualización de las sanciones administrativas, también lo es que de conformidad con el artículo 10 fracción II de la Ley de Responsabilidades Administrativas del Estado de México y Municipios,</w:t>
      </w:r>
      <w:r w:rsidDel="00000000" w:rsidR="00000000" w:rsidRPr="00000000">
        <w:rPr>
          <w:rtl w:val="0"/>
        </w:rPr>
        <w:t xml:space="preserve"> </w:t>
      </w:r>
      <w:r w:rsidDel="00000000" w:rsidR="00000000" w:rsidRPr="00000000">
        <w:rPr>
          <w:rFonts w:ascii="Palatino Linotype" w:cs="Palatino Linotype" w:eastAsia="Palatino Linotype" w:hAnsi="Palatino Linotype"/>
          <w:sz w:val="22"/>
          <w:szCs w:val="22"/>
          <w:rtl w:val="0"/>
        </w:rPr>
        <w:t xml:space="preserve">no se genera, procesa o administra la documentación requerida, ya que es la Contraloría del Poder Legislativo la competente para conocer la investigación, substanciación y calificación de las faltas administrativas</w:t>
      </w:r>
      <w:r w:rsidDel="00000000" w:rsidR="00000000" w:rsidRPr="00000000">
        <w:rPr>
          <w:rtl w:val="0"/>
        </w:rPr>
        <w:t xml:space="preserve"> </w:t>
      </w:r>
      <w:r w:rsidDel="00000000" w:rsidR="00000000" w:rsidRPr="00000000">
        <w:rPr>
          <w:rFonts w:ascii="Palatino Linotype" w:cs="Palatino Linotype" w:eastAsia="Palatino Linotype" w:hAnsi="Palatino Linotype"/>
          <w:sz w:val="22"/>
          <w:szCs w:val="22"/>
          <w:rtl w:val="0"/>
        </w:rPr>
        <w:t xml:space="preserve">respecto de los servidores públicos de elección popular municipal.</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17 de junio de 2026, a través del cual la Directora General de Administración remite la respuesta de la Dirección de Recursos Humanos.</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12 de junio de 2026, a través del cual la Directora de Recursos Humanos informó que después de una búsqueda en los archivos que guarda el Departamento de Administración de Personal, remite lo requerido, indicando que la información, fue clasificada como confidencial en partes, por contener datos personales concernientes a la vida privada de los servidores públicos en términos del artículo 143 fracción I de la Ley de Transparencia y Acceso a la Información Pública del Estado de México y Municipios.</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22 de junio de 2026, a través del cual el Titular de la Unidad de Transparencia indica que remite la respuesta de los servidores públicos habilitados competentes.</w:t>
      </w:r>
    </w:p>
    <w:p w:rsidR="00000000" w:rsidDel="00000000" w:rsidP="00000000" w:rsidRDefault="00000000" w:rsidRPr="00000000" w14:paraId="00000015">
      <w:pP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6">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veintidós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7">
      <w:pPr>
        <w:spacing w:line="360" w:lineRule="auto"/>
        <w:ind w:right="49"/>
        <w:jc w:val="both"/>
        <w:rPr>
          <w:rFonts w:ascii="Palatino Linotype" w:cs="Palatino Linotype" w:eastAsia="Palatino Linotype" w:hAnsi="Palatino Linotype"/>
          <w:b w:val="1"/>
          <w:bCs w:val="1"/>
          <w:sz w:val="18"/>
          <w:szCs w:val="18"/>
        </w:rPr>
      </w:pPr>
      <w:r w:rsidDel="00000000" w:rsidR="00000000" w:rsidRPr="00000000">
        <w:rPr>
          <w:rtl w:val="0"/>
        </w:rPr>
      </w:r>
    </w:p>
    <w:p w:rsidR="00000000" w:rsidDel="00000000" w:rsidP="00000000" w:rsidRDefault="00000000" w:rsidRPr="00000000" w14:paraId="00000018">
      <w:pPr>
        <w:tabs>
          <w:tab w:val="left" w:leader="none" w:pos="2745"/>
        </w:tabs>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9">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No entregan la versión pública del certificado de no deudor alimentario del 5to regidor del H Ayuntamiento de Toluca</w:t>
      </w:r>
      <w:r w:rsidDel="00000000" w:rsidR="00000000" w:rsidRPr="00000000">
        <w:rPr>
          <w:rFonts w:ascii="Palatino Linotype" w:cs="Palatino Linotype" w:eastAsia="Palatino Linotype" w:hAnsi="Palatino Linotype"/>
          <w:i w:val="1"/>
          <w:iCs w:val="1"/>
          <w:sz w:val="22"/>
          <w:szCs w:val="22"/>
          <w:rtl w:val="0"/>
        </w:rPr>
        <w:t xml:space="preserve">” (sic)</w:t>
      </w:r>
    </w:p>
    <w:p w:rsidR="00000000" w:rsidDel="00000000" w:rsidP="00000000" w:rsidRDefault="00000000" w:rsidRPr="00000000" w14:paraId="0000001A">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B">
      <w:pPr>
        <w:spacing w:line="360" w:lineRule="auto"/>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1C">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“Según el criterio reiterado 07/24 del Infoem el CERTIFICADO DE NO DEUDOR ALIMENTARIO MOROSO, PROCEDE SU ENTREGA EN VERSION PÚBLICA. </w:t>
      </w:r>
      <w:r w:rsidDel="00000000" w:rsidR="00000000" w:rsidRPr="00000000">
        <w:rPr>
          <w:rFonts w:ascii="Palatino Linotype" w:cs="Palatino Linotype" w:eastAsia="Palatino Linotype" w:hAnsi="Palatino Linotype"/>
          <w:b w:val="1"/>
          <w:bCs w:val="1"/>
          <w:i w:val="1"/>
          <w:iCs w:val="1"/>
          <w:sz w:val="22"/>
          <w:szCs w:val="22"/>
          <w:rtl w:val="0"/>
        </w:rPr>
        <w:t xml:space="preserve">El certificado de no deudor alimentario moroso es información de carácter público ya que es requisito indispensable para ingresar al servicio público,</w:t>
      </w:r>
      <w:r w:rsidDel="00000000" w:rsidR="00000000" w:rsidRPr="00000000">
        <w:rPr>
          <w:rFonts w:ascii="Palatino Linotype" w:cs="Palatino Linotype" w:eastAsia="Palatino Linotype" w:hAnsi="Palatino Linotype"/>
          <w:i w:val="1"/>
          <w:iCs w:val="1"/>
          <w:sz w:val="22"/>
          <w:szCs w:val="22"/>
          <w:rtl w:val="0"/>
        </w:rPr>
        <w:t xml:space="preserve"> lo cual genera certeza a la ciudadanía de que el Servidor Público cumplió con los requisitos señalados por el artículo 47, fracción XI de la Ley del Trabajo de los Servidores Públicos del Estado y Municipios.” (sic)</w:t>
      </w:r>
    </w:p>
    <w:p w:rsidR="00000000" w:rsidDel="00000000" w:rsidP="00000000" w:rsidRDefault="00000000" w:rsidRPr="00000000" w14:paraId="0000001D">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0">
      <w:pPr>
        <w:spacing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w:t>
      </w:r>
      <w:r w:rsidDel="00000000" w:rsidR="00000000" w:rsidRPr="00000000">
        <w:rPr>
          <w:rFonts w:ascii="Palatino Linotype" w:cs="Palatino Linotype" w:eastAsia="Palatino Linotype" w:hAnsi="Palatino Linotype"/>
          <w:b w:val="1"/>
          <w:bCs w:val="1"/>
          <w:sz w:val="22"/>
          <w:szCs w:val="22"/>
          <w:rtl w:val="0"/>
        </w:rPr>
        <w:t xml:space="preserve"> veintitrés de junio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p>
    <w:p w:rsidR="00000000" w:rsidDel="00000000" w:rsidP="00000000" w:rsidRDefault="00000000" w:rsidRPr="00000000" w14:paraId="0000002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2">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constancias del expediente electrónico del SAIMEX, se observa que </w:t>
      </w:r>
    </w:p>
    <w:p w:rsidR="00000000" w:rsidDel="00000000" w:rsidP="00000000" w:rsidRDefault="00000000" w:rsidRPr="00000000" w14:paraId="00000023">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fechas veintinueve y treinta de junio y dos de julio de la presente anualidad rindió su informe justificado a través de dos archivos electrónicos, ratificando en lo sustancial la respuesta inicial, adjuntando de manera novedosa, el Acta del Comité de Transparencia donde se clasifica como información confidencial datos personales contenidos en el soporte documental con el que se daría respuesta a la solicitud de información de nuestra atención.</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Documentos que fue puesto a la vista de la parte Recurrente; no obstante fue omisa en hacer valer manifestaciones o rendir alegatos que conforme a derecho resultaran procedentes.</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del término para resolver</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doce de agosto de dos mil veintiséis</w:t>
      </w:r>
      <w:r w:rsidDel="00000000" w:rsidR="00000000" w:rsidRPr="00000000">
        <w:rPr>
          <w:rFonts w:ascii="Palatino Linotype" w:cs="Palatino Linotype" w:eastAsia="Palatino Linotype" w:hAnsi="Palatino Linotype"/>
          <w:sz w:val="22"/>
          <w:szCs w:val="22"/>
          <w:rtl w:val="0"/>
        </w:rPr>
        <w:t xml:space="preserve">, se amplió el término para resolver el recurso de revisión en términos del artículo 181 párrafo tercero de la Ley de Transparencia y Acceso a la Información Pública del Estado de México y Municipios.</w:t>
      </w:r>
    </w:p>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8.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con fecha </w:t>
      </w:r>
      <w:r w:rsidDel="00000000" w:rsidR="00000000" w:rsidRPr="00000000">
        <w:rPr>
          <w:rFonts w:ascii="Palatino Linotype" w:cs="Palatino Linotype" w:eastAsia="Palatino Linotype" w:hAnsi="Palatino Linotype"/>
          <w:b w:val="1"/>
          <w:bCs w:val="1"/>
          <w:sz w:val="22"/>
          <w:szCs w:val="22"/>
          <w:rtl w:val="0"/>
        </w:rPr>
        <w:t xml:space="preserve">dieciocho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2C">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2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2E">
      <w:pPr>
        <w:spacing w:after="240" w:before="240" w:line="360" w:lineRule="auto"/>
        <w:jc w:val="both"/>
        <w:rPr>
          <w:rFonts w:ascii="Palatino Linotype" w:cs="Palatino Linotype" w:eastAsia="Palatino Linotype" w:hAnsi="Palatino Linotype"/>
          <w:sz w:val="22"/>
          <w:szCs w:val="22"/>
        </w:rPr>
      </w:pPr>
      <w:bookmarkStart w:colFirst="0" w:colLast="0" w:name="_heading=h.tyjcwt" w:id="6"/>
      <w:bookmarkEnd w:id="6"/>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2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w:t>
      </w:r>
      <w:r w:rsidDel="00000000" w:rsidR="00000000" w:rsidRPr="00000000">
        <w:rPr>
          <w:rFonts w:ascii="Palatino Linotype" w:cs="Palatino Linotype" w:eastAsia="Palatino Linotype" w:hAnsi="Palatino Linotype"/>
          <w:b w:val="1"/>
          <w:bCs w:val="1"/>
          <w:sz w:val="22"/>
          <w:szCs w:val="22"/>
          <w:rtl w:val="0"/>
        </w:rPr>
        <w:t xml:space="preserve">veintidós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tuvo por presentado el </w:t>
      </w:r>
      <w:r w:rsidDel="00000000" w:rsidR="00000000" w:rsidRPr="00000000">
        <w:rPr>
          <w:rFonts w:ascii="Palatino Linotype" w:cs="Palatino Linotype" w:eastAsia="Palatino Linotype" w:hAnsi="Palatino Linotype"/>
          <w:b w:val="1"/>
          <w:bCs w:val="1"/>
          <w:sz w:val="22"/>
          <w:szCs w:val="22"/>
          <w:rtl w:val="0"/>
        </w:rPr>
        <w:t xml:space="preserve">veintidós de junio de dos mil veintiséis</w:t>
      </w:r>
      <w:r w:rsidDel="00000000" w:rsidR="00000000" w:rsidRPr="00000000">
        <w:rPr>
          <w:rFonts w:ascii="Palatino Linotype" w:cs="Palatino Linotype" w:eastAsia="Palatino Linotype" w:hAnsi="Palatino Linotype"/>
          <w:sz w:val="22"/>
          <w:szCs w:val="22"/>
          <w:rtl w:val="0"/>
        </w:rPr>
        <w:t xml:space="preserve"> esto es, el mismo día </w:t>
      </w:r>
      <w:r w:rsidDel="00000000" w:rsidR="00000000" w:rsidRPr="00000000">
        <w:rPr>
          <w:rFonts w:ascii="Palatino Linotype" w:cs="Palatino Linotype" w:eastAsia="Palatino Linotype" w:hAnsi="Palatino Linotype"/>
          <w:b w:val="1"/>
          <w:bCs w:val="1"/>
          <w:sz w:val="22"/>
          <w:szCs w:val="22"/>
          <w:rtl w:val="0"/>
        </w:rPr>
        <w:t xml:space="preserve">en que se tuvo conocimiento de la respuesta impugnada</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3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se concluye que el presente recurso de revisión se encuentra dentro de los márgenes temporales previstos en las disposiciones legales referidas.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Sin que contraríe a lo anterior, el artículo 178 en análisis, refiere que el plazo de quince días hábiles se contará a partir del día siguiente de la fecha en que el afectado tuvo conocimiento de la resolución materia de impugnación, ya que ello debe entenderse para el efecto de que transcurrido dicho plazo ya no podrá presentarse el medio de impugnación o si es que se presenta, el mismo se considerará extemporáneo, no así cuando el medio de defensa se interponga antes de que comience a correr el plazo legal; tiene aplicación por analogía, la jurisprudencia 1ª. /J.41/2015, publicada en el Semanario Judicial de la Federación y su Gaceta, Libro 19, Junio de 2015, Tomo I, página 569 de la Décima época que lleva por rubro y texto los siguientes:</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60" w:right="9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“RECURSO DE RECLAMACIÓN. SU INTERPOSICIÓN NO ES EXTEMPORÁNEA SI SE REALIZA ANTES DE QUE INICIE EL PLAZO PARA HACERLO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60" w:right="9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“Conforme al artículo 104, párrafo segundo, de la Ley de Amparo, el recurso de reclamación podrá interponerse por cualquiera de las partes, por escrito, dentro del término de tres días siguientes al en que surta efectos la notificación de la resolución impugnada. Ahora bien, dicho numeral sólo refiere que el aludido medio de defensa no puede hacerse valer después de tres días, por tanto, no impide que el escrito correspondiente se presente antes de iniciado ese término. De ahí que si dicho recurso se interpone antes de que inicie el plazo para hacerlo, su presentación no es extemporánea.”</w:t>
      </w:r>
      <w:r w:rsidDel="00000000" w:rsidR="00000000" w:rsidRPr="00000000">
        <w:rPr>
          <w:rtl w:val="0"/>
        </w:rPr>
      </w:r>
    </w:p>
    <w:p w:rsidR="00000000" w:rsidDel="00000000" w:rsidP="00000000" w:rsidRDefault="00000000" w:rsidRPr="00000000" w14:paraId="00000034">
      <w:pPr>
        <w:tabs>
          <w:tab w:val="left" w:leader="none" w:pos="7938"/>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rsidR="00000000" w:rsidDel="00000000" w:rsidP="00000000" w:rsidRDefault="00000000" w:rsidRPr="00000000" w14:paraId="00000035">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un </w:t>
      </w:r>
      <w:r w:rsidDel="00000000" w:rsidR="00000000" w:rsidRPr="00000000">
        <w:rPr>
          <w:rFonts w:ascii="Palatino Linotype" w:cs="Palatino Linotype" w:eastAsia="Palatino Linotype" w:hAnsi="Palatino Linotype"/>
          <w:b w:val="1"/>
          <w:bCs w:val="1"/>
          <w:sz w:val="22"/>
          <w:szCs w:val="22"/>
          <w:rtl w:val="0"/>
        </w:rPr>
        <w:t xml:space="preserve">nombre completo</w:t>
      </w:r>
      <w:r w:rsidDel="00000000" w:rsidR="00000000" w:rsidRPr="00000000">
        <w:rPr>
          <w:rFonts w:ascii="Palatino Linotype" w:cs="Palatino Linotype" w:eastAsia="Palatino Linotype" w:hAnsi="Palatino Linotype"/>
          <w:sz w:val="22"/>
          <w:szCs w:val="22"/>
          <w:rtl w:val="0"/>
        </w:rPr>
        <w:t xml:space="preserve"> con el cual desea ser identificado, como se advierte en el detalle de seguimiento del SAIMEX, no obstante, no proporcionar un nombre completo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r w:rsidDel="00000000" w:rsidR="00000000" w:rsidRPr="00000000">
        <w:rPr>
          <w:rtl w:val="0"/>
        </w:rPr>
      </w:r>
    </w:p>
    <w:p w:rsidR="00000000" w:rsidDel="00000000" w:rsidP="00000000" w:rsidRDefault="00000000" w:rsidRPr="00000000" w14:paraId="0000003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w:t>
      </w:r>
      <w:r w:rsidDel="00000000" w:rsidR="00000000" w:rsidRPr="00000000">
        <w:rPr>
          <w:rFonts w:ascii="Palatino Linotype" w:cs="Palatino Linotype" w:eastAsia="Palatino Linotype" w:hAnsi="Palatino Linotype"/>
          <w:i w:val="1"/>
          <w:iCs w:val="1"/>
          <w:sz w:val="22"/>
          <w:szCs w:val="22"/>
          <w:rtl w:val="0"/>
        </w:rPr>
        <w:t xml:space="preserve">anónimas, </w:t>
      </w:r>
      <w:r w:rsidDel="00000000" w:rsidR="00000000" w:rsidRPr="00000000">
        <w:rPr>
          <w:rFonts w:ascii="Palatino Linotype" w:cs="Palatino Linotype" w:eastAsia="Palatino Linotype" w:hAnsi="Palatino Linotype"/>
          <w:b w:val="1"/>
          <w:bCs w:val="1"/>
          <w:i w:val="1"/>
          <w:iCs w:val="1"/>
          <w:sz w:val="22"/>
          <w:szCs w:val="22"/>
          <w:rtl w:val="0"/>
        </w:rPr>
        <w:t xml:space="preserve">con nombre incompleto</w:t>
      </w:r>
      <w:r w:rsidDel="00000000" w:rsidR="00000000" w:rsidRPr="00000000">
        <w:rPr>
          <w:rFonts w:ascii="Palatino Linotype" w:cs="Palatino Linotype" w:eastAsia="Palatino Linotype" w:hAnsi="Palatino Linotype"/>
          <w:i w:val="1"/>
          <w:iCs w:val="1"/>
          <w:sz w:val="22"/>
          <w:szCs w:val="22"/>
          <w:rtl w:val="0"/>
        </w:rPr>
        <w:t xml:space="preserve"> o seudónimo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3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179, fracción V del ordenamiento legal citado, que a la letra dice: </w:t>
      </w:r>
    </w:p>
    <w:p w:rsidR="00000000" w:rsidDel="00000000" w:rsidP="00000000" w:rsidRDefault="00000000" w:rsidRPr="00000000" w14:paraId="00000038">
      <w:pPr>
        <w:spacing w:after="240" w:before="240"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39">
      <w:pPr>
        <w:spacing w:after="240" w:before="240" w:line="360" w:lineRule="auto"/>
        <w:ind w:left="567" w:right="902" w:firstLine="0"/>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La entrega de información incompleta;</w:t>
        <w:br w:type="textWrapping"/>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3A">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r w:rsidDel="00000000" w:rsidR="00000000" w:rsidRPr="00000000">
        <w:rPr>
          <w:rtl w:val="0"/>
        </w:rPr>
      </w:r>
    </w:p>
    <w:p w:rsidR="00000000" w:rsidDel="00000000" w:rsidP="00000000" w:rsidRDefault="00000000" w:rsidRPr="00000000" w14:paraId="0000003B">
      <w:pPr>
        <w:spacing w:after="240" w:before="240" w:line="360" w:lineRule="auto"/>
        <w:jc w:val="both"/>
        <w:rPr>
          <w:rFonts w:ascii="Palatino Linotype" w:cs="Palatino Linotype" w:eastAsia="Palatino Linotype" w:hAnsi="Palatino Linotype"/>
          <w:sz w:val="22"/>
          <w:szCs w:val="22"/>
        </w:rPr>
      </w:pPr>
      <w:bookmarkStart w:colFirst="0" w:colLast="0" w:name="_heading=h.2et92p0" w:id="7"/>
      <w:bookmarkEnd w:id="7"/>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3C">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3D">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3E">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40">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41">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42">
      <w:pPr>
        <w:spacing w:after="240" w:before="240"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43">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44">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45">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4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47">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48">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9">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4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4B">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4C">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4D">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4E">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4F">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50">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5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52">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respecto del Quinto Regidor, lo siguiente:</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360" w:lineRule="auto"/>
        <w:ind w:left="720" w:right="51"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Constancia de no Deudor Alimentario Moroso,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Constancia de no inhabilitación del servicio público,  </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título de licenciado en economía,</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360" w:lineRule="auto"/>
        <w:ind w:left="720" w:right="51"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Los oficios de turno a los servidores públicos habilitados con relación a dicha información, así como el acta de la sesión del comité de transparencia donde se haya aprobado alguna clasificación de la información solicitada y donde se desglosen los argumentos y artículos de la Ley de Transparencia por los que no se pueda dar la información o se tenga que hacer una versión pública.</w:t>
      </w:r>
    </w:p>
    <w:p w:rsidR="00000000" w:rsidDel="00000000" w:rsidP="00000000" w:rsidRDefault="00000000" w:rsidRPr="00000000" w14:paraId="0000005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por conducto de los servidores públicos habilitados de la Dirección General de Administración y del Órgano Interno de Control Municipal se pronunciaron en términos del antecedente segundo de la presente resolución, la cual será analizada más adelante.</w:t>
      </w:r>
    </w:p>
    <w:p w:rsidR="00000000" w:rsidDel="00000000" w:rsidP="00000000" w:rsidRDefault="00000000" w:rsidRPr="00000000" w14:paraId="0000005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Inconforme con la respuesta,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promovió el presente recurso de revisión señalando como acto impugnado o razones o motivos de inconformidad la entrega de información incompleta, ya que refiere que no se proporcionó </w:t>
      </w:r>
      <w:r w:rsidDel="00000000" w:rsidR="00000000" w:rsidRPr="00000000">
        <w:rPr>
          <w:rFonts w:ascii="Palatino Linotype" w:cs="Palatino Linotype" w:eastAsia="Palatino Linotype" w:hAnsi="Palatino Linotype"/>
          <w:b w:val="1"/>
          <w:bCs w:val="1"/>
          <w:sz w:val="22"/>
          <w:szCs w:val="22"/>
          <w:rtl w:val="0"/>
        </w:rPr>
        <w:t xml:space="preserve">el certificado de no deudor alimentario moroso del servidor público requerido</w:t>
      </w:r>
      <w:r w:rsidDel="00000000" w:rsidR="00000000" w:rsidRPr="00000000">
        <w:rPr>
          <w:rFonts w:ascii="Palatino Linotype" w:cs="Palatino Linotype" w:eastAsia="Palatino Linotype" w:hAnsi="Palatino Linotype"/>
          <w:sz w:val="22"/>
          <w:szCs w:val="22"/>
          <w:rtl w:val="0"/>
        </w:rPr>
        <w:t xml:space="preserve">, el cual procede entregarse en versión pública.</w:t>
      </w:r>
    </w:p>
    <w:p w:rsidR="00000000" w:rsidDel="00000000" w:rsidP="00000000" w:rsidRDefault="00000000" w:rsidRPr="00000000" w14:paraId="0000005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Durante la etapa de manifestaciones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rindió su informe justificado, ratificando en lo sustancial la respuesta inicial, y adjuntando de manera novedosa, el Acta del Comité de Transparencia donde se clasifica como información confidencial datos personales contenidos en el soporte documental con el que se daría respuesta a la solicitud de información de nuestra atención.</w:t>
      </w:r>
    </w:p>
    <w:p w:rsidR="00000000" w:rsidDel="00000000" w:rsidP="00000000" w:rsidRDefault="00000000" w:rsidRPr="00000000" w14:paraId="0000005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lado,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fue omisa en rendir manifestaciones.</w:t>
      </w:r>
    </w:p>
    <w:p w:rsidR="00000000" w:rsidDel="00000000" w:rsidP="00000000" w:rsidRDefault="00000000" w:rsidRPr="00000000" w14:paraId="0000005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F">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 anterior, no pasa inadvertido para este Organismo Garante que, los motivos de inconformidad aducidos en el recurso de revisión, no versan sobre la totalidad de la información requerida, pues la </w:t>
      </w:r>
      <w:r w:rsidDel="00000000" w:rsidR="00000000" w:rsidRPr="00000000">
        <w:rPr>
          <w:rFonts w:ascii="Palatino Linotype" w:cs="Palatino Linotype" w:eastAsia="Palatino Linotype" w:hAnsi="Palatino Linotype"/>
          <w:b w:val="1"/>
          <w:bCs w:val="1"/>
          <w:sz w:val="22"/>
          <w:szCs w:val="22"/>
          <w:rtl w:val="0"/>
        </w:rPr>
        <w:t xml:space="preserve">parte Recurrente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se inconformó de manera expresa de la entrega de información incompleta, ya que no se proporcionó</w:t>
      </w:r>
      <w:r w:rsidDel="00000000" w:rsidR="00000000" w:rsidRPr="00000000">
        <w:rPr>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el certificado de no deudor alimentario moroso del servidor público requerido.</w:t>
      </w:r>
      <w:r w:rsidDel="00000000" w:rsidR="00000000" w:rsidRPr="00000000">
        <w:rPr>
          <w:rtl w:val="0"/>
        </w:rPr>
      </w:r>
    </w:p>
    <w:p w:rsidR="00000000" w:rsidDel="00000000" w:rsidP="00000000" w:rsidRDefault="00000000" w:rsidRPr="00000000" w14:paraId="0000006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1">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se colige que, los puntos requeridos que no fueron impugnados deben declararse consentidos, toda vez que, al no haber realizado manifestaciones de inconformidad al respecto, no pueden producirse efectos jurídicos tendentes a revocar, confirmar o modificar el acto reclamado, ya que, en el caso concreto se infiere que la información proporcionada por el Sujeto Obligado, satisface la solicitud presentada.</w:t>
      </w:r>
    </w:p>
    <w:p w:rsidR="00000000" w:rsidDel="00000000" w:rsidP="00000000" w:rsidRDefault="00000000" w:rsidRPr="00000000" w14:paraId="0000006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es así, debido a que cuando la parte Recurrente impugna la respuesta del Sujeto Obligado, y este no expresa Razón o Motivo de Inconformidad en contra de todos los rubros solicitados, dichos rubros deben declararse atendidos, pues se entiende que la parte Recurrente ésta conforme con la información entregada al no contravenir la misma. Sirve de Apoyo a lo anterior, por analogía la Tesis Jurisprudencial Número 3ª./J.7/91, Publicada en el Semanario Judicial de la Federación y su Gaceta bajo el número de registro 174,177, que establece lo siguiente:</w:t>
      </w:r>
    </w:p>
    <w:p w:rsidR="00000000" w:rsidDel="00000000" w:rsidP="00000000" w:rsidRDefault="00000000" w:rsidRPr="00000000" w14:paraId="0000006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5">
      <w:pPr>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“REVISIÓN EN AMPARO. LOS RESOLUTIVOS NO COMBATIDOS DEBEN DECLARARSE FIRMES. </w:t>
      </w:r>
      <w:r w:rsidDel="00000000" w:rsidR="00000000" w:rsidRPr="00000000">
        <w:rPr>
          <w:rFonts w:ascii="Palatino Linotype" w:cs="Palatino Linotype" w:eastAsia="Palatino Linotype" w:hAnsi="Palatino Linotype"/>
          <w:i w:val="1"/>
          <w:iCs w:val="1"/>
          <w:sz w:val="22"/>
          <w:szCs w:val="22"/>
          <w:rtl w:val="0"/>
        </w:rPr>
        <w:t xml:space="preserve">Cuando algún resolutivo de la sentencia impugnada afecta a la recurrente, y ésta no expresa agravio en contra de las consideraciones que le sirven de base, dicho resolutivo debe declararse firme. Esto es, en el caso referido, no obstante que la materia de la revisión comprende a todos los resolutivos que afectan a la recurrente, deben declararse firmes aquéllos en contra de los cuales no se formuló agravio y dicha declaración de firmeza debe reflejarse en la parte considerativa y en los resolutivos debe confirmarse la sentencia recurrida en la parte correspondiente.</w:t>
      </w:r>
    </w:p>
    <w:p w:rsidR="00000000" w:rsidDel="00000000" w:rsidP="00000000" w:rsidRDefault="00000000" w:rsidRPr="00000000" w14:paraId="0000006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Consecuentemente, se insiste, ante la falta de impugnación eficaz sobre toda la información requerida, los puntos de la solicitud no controvertidos, deben declararse consentidos.</w:t>
      </w:r>
    </w:p>
    <w:p w:rsidR="00000000" w:rsidDel="00000000" w:rsidP="00000000" w:rsidRDefault="00000000" w:rsidRPr="00000000" w14:paraId="0000006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se sustenta con lo plasmado en el criterio orientador 01/20 emitido por el entonces Instituto Nacional de Transparencia, Acceso a la Información, y Protección de Datos Personales, INAI, que lleva por rubro y texto los siguientes: </w:t>
      </w:r>
    </w:p>
    <w:p w:rsidR="00000000" w:rsidDel="00000000" w:rsidP="00000000" w:rsidRDefault="00000000" w:rsidRPr="00000000" w14:paraId="0000006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B">
      <w:pPr>
        <w:spacing w:line="276"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Actos consentidos tácitamente. Improcedencia de su análisis. </w:t>
      </w:r>
      <w:r w:rsidDel="00000000" w:rsidR="00000000" w:rsidRPr="00000000">
        <w:rPr>
          <w:rFonts w:ascii="Palatino Linotype" w:cs="Palatino Linotype" w:eastAsia="Palatino Linotype" w:hAnsi="Palatino Linotype"/>
          <w:i w:val="1"/>
          <w:iCs w:val="1"/>
          <w:sz w:val="22"/>
          <w:szCs w:val="22"/>
          <w:rtl w:val="0"/>
        </w:rPr>
        <w:t xml:space="preserve">Si en su recurso de revisión, la persona recurrente no expresó inconformidad alguna con ciertas partes de la respuesta otorgada, se entienden tácitamente consentidas, por ende, no deben formar parte del estudio de fondo de la resolución que emite el Instituto.”</w:t>
      </w:r>
    </w:p>
    <w:p w:rsidR="00000000" w:rsidDel="00000000" w:rsidP="00000000" w:rsidRDefault="00000000" w:rsidRPr="00000000" w14:paraId="0000006C">
      <w:pPr>
        <w:spacing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resulta aplicable por analogía la tesis jurisprudencial número VI.3o.C. J/60, publicada en el Semanario Judicial de la Federación y su Gaceta bajo el número de registro 176,608 que a la letra dice:</w:t>
      </w:r>
    </w:p>
    <w:p w:rsidR="00000000" w:rsidDel="00000000" w:rsidP="00000000" w:rsidRDefault="00000000" w:rsidRPr="00000000" w14:paraId="0000006E">
      <w:pPr>
        <w:spacing w:line="360" w:lineRule="auto"/>
        <w:ind w:left="851" w:right="900" w:firstLine="0"/>
        <w:jc w:val="both"/>
        <w:rPr>
          <w:rFonts w:ascii="Palatino Linotype" w:cs="Palatino Linotype" w:eastAsia="Palatino Linotype" w:hAnsi="Palatino Linotype"/>
          <w:b w:val="1"/>
          <w:bCs w:val="1"/>
          <w:i w:val="1"/>
          <w:iCs w:val="1"/>
          <w:smallCaps w:val="1"/>
          <w:sz w:val="22"/>
          <w:szCs w:val="22"/>
        </w:rPr>
      </w:pPr>
      <w:r w:rsidDel="00000000" w:rsidR="00000000" w:rsidRPr="00000000">
        <w:rPr>
          <w:rtl w:val="0"/>
        </w:rPr>
      </w:r>
    </w:p>
    <w:p w:rsidR="00000000" w:rsidDel="00000000" w:rsidP="00000000" w:rsidRDefault="00000000" w:rsidRPr="00000000" w14:paraId="0000006F">
      <w:pPr>
        <w:tabs>
          <w:tab w:val="left" w:leader="none" w:pos="851"/>
          <w:tab w:val="left" w:leader="none" w:pos="1276"/>
        </w:tabs>
        <w:spacing w:line="276" w:lineRule="auto"/>
        <w:ind w:left="567" w:right="70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mallCaps w:val="1"/>
          <w:sz w:val="22"/>
          <w:szCs w:val="22"/>
          <w:rtl w:val="0"/>
        </w:rPr>
        <w:t xml:space="preserve">“ACTOS CONSENTIDOS. SON LOS QUE NO SE IMPUGNAN MEDIANTE EL RECURSO IDÓNEO. </w:t>
      </w:r>
      <w:r w:rsidDel="00000000" w:rsidR="00000000" w:rsidRPr="00000000">
        <w:rPr>
          <w:rFonts w:ascii="Palatino Linotype" w:cs="Palatino Linotype" w:eastAsia="Palatino Linotype" w:hAnsi="Palatino Linotype"/>
          <w:i w:val="1"/>
          <w:iCs w:val="1"/>
          <w:sz w:val="22"/>
          <w:szCs w:val="22"/>
          <w:rtl w:val="0"/>
        </w:rPr>
        <w:t xml:space="preserve">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 lo anterior, la información de la que resulta procedente pronunciarse es respecto de la falta de entrega </w:t>
      </w:r>
      <w:r w:rsidDel="00000000" w:rsidR="00000000" w:rsidRPr="00000000">
        <w:rPr>
          <w:rFonts w:ascii="Palatino Linotype" w:cs="Palatino Linotype" w:eastAsia="Palatino Linotype" w:hAnsi="Palatino Linotype"/>
          <w:b w:val="1"/>
          <w:bCs w:val="1"/>
          <w:sz w:val="22"/>
          <w:szCs w:val="22"/>
          <w:u w:val="single"/>
          <w:rtl w:val="0"/>
        </w:rPr>
        <w:t xml:space="preserve">del certificado de no deudor alimentario moroso del servidor público requerido.</w:t>
      </w:r>
      <w:r w:rsidDel="00000000" w:rsidR="00000000" w:rsidRPr="00000000">
        <w:rPr>
          <w:rtl w:val="0"/>
        </w:rPr>
      </w:r>
    </w:p>
    <w:p w:rsidR="00000000" w:rsidDel="00000000" w:rsidP="00000000" w:rsidRDefault="00000000" w:rsidRPr="00000000" w14:paraId="0000007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sobre la naturaleza de la información requerida, es de indicar que el documento requerido, forma parte de los requisitos para ingresar al servicio público, de conformidad con el artículo 47 fracción XI de la Ley del Trabajo de los Servidores Públicos del Estado y Municipios, a saber:</w:t>
      </w:r>
    </w:p>
    <w:p w:rsidR="00000000" w:rsidDel="00000000" w:rsidP="00000000" w:rsidRDefault="00000000" w:rsidRPr="00000000" w14:paraId="0000007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5">
      <w:pPr>
        <w:spacing w:line="360"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“ARTÍCULO 47. Para ingresar al servicio público se requiere:</w:t>
      </w:r>
    </w:p>
    <w:p w:rsidR="00000000" w:rsidDel="00000000" w:rsidP="00000000" w:rsidRDefault="00000000" w:rsidRPr="00000000" w14:paraId="00000076">
      <w:pPr>
        <w:spacing w:line="360"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77">
      <w:pPr>
        <w:spacing w:line="360"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 Presentar certificado expedido por la Unidad del Registro de Deudores Alimentarios Morosos en el que conste, si se encuentra inscrito o no en el mismo.”</w:t>
      </w:r>
    </w:p>
    <w:p w:rsidR="00000000" w:rsidDel="00000000" w:rsidP="00000000" w:rsidRDefault="00000000" w:rsidRPr="00000000" w14:paraId="0000007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 mayor abundamiento, por lo que hace los certificados de no deudor alimentario moroso, es de indicar que la Ley General de los Derechos de las Niñas, Niños y Adolescentes </w:t>
      </w:r>
      <w:hyperlink r:id="rId7">
        <w:r w:rsidDel="00000000" w:rsidR="00000000" w:rsidRPr="00000000">
          <w:rPr>
            <w:rFonts w:ascii="Palatino Linotype" w:cs="Palatino Linotype" w:eastAsia="Palatino Linotype" w:hAnsi="Palatino Linotype"/>
            <w:sz w:val="22"/>
            <w:szCs w:val="22"/>
            <w:rtl w:val="0"/>
          </w:rPr>
          <w:t xml:space="preserve">https://www.diputados.gob.mx/LeyesBiblio/pdf/LGDNNA.pdf</w:t>
        </w:r>
      </w:hyperlink>
      <w:r w:rsidDel="00000000" w:rsidR="00000000" w:rsidRPr="00000000">
        <w:rPr>
          <w:rFonts w:ascii="Palatino Linotype" w:cs="Palatino Linotype" w:eastAsia="Palatino Linotype" w:hAnsi="Palatino Linotype"/>
          <w:sz w:val="22"/>
          <w:szCs w:val="22"/>
          <w:rtl w:val="0"/>
        </w:rPr>
        <w:t xml:space="preserve"> en sus artículos 1, 13, 18 y 46, regula de manera enunciativa y no limitativa, entre otros derechos, garantizar el pleno ejercicio, respeto, protección y promoción de los derechos humanos, derecho a la vida, a la paz, a la supervivencia y al desarrollo, el recibir alimentos para lograr el sano desarrollo del menor en su ámbito, bio-psico-social, y establece como obligación de los progenitores para con sus hijos, el proporcionarles, apoyo, cuidados, educación y protección a su salud.</w:t>
      </w:r>
    </w:p>
    <w:p w:rsidR="00000000" w:rsidDel="00000000" w:rsidP="00000000" w:rsidRDefault="00000000" w:rsidRPr="00000000" w14:paraId="0000007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que, se crea el Registro Nacional de Obligaciones Alimentarias cuyo objeto es concentrar la información de deudores y acreedores de obligaciones alimentarias, a fin de dar efectiva protección y restitución de los derechos de niñas, niños y adolescentes. Los Tribunales Superiores de las entidades federativas y de la Ciudad de México suministrarán, intercambiarán, sistematizarán, consultarán, analizarán y actualizarán, la información que se genere sobre el incumplimiento de las obligaciones alimentarias en el ámbito de sus competencias utilizando los sistemas e instrumentos tecnológicos del Sistema Nacional DIF para que con ella integre al Registro Nacional de Obligaciones.</w:t>
      </w:r>
    </w:p>
    <w:p w:rsidR="00000000" w:rsidDel="00000000" w:rsidP="00000000" w:rsidRDefault="00000000" w:rsidRPr="00000000" w14:paraId="0000007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La calidad de deudor moroso se difundirá en el Registro Nacional de Obligaciones Alimentarias, el cual, será público con base en lo dispuesto en la Ley General de Protección de Datos Personales en Posesión de Sujetos Obligados.</w:t>
      </w:r>
      <w:r w:rsidDel="00000000" w:rsidR="00000000" w:rsidRPr="00000000">
        <w:rPr>
          <w:rFonts w:ascii="Palatino Linotype" w:cs="Palatino Linotype" w:eastAsia="Palatino Linotype" w:hAnsi="Palatino Linotype"/>
          <w:sz w:val="22"/>
          <w:szCs w:val="22"/>
          <w:rtl w:val="0"/>
        </w:rPr>
        <w:t xml:space="preserve"> Es de recalcar que las Autoridades de los tres órdenes de gobierno (Federal, Estatal y Municipal) en el ámbito de sus competencias, dispondrán lo necesario a fin de establecer como requisito la presentación del certificado de no inscripción en el Registro Nacional de Obligaciones Alimentarias; es decir, la denominación que se le dio fue el de Registro de Deudores Alimentarios Morosos, ya que, la palabra moroso deriva de mora; la mora es el retraso en el cumplimiento de las obligaciones y se incurre en ella desde el momento en que feneció el plazo que se señaló para el cumplimiento de una obligación.</w:t>
      </w:r>
    </w:p>
    <w:p w:rsidR="00000000" w:rsidDel="00000000" w:rsidP="00000000" w:rsidRDefault="00000000" w:rsidRPr="00000000" w14:paraId="0000007E">
      <w:pPr>
        <w:tabs>
          <w:tab w:val="left" w:leader="none" w:pos="4962"/>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en el Proyecto de Decreto por el que se Reforman y Adicionan Diversas Disposiciones para crear el Registro de Deudores Alimentarios del Estado de México, disponible en la dirección electrónica </w:t>
      </w:r>
      <w:hyperlink r:id="rId8">
        <w:r w:rsidDel="00000000" w:rsidR="00000000" w:rsidRPr="00000000">
          <w:rPr>
            <w:rFonts w:ascii="Palatino Linotype" w:cs="Palatino Linotype" w:eastAsia="Palatino Linotype" w:hAnsi="Palatino Linotype"/>
            <w:sz w:val="22"/>
            <w:szCs w:val="22"/>
            <w:rtl w:val="0"/>
          </w:rPr>
          <w:t xml:space="preserve">https://legislacion.edomex.gob.mx/sites/legislacion.edomex.gob.mx/files/files/pdf/gct/2014/nov144.PDF</w:t>
        </w:r>
      </w:hyperlink>
      <w:r w:rsidDel="00000000" w:rsidR="00000000" w:rsidRPr="00000000">
        <w:rPr>
          <w:rFonts w:ascii="Palatino Linotype" w:cs="Palatino Linotype" w:eastAsia="Palatino Linotype" w:hAnsi="Palatino Linotype"/>
          <w:sz w:val="22"/>
          <w:szCs w:val="22"/>
          <w:rtl w:val="0"/>
        </w:rPr>
        <w:t xml:space="preserve">, advierte lo siguiente: </w:t>
      </w:r>
    </w:p>
    <w:p w:rsidR="00000000" w:rsidDel="00000000" w:rsidP="00000000" w:rsidRDefault="00000000" w:rsidRPr="00000000" w14:paraId="00000080">
      <w:pPr>
        <w:spacing w:line="360" w:lineRule="auto"/>
        <w:ind w:left="567" w:right="567"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81">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4.146 Bis.- El área del Registro de Deudores Alimentarios Morosos, es una unidad administrativa del Registro Civil. Actos inscribibles en el Registro de Deudores Alimentarios Morosos </w:t>
      </w:r>
    </w:p>
    <w:p w:rsidR="00000000" w:rsidDel="00000000" w:rsidP="00000000" w:rsidRDefault="00000000" w:rsidRPr="00000000" w14:paraId="00000082">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3">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4.146 Ter.- En el Registro de Deudores Alimentarios Morosos se inscriben a las personas que el Juez de lo Familiar determina en términos del artículo 4.136 del presente Código. </w:t>
      </w:r>
    </w:p>
    <w:p w:rsidR="00000000" w:rsidDel="00000000" w:rsidP="00000000" w:rsidRDefault="00000000" w:rsidRPr="00000000" w14:paraId="00000084">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Serán objeto de registro los empleadores que incumplan una orden de descuento para alimentos ordenada por el órgano jurisdiccional.</w:t>
      </w:r>
    </w:p>
    <w:p w:rsidR="00000000" w:rsidDel="00000000" w:rsidP="00000000" w:rsidRDefault="00000000" w:rsidRPr="00000000" w14:paraId="00000085">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6">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De los datos que contendrá el Registro de Deudores Alimentarios Morosos </w:t>
      </w:r>
    </w:p>
    <w:p w:rsidR="00000000" w:rsidDel="00000000" w:rsidP="00000000" w:rsidRDefault="00000000" w:rsidRPr="00000000" w14:paraId="00000087">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8">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Artículo. 4.146 Quáter.- El Registro de Deudores Alimentarios Morosos contendrá: </w:t>
      </w:r>
    </w:p>
    <w:p w:rsidR="00000000" w:rsidDel="00000000" w:rsidP="00000000" w:rsidRDefault="00000000" w:rsidRPr="00000000" w14:paraId="00000089">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A">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Nombre y Clave Única del Registro de Población del deudor alimentario; </w:t>
      </w:r>
    </w:p>
    <w:p w:rsidR="00000000" w:rsidDel="00000000" w:rsidP="00000000" w:rsidRDefault="00000000" w:rsidRPr="00000000" w14:paraId="0000008B">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Nombre del acreedor o acreedores alimentarios; </w:t>
      </w:r>
    </w:p>
    <w:p w:rsidR="00000000" w:rsidDel="00000000" w:rsidP="00000000" w:rsidRDefault="00000000" w:rsidRPr="00000000" w14:paraId="0000008C">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Datos del acta que acredite el vínculo entre deudor y acreedor alimentario, en su caso; </w:t>
      </w:r>
    </w:p>
    <w:p w:rsidR="00000000" w:rsidDel="00000000" w:rsidP="00000000" w:rsidRDefault="00000000" w:rsidRPr="00000000" w14:paraId="0000008D">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Monto de la pensión decretada o convenida, en su caso, número de pagos incumplidos y monto del adeudo alimentario; </w:t>
      </w:r>
    </w:p>
    <w:p w:rsidR="00000000" w:rsidDel="00000000" w:rsidP="00000000" w:rsidRDefault="00000000" w:rsidRPr="00000000" w14:paraId="0000008E">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Órgano jurisdiccional que ordenó el registro; </w:t>
      </w:r>
    </w:p>
    <w:p w:rsidR="00000000" w:rsidDel="00000000" w:rsidP="00000000" w:rsidRDefault="00000000" w:rsidRPr="00000000" w14:paraId="0000008F">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 Datos del expediente jurisdiccional de la que deriva su inscripción. </w:t>
      </w:r>
    </w:p>
    <w:p w:rsidR="00000000" w:rsidDel="00000000" w:rsidP="00000000" w:rsidRDefault="00000000" w:rsidRPr="00000000" w14:paraId="00000090">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1">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Una vez hecha la inscripción a que se refiere el párrafo anterior se girará oficio al Instituto de la Función Registral del Estado de México, a efecto de que se anote el certificado de deudor alimentario en los folios reales de que sea propietario el deudor alimentario. El Instituto de la Función Registral informará al Registro Civil si fue procedente la anotación, en cuyo caso dará aviso al Juez del conocimiento para que el acreedor alimentario haga cobrable las cantidades adeudadas en la vía judicial respectiva.</w:t>
      </w:r>
    </w:p>
    <w:p w:rsidR="00000000" w:rsidDel="00000000" w:rsidP="00000000" w:rsidRDefault="00000000" w:rsidRPr="00000000" w14:paraId="00000092">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3">
      <w:pPr>
        <w:ind w:left="567" w:right="567"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Datos del Certificado expedido por la Unidad del Registro de Deudores Alimentarios Morosos </w:t>
      </w:r>
    </w:p>
    <w:p w:rsidR="00000000" w:rsidDel="00000000" w:rsidP="00000000" w:rsidRDefault="00000000" w:rsidRPr="00000000" w14:paraId="00000094">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5">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Artículo 4.146 Quinquies.- </w:t>
      </w:r>
      <w:r w:rsidDel="00000000" w:rsidR="00000000" w:rsidRPr="00000000">
        <w:rPr>
          <w:rFonts w:ascii="Palatino Linotype" w:cs="Palatino Linotype" w:eastAsia="Palatino Linotype" w:hAnsi="Palatino Linotype"/>
          <w:b w:val="1"/>
          <w:bCs w:val="1"/>
          <w:i w:val="1"/>
          <w:iCs w:val="1"/>
          <w:sz w:val="22"/>
          <w:szCs w:val="22"/>
          <w:rtl w:val="0"/>
        </w:rPr>
        <w:t xml:space="preserve">El Certificado expedido por la Unidad del Registro de Deudores Alimentarios Morosos contendrá lo siguiente:</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96">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7">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Nombre y Clave Única de Registro de Población del solicitante; </w:t>
      </w:r>
    </w:p>
    <w:p w:rsidR="00000000" w:rsidDel="00000000" w:rsidP="00000000" w:rsidRDefault="00000000" w:rsidRPr="00000000" w14:paraId="00000098">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La información sobre su inscripción o no en el registro de deudores alimentarios morosos.</w:t>
      </w:r>
    </w:p>
    <w:p w:rsidR="00000000" w:rsidDel="00000000" w:rsidP="00000000" w:rsidRDefault="00000000" w:rsidRPr="00000000" w14:paraId="00000099">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A">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De ser el caso que el solicitante se encuentre inscrito en el registro, la constancia incluirá además lo siguiente:</w:t>
      </w:r>
    </w:p>
    <w:p w:rsidR="00000000" w:rsidDel="00000000" w:rsidP="00000000" w:rsidRDefault="00000000" w:rsidRPr="00000000" w14:paraId="0000009B">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C">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Número de acreedores alimentarios;</w:t>
      </w:r>
    </w:p>
    <w:p w:rsidR="00000000" w:rsidDel="00000000" w:rsidP="00000000" w:rsidRDefault="00000000" w:rsidRPr="00000000" w14:paraId="0000009D">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Monto de la pensión alimenticia decretada o convenida;</w:t>
      </w:r>
    </w:p>
    <w:p w:rsidR="00000000" w:rsidDel="00000000" w:rsidP="00000000" w:rsidRDefault="00000000" w:rsidRPr="00000000" w14:paraId="0000009E">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Órgano jurisdiccional que ordenó el registro;</w:t>
      </w:r>
    </w:p>
    <w:p w:rsidR="00000000" w:rsidDel="00000000" w:rsidP="00000000" w:rsidRDefault="00000000" w:rsidRPr="00000000" w14:paraId="0000009F">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Datos del expediente jurisdiccional de la que deriva su inscripción.</w:t>
      </w:r>
    </w:p>
    <w:p w:rsidR="00000000" w:rsidDel="00000000" w:rsidP="00000000" w:rsidRDefault="00000000" w:rsidRPr="00000000" w14:paraId="000000A0">
      <w:pPr>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A1">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El Certificado a que se refiere el presente artículo será expedido el mismo día hábil de su solicitud.</w:t>
      </w:r>
    </w:p>
    <w:p w:rsidR="00000000" w:rsidDel="00000000" w:rsidP="00000000" w:rsidRDefault="00000000" w:rsidRPr="00000000" w14:paraId="000000A2">
      <w:pPr>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A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Respecto a aquellos servidores públicos que se encuentren o no inscritos en dicho registro, procede su entrega en versión pública, ya que al ser un requisito </w:t>
      </w:r>
      <w:r w:rsidDel="00000000" w:rsidR="00000000" w:rsidRPr="00000000">
        <w:rPr>
          <w:rFonts w:ascii="Palatino Linotype" w:cs="Palatino Linotype" w:eastAsia="Palatino Linotype" w:hAnsi="Palatino Linotype"/>
          <w:b w:val="1"/>
          <w:bCs w:val="1"/>
          <w:i w:val="1"/>
          <w:iCs w:val="1"/>
          <w:sz w:val="22"/>
          <w:szCs w:val="22"/>
          <w:rtl w:val="0"/>
        </w:rPr>
        <w:t xml:space="preserve">sine qua non </w:t>
      </w:r>
      <w:r w:rsidDel="00000000" w:rsidR="00000000" w:rsidRPr="00000000">
        <w:rPr>
          <w:rFonts w:ascii="Palatino Linotype" w:cs="Palatino Linotype" w:eastAsia="Palatino Linotype" w:hAnsi="Palatino Linotype"/>
          <w:sz w:val="22"/>
          <w:szCs w:val="22"/>
          <w:rtl w:val="0"/>
        </w:rPr>
        <w:t xml:space="preserve">para ingresar al servicio público, se convierte en información que da certeza a la ciudadanía de que el Servidor Público que ostenta un cargo de Titular cumplió con los requisitos señalados en la Ley del Trabajo de los Servidores Públicos del Estado y Municipios, tan es así, que se trae a colación lo señalado en la nota periodística </w:t>
      </w:r>
      <w:hyperlink r:id="rId9">
        <w:r w:rsidDel="00000000" w:rsidR="00000000" w:rsidRPr="00000000">
          <w:rPr>
            <w:rFonts w:ascii="Palatino Linotype" w:cs="Palatino Linotype" w:eastAsia="Palatino Linotype" w:hAnsi="Palatino Linotype"/>
            <w:sz w:val="22"/>
            <w:szCs w:val="22"/>
            <w:rtl w:val="0"/>
          </w:rPr>
          <w:t xml:space="preserve">https://www.unionedomex.mx/2023/03/24/busqueda-de-deudores-alimentarios-morosos-estado-de-mexico-2023/</w:t>
        </w:r>
      </w:hyperlink>
      <w:r w:rsidDel="00000000" w:rsidR="00000000" w:rsidRPr="00000000">
        <w:rPr>
          <w:rFonts w:ascii="Palatino Linotype" w:cs="Palatino Linotype" w:eastAsia="Palatino Linotype" w:hAnsi="Palatino Linotype"/>
          <w:sz w:val="22"/>
          <w:szCs w:val="22"/>
          <w:rtl w:val="0"/>
        </w:rPr>
        <w:t xml:space="preserve">, que a manera de referencia, se inserta:</w:t>
      </w:r>
    </w:p>
    <w:p w:rsidR="00000000" w:rsidDel="00000000" w:rsidP="00000000" w:rsidRDefault="00000000" w:rsidRPr="00000000" w14:paraId="000000A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708780" cy="2172645"/>
            <wp:effectExtent b="3175" l="3175" r="3175" t="3175"/>
            <wp:docPr id="2143108287" name="image2.png"/>
            <a:graphic>
              <a:graphicData uri="http://schemas.openxmlformats.org/drawingml/2006/picture">
                <pic:pic>
                  <pic:nvPicPr>
                    <pic:cNvPr id="0" name="image2.png"/>
                    <pic:cNvPicPr preferRelativeResize="0"/>
                  </pic:nvPicPr>
                  <pic:blipFill>
                    <a:blip r:embed="rId10"/>
                    <a:srcRect b="0" l="0" r="0" t="19894"/>
                    <a:stretch>
                      <a:fillRect/>
                    </a:stretch>
                  </pic:blipFill>
                  <pic:spPr>
                    <a:xfrm>
                      <a:off x="0" y="0"/>
                      <a:ext cx="5708780" cy="2172645"/>
                    </a:xfrm>
                    <a:prstGeom prst="rect"/>
                    <a:ln w="317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Derivado de lo anterior, cualquier ciudadano que desee obtener dicha información, podrá ingresar a la Ventanilla Electrónica Única, en la que accederá con su CUTS y contraseña, capturando los datos como son CURP, nombre, primer y segundo apellido, y se comenzará la búsqueda de lo solicitado, en el que arrojará si se encuentra en calidad de deudor o no. </w:t>
      </w:r>
    </w:p>
    <w:p w:rsidR="00000000" w:rsidDel="00000000" w:rsidP="00000000" w:rsidRDefault="00000000" w:rsidRPr="00000000" w14:paraId="000000A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no pasa desapercibido, que el Certificado de No Deudor Alimentario pudiera contener información confidencial, como lo es de manera enunciativa más no limitativa el CURP; por lo tanto, procede su entrega en versión pública.</w:t>
      </w:r>
    </w:p>
    <w:p w:rsidR="00000000" w:rsidDel="00000000" w:rsidP="00000000" w:rsidRDefault="00000000" w:rsidRPr="00000000" w14:paraId="000000A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en el caso es de recordar que quien se pronunció sobre lo requerido fue la Dirección de Recursos Humanos de la Dirección General de Administración, quien se presume competente para conocer de lo requerido, pues es la unidad administrativa que lleva la administración del personal y los expedientes laborales de los servidores públicos, y por tanto conoce quienes laboran en cada una de las dependencias que integran al Ayuntamiento y los documentos que proporcionaron para su ingreso al servicio público.</w:t>
      </w:r>
    </w:p>
    <w:p w:rsidR="00000000" w:rsidDel="00000000" w:rsidP="00000000" w:rsidRDefault="00000000" w:rsidRPr="00000000" w14:paraId="000000A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E">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consecuencia, conforme lo expuesto, se siguió con el procedimiento establecido por el artículo 162 de la Ley de Transparencia y Acceso a la Información Pública del Estado de México y Municipios, ya que se turnó la solicitud al área competente en la que podría obrar la información de conformidad con la fracción XXXIX del artículo tercero de la legislación local vigente en materia de transparencia: </w:t>
      </w:r>
    </w:p>
    <w:p w:rsidR="00000000" w:rsidDel="00000000" w:rsidP="00000000" w:rsidRDefault="00000000" w:rsidRPr="00000000" w14:paraId="000000AF">
      <w:pPr>
        <w:rPr>
          <w:sz w:val="22"/>
          <w:szCs w:val="22"/>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ind w:left="864" w:right="864" w:firstLine="0"/>
        <w:jc w:val="both"/>
        <w:rPr>
          <w:sz w:val="22"/>
          <w:szCs w:val="22"/>
        </w:rPr>
      </w:pPr>
      <w:r w:rsidDel="00000000" w:rsidR="00000000" w:rsidRPr="00000000">
        <w:rPr>
          <w:rFonts w:ascii="Palatino Linotype" w:cs="Palatino Linotype" w:eastAsia="Palatino Linotype" w:hAnsi="Palatino Linotype"/>
          <w:i w:val="1"/>
          <w:iCs w:val="1"/>
          <w:sz w:val="22"/>
          <w:szCs w:val="22"/>
          <w:rtl w:val="0"/>
        </w:rPr>
        <w:t xml:space="preserve">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r w:rsidDel="00000000" w:rsidR="00000000" w:rsidRPr="00000000">
        <w:rPr>
          <w:rtl w:val="0"/>
        </w:rPr>
      </w:r>
    </w:p>
    <w:p w:rsidR="00000000" w:rsidDel="00000000" w:rsidP="00000000" w:rsidRDefault="00000000" w:rsidRPr="00000000" w14:paraId="000000B1">
      <w:pPr>
        <w:rPr>
          <w:sz w:val="22"/>
          <w:szCs w:val="22"/>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ffffff" w:val="clear"/>
        <w:spacing w:line="360" w:lineRule="auto"/>
        <w:jc w:val="both"/>
        <w:rPr>
          <w:sz w:val="22"/>
          <w:szCs w:val="22"/>
        </w:rPr>
      </w:pPr>
      <w:r w:rsidDel="00000000" w:rsidR="00000000" w:rsidRPr="00000000">
        <w:rPr>
          <w:rFonts w:ascii="Palatino Linotype" w:cs="Palatino Linotype" w:eastAsia="Palatino Linotype" w:hAnsi="Palatino Linotype"/>
          <w:sz w:val="22"/>
          <w:szCs w:val="22"/>
          <w:rtl w:val="0"/>
        </w:rPr>
        <w:t xml:space="preserve">En este orden de ideas, se advierte que la Unidad de Transparencia no cumplió con lo expresado en el artículo 162 de la Ley de Transparencia y Acceso a la Información Pública del Estado de México y Municipios, el cual menciona lo siguiente:</w:t>
      </w:r>
      <w:r w:rsidDel="00000000" w:rsidR="00000000" w:rsidRPr="00000000">
        <w:rPr>
          <w:rtl w:val="0"/>
        </w:rPr>
      </w:r>
    </w:p>
    <w:p w:rsidR="00000000" w:rsidDel="00000000" w:rsidP="00000000" w:rsidRDefault="00000000" w:rsidRPr="00000000" w14:paraId="000000B3">
      <w:pPr>
        <w:rPr>
          <w:sz w:val="22"/>
          <w:szCs w:val="22"/>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864" w:right="864" w:firstLine="0"/>
        <w:jc w:val="both"/>
        <w:rPr>
          <w:sz w:val="22"/>
          <w:szCs w:val="22"/>
        </w:rPr>
      </w:pPr>
      <w:r w:rsidDel="00000000" w:rsidR="00000000" w:rsidRPr="00000000">
        <w:rPr>
          <w:rFonts w:ascii="Palatino Linotype" w:cs="Palatino Linotype" w:eastAsia="Palatino Linotype" w:hAnsi="Palatino Linotype"/>
          <w:i w:val="1"/>
          <w:iCs w:val="1"/>
          <w:sz w:val="22"/>
          <w:szCs w:val="22"/>
          <w:rtl w:val="0"/>
        </w:rPr>
        <w:t xml:space="preserve">“Artículo 162. Las unidades de transparencia deberán garantizar que las solicitudes </w:t>
      </w:r>
      <w:r w:rsidDel="00000000" w:rsidR="00000000" w:rsidRPr="00000000">
        <w:rPr>
          <w:rFonts w:ascii="Palatino Linotype" w:cs="Palatino Linotype" w:eastAsia="Palatino Linotype" w:hAnsi="Palatino Linotype"/>
          <w:b w:val="1"/>
          <w:bCs w:val="1"/>
          <w:i w:val="1"/>
          <w:iCs w:val="1"/>
          <w:sz w:val="22"/>
          <w:szCs w:val="22"/>
          <w:rtl w:val="0"/>
        </w:rPr>
        <w:t xml:space="preserve">se turnen a todas las Áreas competentes </w:t>
      </w:r>
      <w:r w:rsidDel="00000000" w:rsidR="00000000" w:rsidRPr="00000000">
        <w:rPr>
          <w:rFonts w:ascii="Palatino Linotype" w:cs="Palatino Linotype" w:eastAsia="Palatino Linotype" w:hAnsi="Palatino Linotype"/>
          <w:i w:val="1"/>
          <w:iCs w:val="1"/>
          <w:sz w:val="22"/>
          <w:szCs w:val="22"/>
          <w:rtl w:val="0"/>
        </w:rPr>
        <w:t xml:space="preserve">que cuenten con la información o deban tenerla de acuerdo a sus facultades, competencias y funciones, con el objeto de que realicen una búsqueda exhaustiva y razonable de la información solicitada.”</w:t>
      </w:r>
      <w:r w:rsidDel="00000000" w:rsidR="00000000" w:rsidRPr="00000000">
        <w:rPr>
          <w:rtl w:val="0"/>
        </w:rPr>
      </w:r>
    </w:p>
    <w:p w:rsidR="00000000" w:rsidDel="00000000" w:rsidP="00000000" w:rsidRDefault="00000000" w:rsidRPr="00000000" w14:paraId="000000B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lo anterior, si bien en el caso se pronunció el servidor público habilitado competente, no se colmó el derecho de acceso a la información del particular, ya que sobre el requisito de mérito es de indicar que en respuesta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por conducto de la Directora de Recursos Humanos informó que después de una búsqueda en los archivos que guarda el Departamento de Administración de Personal, remite lo requerido, indicando que la información fue clasificada como confidencial en partes, por contener datos personales concernientes a la vida privada de los servidores públicos en términos del artículo 143 fracción I de la Ley de Transparencia y Acceso a la Información Pública del Estado de México y Municipios.</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dicha servidora pública habilitada competente además de que fue omisa en precisar que información entregaría en respuesta, tampoco hizo entrega de ninguna información, incluido el certificado de no deudor alimentario moroso en versión pública del quinto regidor, o bien, tampoco refirió si el mismo obra en el expediente o no de dicho funcionario.</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tanto, en cumplimiento a la presente resolución se deberá hacer entrega del documento requerido, de ser procedente en versión pública.</w:t>
      </w:r>
    </w:p>
    <w:p w:rsidR="00000000" w:rsidDel="00000000" w:rsidP="00000000" w:rsidRDefault="00000000" w:rsidRPr="00000000" w14:paraId="000000B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Sin embargo, ante la falta de precisión del ente obligado en el sentido de que si dicha documental obra o no en sus archivos, en el caso de no localizarse en los archivos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información que se ordena, por no haberse poseído o administrado al corresponder a un cargo de elección popular, bastará con que así se haga del conocimiento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términos del segundo párrafo del artículo 19 de la Ley de Transparencia Local.</w:t>
      </w:r>
    </w:p>
    <w:p w:rsidR="00000000" w:rsidDel="00000000" w:rsidP="00000000" w:rsidRDefault="00000000" w:rsidRPr="00000000" w14:paraId="000000B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E">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Versión Pública. </w:t>
      </w:r>
      <w:r w:rsidDel="00000000" w:rsidR="00000000" w:rsidRPr="00000000">
        <w:rPr>
          <w:rFonts w:ascii="Palatino Linotype" w:cs="Palatino Linotype" w:eastAsia="Palatino Linotype" w:hAnsi="Palatino Linotype"/>
          <w:sz w:val="22"/>
          <w:szCs w:val="22"/>
          <w:rtl w:val="0"/>
        </w:rPr>
        <w:t xml:space="preserve">Como fue debidamente apuntado,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000000" w:rsidDel="00000000" w:rsidP="00000000" w:rsidRDefault="00000000" w:rsidRPr="00000000" w14:paraId="000000BF">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000000" w:rsidDel="00000000" w:rsidP="00000000" w:rsidRDefault="00000000" w:rsidRPr="00000000" w14:paraId="000000C0">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000000" w:rsidDel="00000000" w:rsidP="00000000" w:rsidRDefault="00000000" w:rsidRPr="00000000" w14:paraId="000000C1">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los artículos 3, fracciones IX, XX, XXI, XXXII, XLV; 6, 91, 132, 137, 143, fracción I, de la Ley de Transparencia y Acceso a la Información Pública del Estado de México y Municipios vigente establecen:</w:t>
      </w:r>
    </w:p>
    <w:p w:rsidR="00000000" w:rsidDel="00000000" w:rsidP="00000000" w:rsidRDefault="00000000" w:rsidRPr="00000000" w14:paraId="000000C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w:t>
      </w:r>
      <w:r w:rsidDel="00000000" w:rsidR="00000000" w:rsidRPr="00000000">
        <w:rPr>
          <w:rFonts w:ascii="Palatino Linotype" w:cs="Palatino Linotype" w:eastAsia="Palatino Linotype" w:hAnsi="Palatino Linotype"/>
          <w:i w:val="1"/>
          <w:iCs w:val="1"/>
          <w:sz w:val="22"/>
          <w:szCs w:val="22"/>
          <w:rtl w:val="0"/>
        </w:rPr>
        <w:t xml:space="preserve"> Para los efectos de la presente Ley se entenderá por:</w:t>
      </w:r>
    </w:p>
    <w:p w:rsidR="00000000" w:rsidDel="00000000" w:rsidP="00000000" w:rsidRDefault="00000000" w:rsidRPr="00000000" w14:paraId="000000C3">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4">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Datos personales</w:t>
      </w:r>
      <w:r w:rsidDel="00000000" w:rsidR="00000000" w:rsidRPr="00000000">
        <w:rPr>
          <w:rFonts w:ascii="Palatino Linotype" w:cs="Palatino Linotype" w:eastAsia="Palatino Linotype" w:hAnsi="Palatino Linotype"/>
          <w:i w:val="1"/>
          <w:iCs w:val="1"/>
          <w:sz w:val="22"/>
          <w:szCs w:val="22"/>
          <w:rtl w:val="0"/>
        </w:rPr>
        <w:t xml:space="preserve">: La información concerniente a una persona, identificada o identificable según lo dispuesto por la Ley de Protección de Datos Personales del Estado de México;</w:t>
      </w:r>
    </w:p>
    <w:p w:rsidR="00000000" w:rsidDel="00000000" w:rsidP="00000000" w:rsidRDefault="00000000" w:rsidRPr="00000000" w14:paraId="000000C5">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6">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 Información clasificada</w:t>
      </w:r>
      <w:r w:rsidDel="00000000" w:rsidR="00000000" w:rsidRPr="00000000">
        <w:rPr>
          <w:rFonts w:ascii="Palatino Linotype" w:cs="Palatino Linotype" w:eastAsia="Palatino Linotype" w:hAnsi="Palatino Linotype"/>
          <w:i w:val="1"/>
          <w:iCs w:val="1"/>
          <w:sz w:val="22"/>
          <w:szCs w:val="22"/>
          <w:rtl w:val="0"/>
        </w:rPr>
        <w:t xml:space="preserve">: Aquella considerada por la presente Ley como reservada o confidencial;</w:t>
      </w:r>
    </w:p>
    <w:p w:rsidR="00000000" w:rsidDel="00000000" w:rsidP="00000000" w:rsidRDefault="00000000" w:rsidRPr="00000000" w14:paraId="000000C7">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 Información confidencial</w:t>
      </w:r>
      <w:r w:rsidDel="00000000" w:rsidR="00000000" w:rsidRPr="00000000">
        <w:rPr>
          <w:rFonts w:ascii="Palatino Linotype" w:cs="Palatino Linotype" w:eastAsia="Palatino Linotype" w:hAnsi="Palatino Linotype"/>
          <w:i w:val="1"/>
          <w:iCs w:val="1"/>
          <w:sz w:val="22"/>
          <w:szCs w:val="22"/>
          <w:rtl w:val="0"/>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000000" w:rsidDel="00000000" w:rsidP="00000000" w:rsidRDefault="00000000" w:rsidRPr="00000000" w14:paraId="000000C8">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9">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XXXII. Protección de Datos Personales</w:t>
      </w:r>
      <w:r w:rsidDel="00000000" w:rsidR="00000000" w:rsidRPr="00000000">
        <w:rPr>
          <w:rFonts w:ascii="Palatino Linotype" w:cs="Palatino Linotype" w:eastAsia="Palatino Linotype" w:hAnsi="Palatino Linotype"/>
          <w:i w:val="1"/>
          <w:iCs w:val="1"/>
          <w:sz w:val="22"/>
          <w:szCs w:val="22"/>
          <w:rtl w:val="0"/>
        </w:rPr>
        <w:t xml:space="preserve">: Derecho humano que tutela la privacidad de datos personales en poder de los sujetos obligados y sujetos particulares;</w:t>
      </w:r>
    </w:p>
    <w:p w:rsidR="00000000" w:rsidDel="00000000" w:rsidP="00000000" w:rsidRDefault="00000000" w:rsidRPr="00000000" w14:paraId="000000CA">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B">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XLV. Versión pública</w:t>
      </w:r>
      <w:r w:rsidDel="00000000" w:rsidR="00000000" w:rsidRPr="00000000">
        <w:rPr>
          <w:rFonts w:ascii="Palatino Linotype" w:cs="Palatino Linotype" w:eastAsia="Palatino Linotype" w:hAnsi="Palatino Linotype"/>
          <w:i w:val="1"/>
          <w:iCs w:val="1"/>
          <w:sz w:val="22"/>
          <w:szCs w:val="22"/>
          <w:rtl w:val="0"/>
        </w:rPr>
        <w:t xml:space="preserve">: Documento en el que se elimine, suprime o borra la información clasificada como reservada o confidencial para permitir su acceso.</w:t>
      </w:r>
    </w:p>
    <w:p w:rsidR="00000000" w:rsidDel="00000000" w:rsidP="00000000" w:rsidRDefault="00000000" w:rsidRPr="00000000" w14:paraId="000000C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6</w:t>
      </w:r>
      <w:r w:rsidDel="00000000" w:rsidR="00000000" w:rsidRPr="00000000">
        <w:rPr>
          <w:rFonts w:ascii="Palatino Linotype" w:cs="Palatino Linotype" w:eastAsia="Palatino Linotype" w:hAnsi="Palatino Linotype"/>
          <w:i w:val="1"/>
          <w:iCs w:val="1"/>
          <w:sz w:val="22"/>
          <w:szCs w:val="22"/>
          <w:rtl w:val="0"/>
        </w:rPr>
        <w:t xml:space="preserve">.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rsidR="00000000" w:rsidDel="00000000" w:rsidP="00000000" w:rsidRDefault="00000000" w:rsidRPr="00000000" w14:paraId="000000C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91.</w:t>
      </w:r>
      <w:r w:rsidDel="00000000" w:rsidR="00000000" w:rsidRPr="00000000">
        <w:rPr>
          <w:rFonts w:ascii="Palatino Linotype" w:cs="Palatino Linotype" w:eastAsia="Palatino Linotype" w:hAnsi="Palatino Linotype"/>
          <w:i w:val="1"/>
          <w:iCs w:val="1"/>
          <w:sz w:val="22"/>
          <w:szCs w:val="22"/>
          <w:rtl w:val="0"/>
        </w:rPr>
        <w:t xml:space="preserve"> El acceso a la información pública será restringido excepcionalmente, cuando ésta sea clasificada como reservada o confidencial.</w:t>
        <w:br w:type="textWrapping"/>
        <w:t xml:space="preserve">…</w:t>
      </w:r>
    </w:p>
    <w:p w:rsidR="00000000" w:rsidDel="00000000" w:rsidP="00000000" w:rsidRDefault="00000000" w:rsidRPr="00000000" w14:paraId="000000C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132.</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0D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0D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 autoridad competente; o</w:t>
      </w:r>
    </w:p>
    <w:p w:rsidR="00000000" w:rsidDel="00000000" w:rsidP="00000000" w:rsidRDefault="00000000" w:rsidRPr="00000000" w14:paraId="000000D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esta Ley.</w:t>
      </w:r>
    </w:p>
    <w:p w:rsidR="00000000" w:rsidDel="00000000" w:rsidP="00000000" w:rsidRDefault="00000000" w:rsidRPr="00000000" w14:paraId="000000D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0D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137.</w:t>
      </w:r>
      <w:r w:rsidDel="00000000" w:rsidR="00000000" w:rsidRPr="00000000">
        <w:rPr>
          <w:rFonts w:ascii="Palatino Linotype" w:cs="Palatino Linotype" w:eastAsia="Palatino Linotype" w:hAnsi="Palatino Linotype"/>
          <w:i w:val="1"/>
          <w:iCs w:val="1"/>
          <w:sz w:val="22"/>
          <w:szCs w:val="22"/>
          <w:rtl w:val="0"/>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rsidR="00000000" w:rsidDel="00000000" w:rsidP="00000000" w:rsidRDefault="00000000" w:rsidRPr="00000000" w14:paraId="000000D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143.</w:t>
      </w:r>
      <w:r w:rsidDel="00000000" w:rsidR="00000000" w:rsidRPr="00000000">
        <w:rPr>
          <w:rFonts w:ascii="Palatino Linotype" w:cs="Palatino Linotype" w:eastAsia="Palatino Linotype" w:hAnsi="Palatino Linotype"/>
          <w:i w:val="1"/>
          <w:iCs w:val="1"/>
          <w:sz w:val="22"/>
          <w:szCs w:val="22"/>
          <w:rtl w:val="0"/>
        </w:rPr>
        <w:t xml:space="preserve"> Para los efectos de esta Ley se considera información confidencial, la clasificada como tal, de manera permanente, por su naturaleza, cuando:</w:t>
      </w:r>
    </w:p>
    <w:p w:rsidR="00000000" w:rsidDel="00000000" w:rsidP="00000000" w:rsidRDefault="00000000" w:rsidRPr="00000000" w14:paraId="000000D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refiera a la información privada y los datos personales concernientes a una persona física o jurídico colectiva identificada o identificable...”</w:t>
      </w:r>
    </w:p>
    <w:p w:rsidR="00000000" w:rsidDel="00000000" w:rsidP="00000000" w:rsidRDefault="00000000" w:rsidRPr="00000000" w14:paraId="000000D7">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000000" w:rsidDel="00000000" w:rsidP="00000000" w:rsidRDefault="00000000" w:rsidRPr="00000000" w14:paraId="000000D8">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D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caso específico, la información que se ordena si bien tiene el carácter información pública en razón de que se trata de documentos que se encuentran en posesión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Del="00000000" w:rsidR="00000000" w:rsidRPr="00000000">
        <w:rPr>
          <w:rFonts w:ascii="Palatino Linotype" w:cs="Palatino Linotype" w:eastAsia="Palatino Linotype" w:hAnsi="Palatino Linotype"/>
          <w:b w:val="1"/>
          <w:bCs w:val="1"/>
          <w:sz w:val="22"/>
          <w:szCs w:val="22"/>
          <w:rtl w:val="0"/>
        </w:rPr>
        <w:t xml:space="preserve">Registro Federal de Contribuyentes</w:t>
      </w:r>
      <w:r w:rsidDel="00000000" w:rsidR="00000000" w:rsidRPr="00000000">
        <w:rPr>
          <w:rFonts w:ascii="Palatino Linotype" w:cs="Palatino Linotype" w:eastAsia="Palatino Linotype" w:hAnsi="Palatino Linotype"/>
          <w:sz w:val="22"/>
          <w:szCs w:val="22"/>
          <w:rtl w:val="0"/>
        </w:rPr>
        <w:t xml:space="preserve"> (RFC), la </w:t>
      </w:r>
      <w:r w:rsidDel="00000000" w:rsidR="00000000" w:rsidRPr="00000000">
        <w:rPr>
          <w:rFonts w:ascii="Palatino Linotype" w:cs="Palatino Linotype" w:eastAsia="Palatino Linotype" w:hAnsi="Palatino Linotype"/>
          <w:b w:val="1"/>
          <w:bCs w:val="1"/>
          <w:sz w:val="22"/>
          <w:szCs w:val="22"/>
          <w:rtl w:val="0"/>
        </w:rPr>
        <w:t xml:space="preserve">Clave Única de Registro de Población</w:t>
      </w:r>
      <w:r w:rsidDel="00000000" w:rsidR="00000000" w:rsidRPr="00000000">
        <w:rPr>
          <w:rFonts w:ascii="Palatino Linotype" w:cs="Palatino Linotype" w:eastAsia="Palatino Linotype" w:hAnsi="Palatino Linotype"/>
          <w:sz w:val="22"/>
          <w:szCs w:val="22"/>
          <w:rtl w:val="0"/>
        </w:rPr>
        <w:t xml:space="preserve"> (CURP).</w:t>
      </w:r>
    </w:p>
    <w:p w:rsidR="00000000" w:rsidDel="00000000" w:rsidP="00000000" w:rsidRDefault="00000000" w:rsidRPr="00000000" w14:paraId="000000DA">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D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cuanto hace al </w:t>
      </w:r>
      <w:r w:rsidDel="00000000" w:rsidR="00000000" w:rsidRPr="00000000">
        <w:rPr>
          <w:rFonts w:ascii="Palatino Linotype" w:cs="Palatino Linotype" w:eastAsia="Palatino Linotype" w:hAnsi="Palatino Linotype"/>
          <w:b w:val="1"/>
          <w:bCs w:val="1"/>
          <w:sz w:val="22"/>
          <w:szCs w:val="22"/>
          <w:rtl w:val="0"/>
        </w:rPr>
        <w:t xml:space="preserve">Registro Federal de Contribuyentes, RFC,</w:t>
      </w:r>
      <w:r w:rsidDel="00000000" w:rsidR="00000000" w:rsidRPr="00000000">
        <w:rPr>
          <w:rFonts w:ascii="Palatino Linotype" w:cs="Palatino Linotype" w:eastAsia="Palatino Linotype" w:hAnsi="Palatino Linotype"/>
          <w:sz w:val="22"/>
          <w:szCs w:val="22"/>
          <w:rtl w:val="0"/>
        </w:rPr>
        <w:t xml:space="preserve"> de las personas físicas, constituye un dato personal, pues se genera con caracteres alfanuméricos a partir del nombre y la fecha de nacimiento de cada persona, y finalmente la homoclave, por lo que para su obtención es necesario acreditar ante la autoridad fiscal previamente la identidad de la persona, su fecha de nacimiento, entre otros aspectos.</w:t>
      </w:r>
    </w:p>
    <w:p w:rsidR="00000000" w:rsidDel="00000000" w:rsidP="00000000" w:rsidRDefault="00000000" w:rsidRPr="00000000" w14:paraId="000000D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rsidR="00000000" w:rsidDel="00000000" w:rsidP="00000000" w:rsidRDefault="00000000" w:rsidRPr="00000000" w14:paraId="000000D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fue compartido por el entonces Instituto Nacional de Transparencia, Acceso a la Información y Protección de Datos Personales, INAI, a través del Criterio orientador con clave de control SO/019/2017, el cual es del tenor literal siguiente:</w:t>
      </w:r>
    </w:p>
    <w:p w:rsidR="00000000" w:rsidDel="00000000" w:rsidP="00000000" w:rsidRDefault="00000000" w:rsidRPr="00000000" w14:paraId="000000DE">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Registro Federal de Contribuyentes (RFC) de personas físicas</w:t>
      </w:r>
      <w:r w:rsidDel="00000000" w:rsidR="00000000" w:rsidRPr="00000000">
        <w:rPr>
          <w:rFonts w:ascii="Palatino Linotype" w:cs="Palatino Linotype" w:eastAsia="Palatino Linotype" w:hAnsi="Palatino Linotype"/>
          <w:i w:val="1"/>
          <w:iCs w:val="1"/>
          <w:sz w:val="22"/>
          <w:szCs w:val="22"/>
          <w:rtl w:val="0"/>
        </w:rPr>
        <w:t xml:space="preserve">. El RFC es una clave de carácter fiscal, única e irrepetible, que permite identificar al titular, su edad y fecha de nacimiento, por lo que es un dato personal de carácter confidencial.”</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el Registro Federal de Contribuyentes,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fracciones XI y XII de la Ley de Protección de Datos Personales en Posesión de los Sujetos Obligados del Estado de México y Municipios.</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bookmarkStart w:colFirst="0" w:colLast="0" w:name="_heading=h.44sinio" w:id="8"/>
      <w:bookmarkEnd w:id="8"/>
      <w:r w:rsidDel="00000000" w:rsidR="00000000" w:rsidRPr="00000000">
        <w:rPr>
          <w:rFonts w:ascii="Palatino Linotype" w:cs="Palatino Linotype" w:eastAsia="Palatino Linotype" w:hAnsi="Palatino Linotype"/>
          <w:sz w:val="22"/>
          <w:szCs w:val="22"/>
          <w:rtl w:val="0"/>
        </w:rPr>
        <w:t xml:space="preserve">De igual manera la </w:t>
      </w:r>
      <w:r w:rsidDel="00000000" w:rsidR="00000000" w:rsidRPr="00000000">
        <w:rPr>
          <w:rFonts w:ascii="Palatino Linotype" w:cs="Palatino Linotype" w:eastAsia="Palatino Linotype" w:hAnsi="Palatino Linotype"/>
          <w:b w:val="1"/>
          <w:bCs w:val="1"/>
          <w:sz w:val="22"/>
          <w:szCs w:val="22"/>
          <w:rtl w:val="0"/>
        </w:rPr>
        <w:t xml:space="preserve">Clave Única de Registro de Población</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CURP,</w:t>
      </w:r>
      <w:r w:rsidDel="00000000" w:rsidR="00000000" w:rsidRPr="00000000">
        <w:rPr>
          <w:rFonts w:ascii="Palatino Linotype" w:cs="Palatino Linotype" w:eastAsia="Palatino Linotype" w:hAnsi="Palatino Linotype"/>
          <w:sz w:val="22"/>
          <w:szCs w:val="22"/>
          <w:rtl w:val="0"/>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Argumento que era compartido por el entonces Instituto Nacional de Transparencia, Acceso a la Información y Protección de Datos Personales, INAI, conforme al Criterio de orientador con Clave de control SO/018/2017, el cual refiere:</w:t>
      </w:r>
    </w:p>
    <w:p w:rsidR="00000000" w:rsidDel="00000000" w:rsidP="00000000" w:rsidRDefault="00000000" w:rsidRPr="00000000" w14:paraId="000000E2">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“Clave Única de Registro de Población (CURP). </w:t>
      </w:r>
      <w:r w:rsidDel="00000000" w:rsidR="00000000" w:rsidRPr="00000000">
        <w:rPr>
          <w:rFonts w:ascii="Palatino Linotype" w:cs="Palatino Linotype" w:eastAsia="Palatino Linotype" w:hAnsi="Palatino Linotype"/>
          <w:i w:val="1"/>
          <w:iCs w:val="1"/>
          <w:sz w:val="22"/>
          <w:szCs w:val="22"/>
          <w:rtl w:val="0"/>
        </w:rPr>
        <w:t xml:space="preserve">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rsidR="00000000" w:rsidDel="00000000" w:rsidP="00000000" w:rsidRDefault="00000000" w:rsidRPr="00000000" w14:paraId="000000E3">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000000" w:rsidDel="00000000" w:rsidP="00000000" w:rsidRDefault="00000000" w:rsidRPr="00000000" w14:paraId="000000E4">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0E5">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 Aprobar, modificar o revocar la clasificación de la información</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E6">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53.</w:t>
      </w:r>
      <w:r w:rsidDel="00000000" w:rsidR="00000000" w:rsidRPr="00000000">
        <w:rPr>
          <w:rFonts w:ascii="Palatino Linotype" w:cs="Palatino Linotype" w:eastAsia="Palatino Linotype" w:hAnsi="Palatino Linotype"/>
          <w:i w:val="1"/>
          <w:iCs w:val="1"/>
          <w:sz w:val="22"/>
          <w:szCs w:val="22"/>
          <w:rtl w:val="0"/>
        </w:rPr>
        <w:t xml:space="preserve"> Las </w:t>
      </w:r>
      <w:r w:rsidDel="00000000" w:rsidR="00000000" w:rsidRPr="00000000">
        <w:rPr>
          <w:rFonts w:ascii="Palatino Linotype" w:cs="Palatino Linotype" w:eastAsia="Palatino Linotype" w:hAnsi="Palatino Linotype"/>
          <w:b w:val="1"/>
          <w:bCs w:val="1"/>
          <w:i w:val="1"/>
          <w:iCs w:val="1"/>
          <w:sz w:val="22"/>
          <w:szCs w:val="22"/>
          <w:rtl w:val="0"/>
        </w:rPr>
        <w:t xml:space="preserve">Unidades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E7">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 Presentar ante el Comité, el proyecto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E8">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59.</w:t>
      </w:r>
      <w:r w:rsidDel="00000000" w:rsidR="00000000" w:rsidRPr="00000000">
        <w:rPr>
          <w:rFonts w:ascii="Palatino Linotype" w:cs="Palatino Linotype" w:eastAsia="Palatino Linotype" w:hAnsi="Palatino Linotype"/>
          <w:i w:val="1"/>
          <w:iCs w:val="1"/>
          <w:sz w:val="22"/>
          <w:szCs w:val="22"/>
          <w:rtl w:val="0"/>
        </w:rPr>
        <w:t xml:space="preserve"> Los </w:t>
      </w:r>
      <w:r w:rsidDel="00000000" w:rsidR="00000000" w:rsidRPr="00000000">
        <w:rPr>
          <w:rFonts w:ascii="Palatino Linotype" w:cs="Palatino Linotype" w:eastAsia="Palatino Linotype" w:hAnsi="Palatino Linotype"/>
          <w:b w:val="1"/>
          <w:bCs w:val="1"/>
          <w:i w:val="1"/>
          <w:iCs w:val="1"/>
          <w:sz w:val="22"/>
          <w:szCs w:val="22"/>
          <w:rtl w:val="0"/>
        </w:rPr>
        <w:t xml:space="preserve">servidores públicos habilitados</w:t>
      </w:r>
      <w:r w:rsidDel="00000000" w:rsidR="00000000" w:rsidRPr="00000000">
        <w:rPr>
          <w:rFonts w:ascii="Palatino Linotype" w:cs="Palatino Linotype" w:eastAsia="Palatino Linotype" w:hAnsi="Palatino Linotype"/>
          <w:i w:val="1"/>
          <w:iCs w:val="1"/>
          <w:sz w:val="22"/>
          <w:szCs w:val="22"/>
          <w:rtl w:val="0"/>
        </w:rPr>
        <w:t xml:space="preserve"> tendrán las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 siguientes:</w:t>
      </w:r>
    </w:p>
    <w:p w:rsidR="00000000" w:rsidDel="00000000" w:rsidP="00000000" w:rsidRDefault="00000000" w:rsidRPr="00000000" w14:paraId="000000E9">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Integrar y presentar al responsable de la Unidad de Transparencia la propuesta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la cual tendrá los fundamentos y argumentos en que se basa dicha propuesta…”</w:t>
      </w:r>
    </w:p>
    <w:p w:rsidR="00000000" w:rsidDel="00000000" w:rsidP="00000000" w:rsidRDefault="00000000" w:rsidRPr="00000000" w14:paraId="000000E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000000" w:rsidDel="00000000" w:rsidP="00000000" w:rsidRDefault="00000000" w:rsidRPr="00000000" w14:paraId="000000E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lo cual, a su vez en el caso de información de carácter confidencial, se debe atender a lo que señala el artículo 149 de la Ley de Transparencia Local vigente, que se lee como sigue:</w:t>
      </w:r>
    </w:p>
    <w:p w:rsidR="00000000" w:rsidDel="00000000" w:rsidP="00000000" w:rsidRDefault="00000000" w:rsidRPr="00000000" w14:paraId="000000EC">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149.</w:t>
      </w:r>
      <w:r w:rsidDel="00000000" w:rsidR="00000000" w:rsidRPr="00000000">
        <w:rPr>
          <w:rFonts w:ascii="Palatino Linotype" w:cs="Palatino Linotype" w:eastAsia="Palatino Linotype" w:hAnsi="Palatino Linotype"/>
          <w:i w:val="1"/>
          <w:iCs w:val="1"/>
          <w:sz w:val="22"/>
          <w:szCs w:val="22"/>
          <w:rtl w:val="0"/>
        </w:rPr>
        <w:t xml:space="preserve"> El </w:t>
      </w:r>
      <w:r w:rsidDel="00000000" w:rsidR="00000000" w:rsidRPr="00000000">
        <w:rPr>
          <w:rFonts w:ascii="Palatino Linotype" w:cs="Palatino Linotype" w:eastAsia="Palatino Linotype" w:hAnsi="Palatino Linotype"/>
          <w:b w:val="1"/>
          <w:bCs w:val="1"/>
          <w:i w:val="1"/>
          <w:iCs w:val="1"/>
          <w:sz w:val="22"/>
          <w:szCs w:val="22"/>
          <w:rtl w:val="0"/>
        </w:rPr>
        <w:t xml:space="preserve">acuerdo que clasifique la información como confidencial</w:t>
      </w:r>
      <w:r w:rsidDel="00000000" w:rsidR="00000000" w:rsidRPr="00000000">
        <w:rPr>
          <w:rFonts w:ascii="Palatino Linotype" w:cs="Palatino Linotype" w:eastAsia="Palatino Linotype" w:hAnsi="Palatino Linotype"/>
          <w:i w:val="1"/>
          <w:iCs w:val="1"/>
          <w:sz w:val="22"/>
          <w:szCs w:val="22"/>
          <w:rtl w:val="0"/>
        </w:rPr>
        <w:t xml:space="preserve"> deberá contener un razonamiento lógico en el que demuestre que la información se encuentra en alguna o algunas de las hipótesis previstas en la presente Ley.” </w:t>
      </w:r>
    </w:p>
    <w:p w:rsidR="00000000" w:rsidDel="00000000" w:rsidP="00000000" w:rsidRDefault="00000000" w:rsidRPr="00000000" w14:paraId="000000ED">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000000" w:rsidDel="00000000" w:rsidP="00000000" w:rsidRDefault="00000000" w:rsidRPr="00000000" w14:paraId="000000E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Atento a lo anterior, cabe señalar que el Comité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emitir el acuerdo de clasificación de información debidamente fundado y motivado, en términos de los Lineamientos Segundo, fracción XVIII, y del Cuarto al Décimo Primero de los “Lineamientos Generales en materia de Clasificación y Desclasificación de la Información, así como para la elaboración de Versiones Públicas”, vigentes a la fecha de la solicitud que literalmente expresan:</w:t>
      </w:r>
    </w:p>
    <w:p w:rsidR="00000000" w:rsidDel="00000000" w:rsidP="00000000" w:rsidRDefault="00000000" w:rsidRPr="00000000" w14:paraId="000000EF">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Segundo.-</w:t>
      </w:r>
      <w:r w:rsidDel="00000000" w:rsidR="00000000" w:rsidRPr="00000000">
        <w:rPr>
          <w:rFonts w:ascii="Palatino Linotype" w:cs="Palatino Linotype" w:eastAsia="Palatino Linotype" w:hAnsi="Palatino Linotype"/>
          <w:i w:val="1"/>
          <w:iCs w:val="1"/>
          <w:sz w:val="22"/>
          <w:szCs w:val="22"/>
          <w:rtl w:val="0"/>
        </w:rPr>
        <w:t xml:space="preserve"> Para efectos de los presentes Lineamientos Generales, se entenderá por:</w:t>
      </w:r>
    </w:p>
    <w:p w:rsidR="00000000" w:rsidDel="00000000" w:rsidP="00000000" w:rsidRDefault="00000000" w:rsidRPr="00000000" w14:paraId="000000F0">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XVIII.</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Versión pública:</w:t>
      </w:r>
      <w:r w:rsidDel="00000000" w:rsidR="00000000" w:rsidRPr="00000000">
        <w:rPr>
          <w:rFonts w:ascii="Palatino Linotype" w:cs="Palatino Linotype" w:eastAsia="Palatino Linotype" w:hAnsi="Palatino Linotype"/>
          <w:i w:val="1"/>
          <w:iCs w:val="1"/>
          <w:sz w:val="22"/>
          <w:szCs w:val="22"/>
          <w:rtl w:val="0"/>
        </w:rPr>
        <w:t xml:space="preserve"> El documento a partir del que se otorga acceso a la información, en el que se testan partes o secciones clasificadas, indicando el contenido de éstas de manera genérica, </w:t>
      </w:r>
      <w:r w:rsidDel="00000000" w:rsidR="00000000" w:rsidRPr="00000000">
        <w:rPr>
          <w:rFonts w:ascii="Palatino Linotype" w:cs="Palatino Linotype" w:eastAsia="Palatino Linotype" w:hAnsi="Palatino Linotype"/>
          <w:b w:val="1"/>
          <w:bCs w:val="1"/>
          <w:i w:val="1"/>
          <w:iCs w:val="1"/>
          <w:sz w:val="22"/>
          <w:szCs w:val="22"/>
          <w:rtl w:val="0"/>
        </w:rPr>
        <w:t xml:space="preserve">fundando y motivando la</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reserva o confidencialidad</w:t>
      </w:r>
      <w:r w:rsidDel="00000000" w:rsidR="00000000" w:rsidRPr="00000000">
        <w:rPr>
          <w:rFonts w:ascii="Palatino Linotype" w:cs="Palatino Linotype" w:eastAsia="Palatino Linotype" w:hAnsi="Palatino Linotype"/>
          <w:i w:val="1"/>
          <w:iCs w:val="1"/>
          <w:sz w:val="22"/>
          <w:szCs w:val="22"/>
          <w:rtl w:val="0"/>
        </w:rPr>
        <w:t xml:space="preserve">, a través de la resolución que para tal efecto emita el Comité de Transparencia.</w:t>
      </w:r>
    </w:p>
    <w:p w:rsidR="00000000" w:rsidDel="00000000" w:rsidP="00000000" w:rsidRDefault="00000000" w:rsidRPr="00000000" w14:paraId="000000F1">
      <w:pPr>
        <w:tabs>
          <w:tab w:val="left" w:leader="none" w:pos="8222"/>
        </w:tabs>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F2">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Cuarto.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Para clasificar la información como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reservada 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confidencial, de manera total o parcial, el titular del área del sujeto obligado deberá atender lo dispuesto por el Título Sexto de la Ley General</w:t>
      </w:r>
      <w:r w:rsidDel="00000000" w:rsidR="00000000" w:rsidRPr="00000000">
        <w:rPr>
          <w:rFonts w:ascii="Palatino Linotype" w:cs="Palatino Linotype" w:eastAsia="Palatino Linotype" w:hAnsi="Palatino Linotype"/>
          <w:i w:val="1"/>
          <w:iCs w:val="1"/>
          <w:sz w:val="22"/>
          <w:szCs w:val="22"/>
          <w:rtl w:val="0"/>
        </w:rPr>
        <w:t xml:space="preserve">, en relación con las disposiciones contenidas en los presentes lineamientos, así como en aquellas disposiciones legales aplicables a la materia en el ámbito de sus respectivas competencias, en tanto estas últimas no contravengan lo dispuesto en la Ley General.</w:t>
      </w:r>
    </w:p>
    <w:p w:rsidR="00000000" w:rsidDel="00000000" w:rsidP="00000000" w:rsidRDefault="00000000" w:rsidRPr="00000000" w14:paraId="000000F3">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sujetos obligados deberán aplicar, de manera estricta, las excepciones al derecho de acceso a la información y sólo podrán invocarlas cuando acrediten su procedencia.</w:t>
      </w:r>
    </w:p>
    <w:p w:rsidR="00000000" w:rsidDel="00000000" w:rsidP="00000000" w:rsidRDefault="00000000" w:rsidRPr="00000000" w14:paraId="000000F4">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Quinto.</w:t>
      </w:r>
      <w:r w:rsidDel="00000000" w:rsidR="00000000" w:rsidRPr="00000000">
        <w:rPr>
          <w:rFonts w:ascii="Palatino Linotype" w:cs="Palatino Linotype" w:eastAsia="Palatino Linotype" w:hAnsi="Palatino Linotype"/>
          <w:i w:val="1"/>
          <w:iCs w:val="1"/>
          <w:sz w:val="22"/>
          <w:szCs w:val="22"/>
          <w:rtl w:val="0"/>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rsidR="00000000" w:rsidDel="00000000" w:rsidP="00000000" w:rsidRDefault="00000000" w:rsidRPr="00000000" w14:paraId="000000F5">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Sexto.</w:t>
      </w:r>
      <w:r w:rsidDel="00000000" w:rsidR="00000000" w:rsidRPr="00000000">
        <w:rPr>
          <w:rFonts w:ascii="Palatino Linotype" w:cs="Palatino Linotype" w:eastAsia="Palatino Linotype" w:hAnsi="Palatino Linotype"/>
          <w:i w:val="1"/>
          <w:iCs w:val="1"/>
          <w:sz w:val="22"/>
          <w:szCs w:val="22"/>
          <w:rtl w:val="0"/>
        </w:rPr>
        <w:t xml:space="preserve"> Se deroga.</w:t>
      </w:r>
    </w:p>
    <w:p w:rsidR="00000000" w:rsidDel="00000000" w:rsidP="00000000" w:rsidRDefault="00000000" w:rsidRPr="00000000" w14:paraId="000000F6">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Séptimo.</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0F7">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0F8">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del Comité de Transparencia, el órgano garante competente, o en cumplimiento a una sentencia del Poder Judicial; o</w:t>
      </w:r>
    </w:p>
    <w:p w:rsidR="00000000" w:rsidDel="00000000" w:rsidP="00000000" w:rsidRDefault="00000000" w:rsidRPr="00000000" w14:paraId="000000F9">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la Ley General, la Ley Federal y las correspondientes de las entidades federativas.</w:t>
      </w:r>
    </w:p>
    <w:p w:rsidR="00000000" w:rsidDel="00000000" w:rsidP="00000000" w:rsidRDefault="00000000" w:rsidRPr="00000000" w14:paraId="000000FA">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titulares de las áreas deberán revisar la clasificación al momento de la recepción de una solicitud de acceso, para verificar</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conforme a su naturaleza, si encuadra en una causal de reserva o de confidencialidad.</w:t>
      </w:r>
    </w:p>
    <w:p w:rsidR="00000000" w:rsidDel="00000000" w:rsidP="00000000" w:rsidRDefault="00000000" w:rsidRPr="00000000" w14:paraId="000000FB">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Octavo.</w:t>
      </w:r>
      <w:r w:rsidDel="00000000" w:rsidR="00000000" w:rsidRPr="00000000">
        <w:rPr>
          <w:rFonts w:ascii="Palatino Linotype" w:cs="Palatino Linotype" w:eastAsia="Palatino Linotype" w:hAnsi="Palatino Linotype"/>
          <w:i w:val="1"/>
          <w:iCs w:val="1"/>
          <w:sz w:val="22"/>
          <w:szCs w:val="22"/>
          <w:rtl w:val="0"/>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rsidR="00000000" w:rsidDel="00000000" w:rsidP="00000000" w:rsidRDefault="00000000" w:rsidRPr="00000000" w14:paraId="000000FC">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motivar la clasificación se deberán señalar las razones o circunstancias especiales que lo llevaron a concluir que el caso particular se ajusta al supuesto previsto por la norma legal invocada como fundamento.</w:t>
      </w:r>
    </w:p>
    <w:p w:rsidR="00000000" w:rsidDel="00000000" w:rsidP="00000000" w:rsidRDefault="00000000" w:rsidRPr="00000000" w14:paraId="000000FD">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rsidR="00000000" w:rsidDel="00000000" w:rsidP="00000000" w:rsidRDefault="00000000" w:rsidRPr="00000000" w14:paraId="000000FE">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Noveno.</w:t>
      </w:r>
      <w:r w:rsidDel="00000000" w:rsidR="00000000" w:rsidRPr="00000000">
        <w:rPr>
          <w:rFonts w:ascii="Palatino Linotype" w:cs="Palatino Linotype" w:eastAsia="Palatino Linotype" w:hAnsi="Palatino Linotype"/>
          <w:i w:val="1"/>
          <w:iCs w:val="1"/>
          <w:sz w:val="22"/>
          <w:szCs w:val="22"/>
          <w:rtl w:val="0"/>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rsidR="00000000" w:rsidDel="00000000" w:rsidP="00000000" w:rsidRDefault="00000000" w:rsidRPr="00000000" w14:paraId="000000FF">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Décimo.</w:t>
      </w:r>
      <w:r w:rsidDel="00000000" w:rsidR="00000000" w:rsidRPr="00000000">
        <w:rPr>
          <w:rFonts w:ascii="Palatino Linotype" w:cs="Palatino Linotype" w:eastAsia="Palatino Linotype" w:hAnsi="Palatino Linotype"/>
          <w:i w:val="1"/>
          <w:iCs w:val="1"/>
          <w:sz w:val="22"/>
          <w:szCs w:val="22"/>
          <w:rtl w:val="0"/>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rsidR="00000000" w:rsidDel="00000000" w:rsidP="00000000" w:rsidRDefault="00000000" w:rsidRPr="00000000" w14:paraId="00000100">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ausencia de los titulares de las áreas, la información será clasificada o desclasificada por la persona que lo supla, en términos de la normativa que rija la actuación del sujeto obligado.</w:t>
      </w:r>
    </w:p>
    <w:p w:rsidR="00000000" w:rsidDel="00000000" w:rsidP="00000000" w:rsidRDefault="00000000" w:rsidRPr="00000000" w14:paraId="00000101">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Décimo primero.</w:t>
      </w:r>
      <w:r w:rsidDel="00000000" w:rsidR="00000000" w:rsidRPr="00000000">
        <w:rPr>
          <w:rFonts w:ascii="Palatino Linotype" w:cs="Palatino Linotype" w:eastAsia="Palatino Linotype" w:hAnsi="Palatino Linotype"/>
          <w:i w:val="1"/>
          <w:iCs w:val="1"/>
          <w:sz w:val="22"/>
          <w:szCs w:val="22"/>
          <w:rtl w:val="0"/>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respecto a las formalidades que deberá llevar el acuerdo de clasificación que deberá emitir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la solicitud, señalan lo siguiente:</w:t>
      </w:r>
    </w:p>
    <w:p w:rsidR="00000000" w:rsidDel="00000000" w:rsidP="00000000" w:rsidRDefault="00000000" w:rsidRPr="00000000" w14:paraId="00000103">
      <w:pP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w:t>
      </w:r>
      <w:r w:rsidDel="00000000" w:rsidR="00000000" w:rsidRPr="00000000">
        <w:rPr>
          <w:rFonts w:ascii="Palatino Linotype" w:cs="Palatino Linotype" w:eastAsia="Palatino Linotype" w:hAnsi="Palatino Linotype"/>
          <w:i w:val="1"/>
          <w:iCs w:val="1"/>
          <w:sz w:val="22"/>
          <w:szCs w:val="22"/>
          <w:rtl w:val="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primero. </w:t>
      </w:r>
      <w:r w:rsidDel="00000000" w:rsidR="00000000" w:rsidRPr="00000000">
        <w:rPr>
          <w:rFonts w:ascii="Palatino Linotype" w:cs="Palatino Linotype" w:eastAsia="Palatino Linotype" w:hAnsi="Palatino Linotype"/>
          <w:i w:val="1"/>
          <w:iCs w:val="1"/>
          <w:sz w:val="22"/>
          <w:szCs w:val="22"/>
          <w:rtl w:val="0"/>
        </w:rPr>
        <w:t xml:space="preserve">Toda acta del Comité de Transparencia deberá contener: </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El número de sesión y fecha; </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del área que solicitó la clasificación de información; </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fundamentación legal y motivación correspondiente; </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La resolución o resoluciones aprobadas; y </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La rúbrica o firma digital de cada integrante del Comité de Transparencia. </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Las resoluciones del Comité en las que se haya determinado confirmar o modificar la clasificación de información pública como reservada, deberán incluir, cuando menos: </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Los motivos y razonamientos que sustenten la confirmación o modificación de la prueba de daño;</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Descripción de las partes o secciones reservadas, en caso de clasificación parcial</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El periodo por el que mantendrá su clasificación y fecha de expiración; y </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El nombre del titular y área encargada de realizar la versión pública del documento, en su caso. </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en que se clasifique la información como reservada siempre se entregará o anexará la prueba de daño con la respuesta al solicitante. </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de resoluciones del Comité de Transparencia en las que se confirme la clasificación de información confidencial solo se deberán de identificar los tipos de datos protegidos, de conformidad con el lineamiento trigésimo octavo.</w:t>
      </w:r>
    </w:p>
    <w:p w:rsidR="00000000" w:rsidDel="00000000" w:rsidP="00000000" w:rsidRDefault="00000000" w:rsidRPr="00000000" w14:paraId="0000011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la elaboración de las versiones públicas, además, se deberán observar las formalidades establecidas en los Lineamientos Quincuagésimo segundo, Quincuagésimo cuarto, Quincuagésimo quinto, Quincuagésimo séptimo y Quincuagésimo octavo, vigentes a la fecha de la solicitud, que establecen lo siguiente:</w:t>
      </w:r>
    </w:p>
    <w:p w:rsidR="00000000" w:rsidDel="00000000" w:rsidP="00000000" w:rsidRDefault="00000000" w:rsidRPr="00000000" w14:paraId="00000112">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Quincuagésimo segundo</w:t>
      </w:r>
      <w:r w:rsidDel="00000000" w:rsidR="00000000" w:rsidRPr="00000000">
        <w:rPr>
          <w:rFonts w:ascii="Palatino Linotype" w:cs="Palatino Linotype" w:eastAsia="Palatino Linotype" w:hAnsi="Palatino Linotype"/>
          <w:i w:val="1"/>
          <w:iCs w:val="1"/>
          <w:sz w:val="22"/>
          <w:szCs w:val="22"/>
          <w:rtl w:val="0"/>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rsidR="00000000" w:rsidDel="00000000" w:rsidP="00000000" w:rsidRDefault="00000000" w:rsidRPr="00000000" w14:paraId="00000113">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el caso específico de la clasificación y elaboración de versiones públicas de documentos que contengan información confidencial, las áreas de los sujetos obligados deberán: </w:t>
      </w:r>
    </w:p>
    <w:p w:rsidR="00000000" w:rsidDel="00000000" w:rsidP="00000000" w:rsidRDefault="00000000" w:rsidRPr="00000000" w14:paraId="00000114">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Fijar la fecha en que se elaboró la versión pública y la fecha en la cual el Comité de Transparencia confirmó dicha versión;</w:t>
      </w:r>
    </w:p>
    <w:p w:rsidR="00000000" w:rsidDel="00000000" w:rsidP="00000000" w:rsidRDefault="00000000" w:rsidRPr="00000000" w14:paraId="00000115">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Señalar dentro del documento el tipo de información confidencial que fue testada en cada caso específico, de conformidad con el lineamiento trigésimo octavo; y</w:t>
      </w:r>
    </w:p>
    <w:p w:rsidR="00000000" w:rsidDel="00000000" w:rsidP="00000000" w:rsidRDefault="00000000" w:rsidRPr="00000000" w14:paraId="00000116">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Señalar las personas o instancias autorizadas a acceder a la información clasificada.</w:t>
      </w:r>
    </w:p>
    <w:p w:rsidR="00000000" w:rsidDel="00000000" w:rsidP="00000000" w:rsidRDefault="00000000" w:rsidRPr="00000000" w14:paraId="00000117">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documentos de difusión electrónica, señalar en la primera hoja y en el nombre del archivo, que la versión pública corresponde a un documento que contiene información confidencial.”</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cuarto. </w:t>
      </w:r>
      <w:r w:rsidDel="00000000" w:rsidR="00000000" w:rsidRPr="00000000">
        <w:rPr>
          <w:rFonts w:ascii="Palatino Linotype" w:cs="Palatino Linotype" w:eastAsia="Palatino Linotype" w:hAnsi="Palatino Linotype"/>
          <w:i w:val="1"/>
          <w:iCs w:val="1"/>
          <w:sz w:val="22"/>
          <w:szCs w:val="22"/>
          <w:rtl w:val="0"/>
        </w:rPr>
        <w:t xml:space="preserve">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1A">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quinto. </w:t>
      </w:r>
      <w:r w:rsidDel="00000000" w:rsidR="00000000" w:rsidRPr="00000000">
        <w:rPr>
          <w:rFonts w:ascii="Palatino Linotype" w:cs="Palatino Linotype" w:eastAsia="Palatino Linotype" w:hAnsi="Palatino Linotype"/>
          <w:i w:val="1"/>
          <w:iCs w:val="1"/>
          <w:sz w:val="22"/>
          <w:szCs w:val="22"/>
          <w:rtl w:val="0"/>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rsidR="00000000" w:rsidDel="00000000" w:rsidP="00000000" w:rsidRDefault="00000000" w:rsidRPr="00000000" w14:paraId="0000011B">
      <w:pPr>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11C">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séptimo</w:t>
      </w:r>
      <w:r w:rsidDel="00000000" w:rsidR="00000000" w:rsidRPr="00000000">
        <w:rPr>
          <w:rFonts w:ascii="Palatino Linotype" w:cs="Palatino Linotype" w:eastAsia="Palatino Linotype" w:hAnsi="Palatino Linotype"/>
          <w:i w:val="1"/>
          <w:iCs w:val="1"/>
          <w:sz w:val="22"/>
          <w:szCs w:val="22"/>
          <w:rtl w:val="0"/>
        </w:rPr>
        <w:t xml:space="preserve">. Se considera, en principio, como información pública y no podrá omitirse de las versiones públicas la siguiente: </w:t>
      </w:r>
    </w:p>
    <w:p w:rsidR="00000000" w:rsidDel="00000000" w:rsidP="00000000" w:rsidRDefault="00000000" w:rsidRPr="00000000" w14:paraId="0000011D">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 relativa a las Obligaciones de Transparencia que contempla el Título V de la Ley General y las demás disposiciones legales aplicables; </w:t>
      </w:r>
    </w:p>
    <w:p w:rsidR="00000000" w:rsidDel="00000000" w:rsidP="00000000" w:rsidRDefault="00000000" w:rsidRPr="00000000" w14:paraId="0000011E">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 los integrantes de los sujetos obligados en los documentos, y sus firmas autógrafas o digitales, cuando sean utilizados en el ejercicio de las facultades conferidas para el desempeño del servicio público, y</w:t>
      </w:r>
    </w:p>
    <w:p w:rsidR="00000000" w:rsidDel="00000000" w:rsidP="00000000" w:rsidRDefault="00000000" w:rsidRPr="00000000" w14:paraId="0000011F">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rsidR="00000000" w:rsidDel="00000000" w:rsidP="00000000" w:rsidRDefault="00000000" w:rsidRPr="00000000" w14:paraId="00000120">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 anterior, siempre y cuando no se acredite alguna causal de clasificación, prevista en las leyes o en los tratados internacionales suscritas por el Estado mexicano.  </w:t>
      </w:r>
    </w:p>
    <w:p w:rsidR="00000000" w:rsidDel="00000000" w:rsidP="00000000" w:rsidRDefault="00000000" w:rsidRPr="00000000" w14:paraId="00000121">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octavo</w:t>
      </w:r>
      <w:r w:rsidDel="00000000" w:rsidR="00000000" w:rsidRPr="00000000">
        <w:rPr>
          <w:rFonts w:ascii="Palatino Linotype" w:cs="Palatino Linotype" w:eastAsia="Palatino Linotype" w:hAnsi="Palatino Linotype"/>
          <w:i w:val="1"/>
          <w:iCs w:val="1"/>
          <w:sz w:val="22"/>
          <w:szCs w:val="22"/>
          <w:rtl w:val="0"/>
        </w:rPr>
        <w:t xml:space="preserve">. Los sujetos obligados garantizarán que los sistemas o medios empleados para eliminar la información en las versiones públicas sean irreversibles, de tal forma que no permitan su recuperación o la visualización de la misma.”</w:t>
      </w:r>
    </w:p>
    <w:p w:rsidR="00000000" w:rsidDel="00000000" w:rsidP="00000000" w:rsidRDefault="00000000" w:rsidRPr="00000000" w14:paraId="00000122">
      <w:pPr>
        <w:shd w:fill="ffffff" w:val="clea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tanto, la entrega de documentos en su versión pública debe acompañarse necesariamente del Acuerdo del Comité de Transparencia que la sustente, en el que se expongan los fundamentos y razonamientos que llevaron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del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2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240" w:before="240" w:line="360" w:lineRule="auto"/>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r w:rsidDel="00000000" w:rsidR="00000000" w:rsidRPr="00000000">
        <w:rPr>
          <w:rtl w:val="0"/>
        </w:rPr>
      </w:r>
    </w:p>
    <w:p w:rsidR="00000000" w:rsidDel="00000000" w:rsidP="00000000" w:rsidRDefault="00000000" w:rsidRPr="00000000" w14:paraId="00000126">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fundadas</w:t>
      </w:r>
      <w:r w:rsidDel="00000000" w:rsidR="00000000" w:rsidRPr="00000000">
        <w:rPr>
          <w:rFonts w:ascii="Palatino Linotype" w:cs="Palatino Linotype" w:eastAsia="Palatino Linotype" w:hAnsi="Palatino Linotype"/>
          <w:sz w:val="22"/>
          <w:szCs w:val="22"/>
          <w:rtl w:val="0"/>
        </w:rPr>
        <w:t xml:space="preserve"> las razones o motivos de inconformidad hechos valer por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06609/INFOEM/IP/RR/2026</w:t>
      </w:r>
      <w:r w:rsidDel="00000000" w:rsidR="00000000" w:rsidRPr="00000000">
        <w:rPr>
          <w:rFonts w:ascii="Palatino Linotype" w:cs="Palatino Linotype" w:eastAsia="Palatino Linotype" w:hAnsi="Palatino Linotype"/>
          <w:sz w:val="22"/>
          <w:szCs w:val="22"/>
          <w:rtl w:val="0"/>
        </w:rPr>
        <w:t xml:space="preserve">; por lo que, en términos del </w:t>
      </w:r>
      <w:r w:rsidDel="00000000" w:rsidR="00000000" w:rsidRPr="00000000">
        <w:rPr>
          <w:rFonts w:ascii="Palatino Linotype" w:cs="Palatino Linotype" w:eastAsia="Palatino Linotype" w:hAnsi="Palatino Linotype"/>
          <w:b w:val="1"/>
          <w:bCs w:val="1"/>
          <w:sz w:val="22"/>
          <w:szCs w:val="22"/>
          <w:rtl w:val="0"/>
        </w:rPr>
        <w:t xml:space="preserve">Considerando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Modifica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127">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2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w:t>
      </w:r>
      <w:r w:rsidDel="00000000" w:rsidR="00000000" w:rsidRPr="00000000">
        <w:rPr>
          <w:rFonts w:ascii="Palatino Linotype" w:cs="Palatino Linotype" w:eastAsia="Palatino Linotype" w:hAnsi="Palatino Linotype"/>
          <w:sz w:val="22"/>
          <w:szCs w:val="22"/>
          <w:rtl w:val="0"/>
        </w:rPr>
        <w:t xml:space="preserve">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los Considerandos </w:t>
      </w:r>
      <w:r w:rsidDel="00000000" w:rsidR="00000000" w:rsidRPr="00000000">
        <w:rPr>
          <w:rFonts w:ascii="Palatino Linotype" w:cs="Palatino Linotype" w:eastAsia="Palatino Linotype" w:hAnsi="Palatino Linotype"/>
          <w:b w:val="1"/>
          <w:bCs w:val="1"/>
          <w:sz w:val="22"/>
          <w:szCs w:val="22"/>
          <w:rtl w:val="0"/>
        </w:rPr>
        <w:t xml:space="preserve">Cuarto y Quinto </w:t>
      </w:r>
      <w:r w:rsidDel="00000000" w:rsidR="00000000" w:rsidRPr="00000000">
        <w:rPr>
          <w:rFonts w:ascii="Palatino Linotype" w:cs="Palatino Linotype" w:eastAsia="Palatino Linotype" w:hAnsi="Palatino Linotype"/>
          <w:sz w:val="22"/>
          <w:szCs w:val="22"/>
          <w:rtl w:val="0"/>
        </w:rPr>
        <w:t xml:space="preserve">de esta resolución, </w:t>
      </w:r>
      <w:r w:rsidDel="00000000" w:rsidR="00000000" w:rsidRPr="00000000">
        <w:rPr>
          <w:rFonts w:ascii="Palatino Linotype" w:cs="Palatino Linotype" w:eastAsia="Palatino Linotype" w:hAnsi="Palatino Linotype"/>
          <w:b w:val="1"/>
          <w:bCs w:val="1"/>
          <w:sz w:val="22"/>
          <w:szCs w:val="22"/>
          <w:rtl w:val="0"/>
        </w:rPr>
        <w:t xml:space="preserve">haga entrega vía Sistema de Acceso a la Información Mexiquense (SAIMEX), </w:t>
      </w:r>
      <w:r w:rsidDel="00000000" w:rsidR="00000000" w:rsidRPr="00000000">
        <w:rPr>
          <w:rFonts w:ascii="Palatino Linotype" w:cs="Palatino Linotype" w:eastAsia="Palatino Linotype" w:hAnsi="Palatino Linotype"/>
          <w:sz w:val="22"/>
          <w:szCs w:val="22"/>
          <w:rtl w:val="0"/>
        </w:rPr>
        <w:t xml:space="preserve">previa búsqueda exhaustiva y razonable, en versión pública, lo siguiente:</w:t>
      </w:r>
    </w:p>
    <w:p w:rsidR="00000000" w:rsidDel="00000000" w:rsidP="00000000" w:rsidRDefault="00000000" w:rsidRPr="00000000" w14:paraId="0000012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Certificado de No Deudor Alimentario del Quinto Regidor, en funciones al primero de junio de dos mil veintiséis.</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76" w:lineRule="auto"/>
        <w:ind w:right="134"/>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line="276" w:lineRule="auto"/>
        <w:ind w:right="134"/>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76" w:lineRule="auto"/>
        <w:ind w:right="134"/>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el caso de no localizarse en los archivos del </w:t>
      </w:r>
      <w:r w:rsidDel="00000000" w:rsidR="00000000" w:rsidRPr="00000000">
        <w:rPr>
          <w:rFonts w:ascii="Palatino Linotype" w:cs="Palatino Linotype" w:eastAsia="Palatino Linotype" w:hAnsi="Palatino Linotype"/>
          <w:b w:val="1"/>
          <w:bCs w:val="1"/>
          <w:i w:val="1"/>
          <w:iCs w:val="1"/>
          <w:sz w:val="22"/>
          <w:szCs w:val="22"/>
          <w:rtl w:val="0"/>
        </w:rPr>
        <w:t xml:space="preserve">Sujeto Obligado</w:t>
      </w:r>
      <w:r w:rsidDel="00000000" w:rsidR="00000000" w:rsidRPr="00000000">
        <w:rPr>
          <w:rFonts w:ascii="Palatino Linotype" w:cs="Palatino Linotype" w:eastAsia="Palatino Linotype" w:hAnsi="Palatino Linotype"/>
          <w:i w:val="1"/>
          <w:iCs w:val="1"/>
          <w:sz w:val="22"/>
          <w:szCs w:val="22"/>
          <w:rtl w:val="0"/>
        </w:rPr>
        <w:t xml:space="preserve"> la información que se ordena, por no haberse poseído o administrado</w:t>
      </w:r>
      <w:r w:rsidDel="00000000" w:rsidR="00000000" w:rsidRPr="00000000">
        <w:rPr>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al corresponder a un cargo de elección popular de quien se solicita la misma, bastará con que así se haga del conocimiento de la parte </w:t>
      </w:r>
      <w:r w:rsidDel="00000000" w:rsidR="00000000" w:rsidRPr="00000000">
        <w:rPr>
          <w:rFonts w:ascii="Palatino Linotype" w:cs="Palatino Linotype" w:eastAsia="Palatino Linotype" w:hAnsi="Palatino Linotype"/>
          <w:b w:val="1"/>
          <w:bCs w:val="1"/>
          <w:i w:val="1"/>
          <w:iCs w:val="1"/>
          <w:sz w:val="22"/>
          <w:szCs w:val="22"/>
          <w:rtl w:val="0"/>
        </w:rPr>
        <w:t xml:space="preserve">Recurrente</w:t>
      </w:r>
      <w:r w:rsidDel="00000000" w:rsidR="00000000" w:rsidRPr="00000000">
        <w:rPr>
          <w:rFonts w:ascii="Palatino Linotype" w:cs="Palatino Linotype" w:eastAsia="Palatino Linotype" w:hAnsi="Palatino Linotype"/>
          <w:i w:val="1"/>
          <w:iCs w:val="1"/>
          <w:sz w:val="22"/>
          <w:szCs w:val="22"/>
          <w:rtl w:val="0"/>
        </w:rPr>
        <w:t xml:space="preserve"> en términos del segundo párrafo del artículo 19 de la Ley de Transparencia Local.</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49"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13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2">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rsidR="00000000" w:rsidDel="00000000" w:rsidP="00000000" w:rsidRDefault="00000000" w:rsidRPr="00000000" w14:paraId="00000133">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Notifíquese vía SAIMEX, </w:t>
      </w:r>
      <w:r w:rsidDel="00000000" w:rsidR="00000000" w:rsidRPr="00000000">
        <w:rPr>
          <w:rFonts w:ascii="Palatino Linotype" w:cs="Palatino Linotype" w:eastAsia="Palatino Linotype" w:hAnsi="Palatino Linotype"/>
          <w:sz w:val="22"/>
          <w:szCs w:val="22"/>
          <w:rtl w:val="0"/>
        </w:rPr>
        <w:t xml:space="preserve">la presente resolución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rsidR="00000000" w:rsidDel="00000000" w:rsidP="00000000" w:rsidRDefault="00000000" w:rsidRPr="00000000" w14:paraId="00000135">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EMITIENDO VOTO PARTICULAR; EN LA VIGÉSIMA NOVENA SESIÓN ORDINARIA, CELEBRADA EL DIECINUEVE DE AGOSTO DE DOS MIL VEINTISÉIS, ANTE EL SECRETARIO TÉCNICO DEL PLENO ALEXIS TAPIA RAMÍREZ.</w:t>
      </w:r>
    </w:p>
    <w:p w:rsidR="00000000" w:rsidDel="00000000" w:rsidP="00000000" w:rsidRDefault="00000000" w:rsidRPr="00000000" w14:paraId="0000013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137">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8">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9">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A">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B">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C">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E">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-1080101</wp:posOffset>
          </wp:positionH>
          <wp:positionV relativeFrom="paragraph">
            <wp:posOffset>-488275</wp:posOffset>
          </wp:positionV>
          <wp:extent cx="7809865" cy="10165715"/>
          <wp:effectExtent b="0" l="0" r="0" t="0"/>
          <wp:wrapNone/>
          <wp:docPr id="214310828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140">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141">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06609/INFOEM/IP/RR/2026</w:t>
          </w:r>
        </w:p>
      </w:tc>
    </w:tr>
    <w:tr>
      <w:trPr>
        <w:cantSplit w:val="0"/>
        <w:trHeight w:val="228" w:hRule="atLeast"/>
        <w:tblHeader w:val="0"/>
      </w:trPr>
      <w:tc>
        <w:tcPr>
          <w:shd w:fill="auto" w:val="clear"/>
          <w:vAlign w:val="center"/>
        </w:tcPr>
        <w:p w:rsidR="00000000" w:rsidDel="00000000" w:rsidP="00000000" w:rsidRDefault="00000000" w:rsidRPr="00000000" w14:paraId="00000142">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143">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Toluca</w:t>
          </w:r>
        </w:p>
      </w:tc>
    </w:tr>
    <w:tr>
      <w:trPr>
        <w:cantSplit w:val="0"/>
        <w:tblHeader w:val="0"/>
      </w:trPr>
      <w:tc>
        <w:tcPr>
          <w:shd w:fill="auto" w:val="clear"/>
          <w:vAlign w:val="center"/>
        </w:tcPr>
        <w:p w:rsidR="00000000" w:rsidDel="00000000" w:rsidP="00000000" w:rsidRDefault="00000000" w:rsidRPr="00000000" w14:paraId="00000144">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145">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46">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-1080127</wp:posOffset>
          </wp:positionH>
          <wp:positionV relativeFrom="paragraph">
            <wp:posOffset>-369902</wp:posOffset>
          </wp:positionV>
          <wp:extent cx="7809865" cy="10165715"/>
          <wp:effectExtent b="0" l="0" r="0" t="0"/>
          <wp:wrapNone/>
          <wp:docPr id="214310828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148">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149">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06609/INFOEM/IP/RR/2026</w:t>
          </w:r>
        </w:p>
      </w:tc>
    </w:tr>
    <w:tr>
      <w:trPr>
        <w:cantSplit w:val="0"/>
        <w:tblHeader w:val="0"/>
      </w:trPr>
      <w:tc>
        <w:tcPr>
          <w:shd w:fill="auto" w:val="clear"/>
        </w:tcPr>
        <w:p w:rsidR="00000000" w:rsidDel="00000000" w:rsidP="00000000" w:rsidRDefault="00000000" w:rsidRPr="00000000" w14:paraId="0000014A">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shd w:fill="auto" w:val="clear"/>
          <w:vAlign w:val="center"/>
        </w:tcPr>
        <w:p w:rsidR="00000000" w:rsidDel="00000000" w:rsidP="00000000" w:rsidRDefault="00000000" w:rsidRPr="00000000" w14:paraId="0000014B">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XXXXXXXXX XXXXXXX</w:t>
          </w:r>
        </w:p>
      </w:tc>
    </w:tr>
    <w:tr>
      <w:trPr>
        <w:cantSplit w:val="0"/>
        <w:trHeight w:val="228" w:hRule="atLeast"/>
        <w:tblHeader w:val="0"/>
      </w:trPr>
      <w:tc>
        <w:tcPr>
          <w:shd w:fill="auto" w:val="clear"/>
          <w:vAlign w:val="center"/>
        </w:tcPr>
        <w:p w:rsidR="00000000" w:rsidDel="00000000" w:rsidP="00000000" w:rsidRDefault="00000000" w:rsidRPr="00000000" w14:paraId="0000014C">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14D">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Toluca</w:t>
          </w:r>
        </w:p>
      </w:tc>
    </w:tr>
    <w:tr>
      <w:trPr>
        <w:cantSplit w:val="0"/>
        <w:tblHeader w:val="0"/>
      </w:trPr>
      <w:tc>
        <w:tcPr>
          <w:shd w:fill="auto" w:val="clear"/>
          <w:vAlign w:val="center"/>
        </w:tcPr>
        <w:p w:rsidR="00000000" w:rsidDel="00000000" w:rsidP="00000000" w:rsidRDefault="00000000" w:rsidRPr="00000000" w14:paraId="0000014E">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14F">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paragraph" w:styleId="Encabezado">
    <w:name w:val="header"/>
    <w:basedOn w:val="Normal"/>
    <w:link w:val="EncabezadoCar"/>
    <w:uiPriority w:val="99"/>
    <w:unhideWhenUsed w:val="1"/>
    <w:rsid w:val="00DD6A3B"/>
    <w:pPr>
      <w:tabs>
        <w:tab w:val="center" w:pos="4419"/>
        <w:tab w:val="right" w:pos="8838"/>
      </w:tabs>
    </w:pPr>
  </w:style>
  <w:style w:type="character" w:styleId="EncabezadoCar" w:customStyle="1">
    <w:name w:val="Encabezado Car"/>
    <w:basedOn w:val="Fuentedeprrafopredeter"/>
    <w:link w:val="Encabezado"/>
    <w:uiPriority w:val="99"/>
    <w:rsid w:val="00DD6A3B"/>
  </w:style>
  <w:style w:type="paragraph" w:styleId="Piedepgina">
    <w:name w:val="footer"/>
    <w:basedOn w:val="Normal"/>
    <w:link w:val="PiedepginaCar"/>
    <w:uiPriority w:val="99"/>
    <w:unhideWhenUsed w:val="1"/>
    <w:rsid w:val="00DD6A3B"/>
    <w:pPr>
      <w:tabs>
        <w:tab w:val="center" w:pos="4419"/>
        <w:tab w:val="right" w:pos="8838"/>
      </w:tabs>
    </w:pPr>
  </w:style>
  <w:style w:type="character" w:styleId="PiedepginaCar" w:customStyle="1">
    <w:name w:val="Pie de página Car"/>
    <w:basedOn w:val="Fuentedeprrafopredeter"/>
    <w:link w:val="Piedepgina"/>
    <w:uiPriority w:val="99"/>
    <w:rsid w:val="00DD6A3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0D1F09"/>
    <w:pPr>
      <w:ind w:left="720"/>
      <w:contextualSpacing w:val="1"/>
    </w:p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5270B4"/>
  </w:style>
  <w:style w:type="character" w:styleId="Hipervnculo">
    <w:name w:val="Hyperlink"/>
    <w:basedOn w:val="Fuentedeprrafopredeter"/>
    <w:uiPriority w:val="99"/>
    <w:unhideWhenUsed w:val="1"/>
    <w:rsid w:val="00D51817"/>
    <w:rPr>
      <w:color w:val="0000ff" w:themeColor="hyperlink"/>
      <w:u w:val="single"/>
    </w:rPr>
  </w:style>
  <w:style w:type="paragraph" w:styleId="NormalWeb">
    <w:name w:val="Normal (Web)"/>
    <w:basedOn w:val="Normal"/>
    <w:uiPriority w:val="99"/>
    <w:semiHidden w:val="1"/>
    <w:unhideWhenUsed w:val="1"/>
    <w:rsid w:val="00B14381"/>
    <w:pPr>
      <w:spacing w:after="100" w:afterAutospacing="1" w:before="100" w:beforeAutospacing="1"/>
    </w:pPr>
  </w:style>
  <w:style w:type="paragraph" w:styleId="Sinespaciado">
    <w:name w:val="No Spacing"/>
    <w:aliases w:val="Francesa"/>
    <w:link w:val="SinespaciadoCar"/>
    <w:uiPriority w:val="1"/>
    <w:qFormat w:val="1"/>
    <w:rsid w:val="00116147"/>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116147"/>
    <w:rPr>
      <w:rFonts w:asciiTheme="minorHAnsi" w:cstheme="minorBidi" w:eastAsiaTheme="minorHAnsi" w:hAnsiTheme="minorHAnsi"/>
      <w:sz w:val="22"/>
      <w:szCs w:val="22"/>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2.png"/><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ionedomex.mx/2023/03/24/busqueda-de-deudores-alimentarios-morosos-estado-de-mexico-2023/"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iputados.gob.mx/LeyesBiblio/pdf/LGDNNA.pdf" TargetMode="External"/><Relationship Id="rId8" Type="http://schemas.openxmlformats.org/officeDocument/2006/relationships/hyperlink" Target="https://legislacion.edomex.gob.mx/sites/legislacion.edomex.gob.mx/files/files/pdf/gct/2014/nov144.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D2J+0HVz9e85rTmQmdu5PlwfHA==">CgMxLjAyDmgudzBuZTU3NmVtenA1MgloLjRkMzRvZzgyCGguZ2pkZ3hzMgloLjNkeTZ2a20yCWguMzBqMHpsbDIJaC4yczhleW8xMghoLnR5amN3dDIJaC4yZXQ5MnAwMgloLjQ0c2luaW84AHIhMUdnRzgzVFhJbUNrcGc2UzBWcVpiUDVJcnNFUjRoMzZs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2026-09-04T16:53:00Z</dcterms:created>
  <dc:creator>INFOEM603</dc:creator>
</cp:coreProperties>
</file>