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360" w:lineRule="auto"/>
        <w:jc w:val="both"/>
        <w:rPr>
          <w:rFonts w:ascii="Palatino Linotype" w:cs="Palatino Linotype" w:eastAsia="Palatino Linotype" w:hAnsi="Palatino Linotype"/>
          <w:sz w:val="22"/>
          <w:szCs w:val="22"/>
        </w:rPr>
      </w:pPr>
      <w:bookmarkStart w:colFirst="0" w:colLast="0" w:name="_heading=h.3rdcrjn" w:id="0"/>
      <w:bookmarkEnd w:id="0"/>
      <w:r w:rsidDel="00000000" w:rsidR="00000000" w:rsidRPr="00000000">
        <w:rPr>
          <w:rFonts w:ascii="Palatino Linotype" w:cs="Palatino Linotype" w:eastAsia="Palatino Linotype" w:hAnsi="Palatino Linotype"/>
          <w:sz w:val="22"/>
          <w:szCs w:val="22"/>
          <w:rtl w:val="0"/>
        </w:rPr>
        <w:t xml:space="preserve">Resolución del Pleno del Instituto de Transparencia, Acceso a la Información Pública y Protección de Datos Personales del Estado de México y Municipios, con domicilio en Metepec, Estado de México, a diecinueve de agosto de dos mil veintiséis. </w:t>
      </w:r>
    </w:p>
    <w:p w:rsidR="00000000" w:rsidDel="00000000" w:rsidP="00000000" w:rsidRDefault="00000000" w:rsidRPr="00000000" w14:paraId="00000002">
      <w:pPr>
        <w:tabs>
          <w:tab w:val="left" w:leader="none" w:pos="5812"/>
        </w:tabs>
        <w:spacing w:after="240" w:before="240" w:line="360" w:lineRule="auto"/>
        <w:jc w:val="both"/>
        <w:rPr>
          <w:rFonts w:ascii="Palatino Linotype" w:cs="Palatino Linotype" w:eastAsia="Palatino Linotype" w:hAnsi="Palatino Linotype"/>
          <w:sz w:val="22"/>
          <w:szCs w:val="22"/>
        </w:rPr>
      </w:pPr>
      <w:bookmarkStart w:colFirst="0" w:colLast="0" w:name="_heading=h.daj3j2xo6q66" w:id="1"/>
      <w:bookmarkEnd w:id="1"/>
      <w:r w:rsidDel="00000000" w:rsidR="00000000" w:rsidRPr="00000000">
        <w:rPr>
          <w:rFonts w:ascii="Palatino Linotype" w:cs="Palatino Linotype" w:eastAsia="Palatino Linotype" w:hAnsi="Palatino Linotype"/>
          <w:b w:val="1"/>
          <w:bCs w:val="1"/>
          <w:sz w:val="22"/>
          <w:szCs w:val="22"/>
          <w:rtl w:val="0"/>
        </w:rPr>
        <w:t xml:space="preserve">VISTO</w:t>
      </w:r>
      <w:r w:rsidDel="00000000" w:rsidR="00000000" w:rsidRPr="00000000">
        <w:rPr>
          <w:rFonts w:ascii="Palatino Linotype" w:cs="Palatino Linotype" w:eastAsia="Palatino Linotype" w:hAnsi="Palatino Linotype"/>
          <w:sz w:val="22"/>
          <w:szCs w:val="22"/>
          <w:rtl w:val="0"/>
        </w:rPr>
        <w:t xml:space="preserve"> el expediente formado con motivo del recurso de revisión </w:t>
      </w:r>
      <w:r w:rsidDel="00000000" w:rsidR="00000000" w:rsidRPr="00000000">
        <w:rPr>
          <w:rFonts w:ascii="Palatino Linotype" w:cs="Palatino Linotype" w:eastAsia="Palatino Linotype" w:hAnsi="Palatino Linotype"/>
          <w:b w:val="1"/>
          <w:bCs w:val="1"/>
          <w:sz w:val="22"/>
          <w:szCs w:val="22"/>
          <w:rtl w:val="0"/>
        </w:rPr>
        <w:t xml:space="preserve">07244/INFOEM/IP/RR/2026</w:t>
      </w:r>
      <w:r w:rsidDel="00000000" w:rsidR="00000000" w:rsidRPr="00000000">
        <w:rPr>
          <w:rFonts w:ascii="Palatino Linotype" w:cs="Palatino Linotype" w:eastAsia="Palatino Linotype" w:hAnsi="Palatino Linotype"/>
          <w:sz w:val="22"/>
          <w:szCs w:val="22"/>
          <w:rtl w:val="0"/>
        </w:rPr>
        <w:t xml:space="preserve">, interpuesto por</w:t>
      </w:r>
      <w:r w:rsidDel="00000000" w:rsidR="00000000" w:rsidRPr="00000000">
        <w:rPr>
          <w:rFonts w:ascii="Palatino Linotype" w:cs="Palatino Linotype" w:eastAsia="Palatino Linotype" w:hAnsi="Palatino Linotype"/>
          <w:b w:val="1"/>
          <w:bCs w:val="1"/>
          <w:sz w:val="22"/>
          <w:szCs w:val="22"/>
          <w:rtl w:val="0"/>
        </w:rPr>
        <w:t xml:space="preserve"> XXXX XXX,</w:t>
      </w:r>
      <w:r w:rsidDel="00000000" w:rsidR="00000000" w:rsidRPr="00000000">
        <w:rPr>
          <w:rFonts w:ascii="Palatino Linotype" w:cs="Palatino Linotype" w:eastAsia="Palatino Linotype" w:hAnsi="Palatino Linotype"/>
          <w:sz w:val="22"/>
          <w:szCs w:val="22"/>
          <w:rtl w:val="0"/>
        </w:rPr>
        <w:t xml:space="preserve"> en lo sucesivo</w:t>
      </w:r>
      <w:r w:rsidDel="00000000" w:rsidR="00000000" w:rsidRPr="00000000">
        <w:rPr>
          <w:rFonts w:ascii="Palatino Linotype" w:cs="Palatino Linotype" w:eastAsia="Palatino Linotype" w:hAnsi="Palatino Linotype"/>
          <w:b w:val="1"/>
          <w:bCs w:val="1"/>
          <w:sz w:val="22"/>
          <w:szCs w:val="22"/>
          <w:rtl w:val="0"/>
        </w:rPr>
        <w:t xml:space="preserve"> </w:t>
      </w:r>
      <w:r w:rsidDel="00000000" w:rsidR="00000000" w:rsidRPr="00000000">
        <w:rPr>
          <w:rFonts w:ascii="Palatino Linotype" w:cs="Palatino Linotype" w:eastAsia="Palatino Linotype" w:hAnsi="Palatino Linotype"/>
          <w:sz w:val="22"/>
          <w:szCs w:val="22"/>
          <w:rtl w:val="0"/>
        </w:rPr>
        <w:t xml:space="preserve">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en contra de la respuesta a la solicitud de información con número de folio</w:t>
      </w:r>
      <w:r w:rsidDel="00000000" w:rsidR="00000000" w:rsidRPr="00000000">
        <w:rPr>
          <w:rFonts w:ascii="Palatino Linotype" w:cs="Palatino Linotype" w:eastAsia="Palatino Linotype" w:hAnsi="Palatino Linotype"/>
          <w:b w:val="1"/>
          <w:bCs w:val="1"/>
          <w:sz w:val="22"/>
          <w:szCs w:val="22"/>
          <w:rtl w:val="0"/>
        </w:rPr>
        <w:t xml:space="preserve">  00139/TULTITLA/IP/2026, </w:t>
      </w:r>
      <w:r w:rsidDel="00000000" w:rsidR="00000000" w:rsidRPr="00000000">
        <w:rPr>
          <w:rFonts w:ascii="Palatino Linotype" w:cs="Palatino Linotype" w:eastAsia="Palatino Linotype" w:hAnsi="Palatino Linotype"/>
          <w:sz w:val="22"/>
          <w:szCs w:val="22"/>
          <w:rtl w:val="0"/>
        </w:rPr>
        <w:t xml:space="preserve">por parte del </w:t>
      </w:r>
      <w:r w:rsidDel="00000000" w:rsidR="00000000" w:rsidRPr="00000000">
        <w:rPr>
          <w:rFonts w:ascii="Palatino Linotype" w:cs="Palatino Linotype" w:eastAsia="Palatino Linotype" w:hAnsi="Palatino Linotype"/>
          <w:b w:val="1"/>
          <w:bCs w:val="1"/>
          <w:sz w:val="22"/>
          <w:szCs w:val="22"/>
          <w:rtl w:val="0"/>
        </w:rPr>
        <w:t xml:space="preserve">Ayuntamiento de Tultitlán, </w:t>
      </w:r>
      <w:r w:rsidDel="00000000" w:rsidR="00000000" w:rsidRPr="00000000">
        <w:rPr>
          <w:rFonts w:ascii="Palatino Linotype" w:cs="Palatino Linotype" w:eastAsia="Palatino Linotype" w:hAnsi="Palatino Linotype"/>
          <w:sz w:val="22"/>
          <w:szCs w:val="22"/>
          <w:rtl w:val="0"/>
        </w:rPr>
        <w:t xml:space="preserve">en lo sucesivo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se procede a dictar la presente resolución con base en los siguientes: </w:t>
      </w:r>
    </w:p>
    <w:p w:rsidR="00000000" w:rsidDel="00000000" w:rsidP="00000000" w:rsidRDefault="00000000" w:rsidRPr="00000000" w14:paraId="00000003">
      <w:pPr>
        <w:spacing w:after="240" w:before="240" w:line="360" w:lineRule="auto"/>
        <w:jc w:val="cente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I. A N T E C E D E N T E S</w:t>
      </w:r>
    </w:p>
    <w:p w:rsidR="00000000" w:rsidDel="00000000" w:rsidP="00000000" w:rsidRDefault="00000000" w:rsidRPr="00000000" w14:paraId="00000004">
      <w:pPr>
        <w:spacing w:after="240" w:before="240" w:line="360" w:lineRule="auto"/>
        <w:jc w:val="both"/>
        <w:rPr>
          <w:rFonts w:ascii="Palatino Linotype" w:cs="Palatino Linotype" w:eastAsia="Palatino Linotype" w:hAnsi="Palatino Linotype"/>
          <w:sz w:val="22"/>
          <w:szCs w:val="22"/>
        </w:rPr>
      </w:pPr>
      <w:bookmarkStart w:colFirst="0" w:colLast="0" w:name="_heading=h.gjdgxs" w:id="2"/>
      <w:bookmarkEnd w:id="2"/>
      <w:r w:rsidDel="00000000" w:rsidR="00000000" w:rsidRPr="00000000">
        <w:rPr>
          <w:rFonts w:ascii="Palatino Linotype" w:cs="Palatino Linotype" w:eastAsia="Palatino Linotype" w:hAnsi="Palatino Linotype"/>
          <w:b w:val="1"/>
          <w:bCs w:val="1"/>
          <w:sz w:val="22"/>
          <w:szCs w:val="22"/>
          <w:rtl w:val="0"/>
        </w:rPr>
        <w:t xml:space="preserve">1. Solicitud de acceso a la información.</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veintitrés de junio de dos mil veintiséis,</w:t>
      </w:r>
      <w:r w:rsidDel="00000000" w:rsidR="00000000" w:rsidRPr="00000000">
        <w:rPr>
          <w:rFonts w:ascii="Palatino Linotype" w:cs="Palatino Linotype" w:eastAsia="Palatino Linotype" w:hAnsi="Palatino Linotype"/>
          <w:sz w:val="22"/>
          <w:szCs w:val="22"/>
          <w:rtl w:val="0"/>
        </w:rPr>
        <w:t xml:space="preserve"> la parte </w:t>
      </w:r>
      <w:r w:rsidDel="00000000" w:rsidR="00000000" w:rsidRPr="00000000">
        <w:rPr>
          <w:rFonts w:ascii="Palatino Linotype" w:cs="Palatino Linotype" w:eastAsia="Palatino Linotype" w:hAnsi="Palatino Linotype"/>
          <w:b w:val="1"/>
          <w:bCs w:val="1"/>
          <w:sz w:val="22"/>
          <w:szCs w:val="22"/>
          <w:rtl w:val="0"/>
        </w:rPr>
        <w:t xml:space="preserve">Recurrente </w:t>
      </w:r>
      <w:r w:rsidDel="00000000" w:rsidR="00000000" w:rsidRPr="00000000">
        <w:rPr>
          <w:rFonts w:ascii="Palatino Linotype" w:cs="Palatino Linotype" w:eastAsia="Palatino Linotype" w:hAnsi="Palatino Linotype"/>
          <w:sz w:val="22"/>
          <w:szCs w:val="22"/>
          <w:rtl w:val="0"/>
        </w:rPr>
        <w:t xml:space="preserve">presentó la solicitud de acceso a la información pública ante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a través del Sistema de Acceso a la Información Mexiquense, en lo subsecuente el </w:t>
      </w:r>
      <w:r w:rsidDel="00000000" w:rsidR="00000000" w:rsidRPr="00000000">
        <w:rPr>
          <w:rFonts w:ascii="Palatino Linotype" w:cs="Palatino Linotype" w:eastAsia="Palatino Linotype" w:hAnsi="Palatino Linotype"/>
          <w:b w:val="1"/>
          <w:bCs w:val="1"/>
          <w:sz w:val="22"/>
          <w:szCs w:val="22"/>
          <w:rtl w:val="0"/>
        </w:rPr>
        <w:t xml:space="preserve">SAIMEX, </w:t>
      </w:r>
      <w:r w:rsidDel="00000000" w:rsidR="00000000" w:rsidRPr="00000000">
        <w:rPr>
          <w:rFonts w:ascii="Palatino Linotype" w:cs="Palatino Linotype" w:eastAsia="Palatino Linotype" w:hAnsi="Palatino Linotype"/>
          <w:sz w:val="22"/>
          <w:szCs w:val="22"/>
          <w:rtl w:val="0"/>
        </w:rPr>
        <w:t xml:space="preserve">mediante la cual requirió lo siguiente:</w:t>
      </w:r>
    </w:p>
    <w:p w:rsidR="00000000" w:rsidDel="00000000" w:rsidP="00000000" w:rsidRDefault="00000000" w:rsidRPr="00000000" w14:paraId="00000005">
      <w:pPr>
        <w:spacing w:after="120" w:before="120" w:lineRule="auto"/>
        <w:ind w:left="851" w:right="902"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 “Por medio de la presente, solicito una base de datos (en formato abierto como xls o cvs.) con la siguiente información de incidencia delictiva o reporte de incidentes, eventos o cualquier registro o documento con el que cuente el sujeto obligado que contenga la siguiente información: TIPO DE INCIDENTE O EVENTO (es decir hechos presuntamente constitutivos de delito y/o falta administrativa, o situación reportada, cualquiera que esta sea, especificando si el hecho fue con o sin violencia) HORA DEL INCIDENTE O EVENTO FECHA ( dd/mm/aaaa) DEL INCIDENTE O EVENTO LUGAR DEL INCIDENTE O EVENTO UBICACIÓN DEL INCIDENTE O EVENTO LAS COORDENADAS GEOGRÁFICAS DEL INCIDENTE O EVENTO. ESTABLECIDAS EN LA SECCIÓN “LUGAR DE LA INTERVENCIÓN” DEL INFORME POLICIAL HOMOLOGADO PARA 1) HECHOS PROBABLEMENTE DELICTIVOS O PARA 2) JUSTICIA CÍVICA SEGÚN CORRESPONDA AL TIPO DE INCIDENTE. Solicito explícitamente que la información se encuentre desglosada y particularizada por tipo de incidente, por lo que cada uno debe contener su hora, fecha, lugar, ubicación y coordenadas geográficas que le corresponde. Requiero se proporcione la información correspondiente al periodo del 01/01/2018 a la fecha de la presente solicitud Me permito mencionar que aun cuando existe información pública relacionada a la de mi solicitud en la página e información que se proporciona por el Secretariado Ejecutivo Del Sistema Nacional De Seguridad Pública, la contenida en la misma no se encuentra desglosada con el detalle con la que un servidor está solicitando, principalmente por lo que se refiere a la georreferencia y coordenada del incidente o evento. Por lo que solicito que verifiquen en sus bases de datos la información solicitada y me sea proporcionada en el formato solicitado. La información que solicito no puede ser considerada información confidencial, en virtud de que en la presente solicitud no se requieren nombres, domicilios ni otros datos personales, por lo que no procede la causal de confidencialidad. Incluso si algún registro contuviera datos personales de manera incidental, el sujeto obligado debe, conforme al artículo 120 de la Ley General de Transparencia y Acceso a la Información Pública (LGTAIP), entregar la información en versión pública, testando las partes confidenciales y proporcionando el resto de la información. Asimismo, la información solicitada tampoco puede clasificarse como reservada, pues no encuadra en las causales previstas en el artículo 112 de la LGTAIP ni supera la estricta prueba de daño que exige su artículo 107. Para reservarla, la autoridad tendría que demostrar que su divulgación genera un riesgo real, demostrable e identificable de perjuicio significativo, que dicho riesgo es mayor al interés público en conocerla, y además probar que no existe un medio menos restrictivo y que la medida es proporcional. Este no es el caso: los datos estadísticos y georreferenciados de incidencias delictivas no comprometen investigaciones ni la seguridad pública. Como prueba de lo anterior, mencionó que múltiples sujetos obligados ya publican información semejante sin afectar sus funciones, como lo demuestra la Plataforma de Seguridad del estado de Jalisco (https://iieg.gob.mx/plataforma_seguridad/#/plataforma) y las instancias de seguridad de la Ciudad de México (https://datos.cdmx.gob.mx/dataset/?groups=justicia-y-seguridad). En conclusión, la LGTAIP respalda plenamente la entrega de la información solicitada. Al no contener datos personales ni encuadrar en causales de reserva, la información debe proporcionarse en los términos requeridos, aplicando en su caso la figura de versión pública para conciliar el derecho de acceso a la información con la protección de datos estrictamente confidenciales..</w:t>
      </w:r>
      <w:r w:rsidDel="00000000" w:rsidR="00000000" w:rsidRPr="00000000">
        <w:rPr>
          <w:rFonts w:ascii="Palatino Linotype" w:cs="Palatino Linotype" w:eastAsia="Palatino Linotype" w:hAnsi="Palatino Linotype"/>
          <w:b w:val="1"/>
          <w:bCs w:val="1"/>
          <w:i w:val="1"/>
          <w:iCs w:val="1"/>
          <w:sz w:val="22"/>
          <w:szCs w:val="22"/>
          <w:rtl w:val="0"/>
        </w:rPr>
        <w:t xml:space="preserve">”</w:t>
      </w:r>
      <w:r w:rsidDel="00000000" w:rsidR="00000000" w:rsidRPr="00000000">
        <w:rPr>
          <w:rFonts w:ascii="Palatino Linotype" w:cs="Palatino Linotype" w:eastAsia="Palatino Linotype" w:hAnsi="Palatino Linotype"/>
          <w:i w:val="1"/>
          <w:iCs w:val="1"/>
          <w:sz w:val="22"/>
          <w:szCs w:val="22"/>
          <w:rtl w:val="0"/>
        </w:rPr>
        <w:t xml:space="preserve"> (sic) </w:t>
      </w:r>
      <w:r w:rsidDel="00000000" w:rsidR="00000000" w:rsidRPr="00000000">
        <w:rPr>
          <w:rtl w:val="0"/>
        </w:rPr>
      </w:r>
    </w:p>
    <w:p w:rsidR="00000000" w:rsidDel="00000000" w:rsidP="00000000" w:rsidRDefault="00000000" w:rsidRPr="00000000" w14:paraId="00000006">
      <w:pPr>
        <w:spacing w:after="240" w:before="240" w:line="360" w:lineRule="auto"/>
        <w:jc w:val="both"/>
        <w:rPr>
          <w:rFonts w:ascii="Palatino Linotype" w:cs="Palatino Linotype" w:eastAsia="Palatino Linotype" w:hAnsi="Palatino Linotype"/>
          <w:sz w:val="22"/>
          <w:szCs w:val="22"/>
        </w:rPr>
      </w:pPr>
      <w:bookmarkStart w:colFirst="0" w:colLast="0" w:name="_heading=h.3dy6vkm" w:id="3"/>
      <w:bookmarkEnd w:id="3"/>
      <w:r w:rsidDel="00000000" w:rsidR="00000000" w:rsidRPr="00000000">
        <w:rPr>
          <w:rFonts w:ascii="Palatino Linotype" w:cs="Palatino Linotype" w:eastAsia="Palatino Linotype" w:hAnsi="Palatino Linotype"/>
          <w:b w:val="1"/>
          <w:bCs w:val="1"/>
          <w:sz w:val="22"/>
          <w:szCs w:val="22"/>
          <w:rtl w:val="0"/>
        </w:rPr>
        <w:t xml:space="preserve">Modalidad de Entrega:</w:t>
      </w:r>
      <w:r w:rsidDel="00000000" w:rsidR="00000000" w:rsidRPr="00000000">
        <w:rPr>
          <w:rFonts w:ascii="Palatino Linotype" w:cs="Palatino Linotype" w:eastAsia="Palatino Linotype" w:hAnsi="Palatino Linotype"/>
          <w:sz w:val="22"/>
          <w:szCs w:val="22"/>
          <w:rtl w:val="0"/>
        </w:rPr>
        <w:t xml:space="preserve"> a través del</w:t>
      </w:r>
      <w:r w:rsidDel="00000000" w:rsidR="00000000" w:rsidRPr="00000000">
        <w:rPr>
          <w:rFonts w:ascii="Palatino Linotype" w:cs="Palatino Linotype" w:eastAsia="Palatino Linotype" w:hAnsi="Palatino Linotype"/>
          <w:b w:val="1"/>
          <w:bCs w:val="1"/>
          <w:sz w:val="22"/>
          <w:szCs w:val="22"/>
          <w:rtl w:val="0"/>
        </w:rPr>
        <w:t xml:space="preserve"> SAIMEX.</w: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3119"/>
        </w:tabs>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2. Respuesta. </w:t>
      </w:r>
      <w:r w:rsidDel="00000000" w:rsidR="00000000" w:rsidRPr="00000000">
        <w:rPr>
          <w:rFonts w:ascii="Palatino Linotype" w:cs="Palatino Linotype" w:eastAsia="Palatino Linotype" w:hAnsi="Palatino Linotype"/>
          <w:sz w:val="22"/>
          <w:szCs w:val="22"/>
          <w:rtl w:val="0"/>
        </w:rPr>
        <w:t xml:space="preserve">El </w:t>
      </w:r>
      <w:r w:rsidDel="00000000" w:rsidR="00000000" w:rsidRPr="00000000">
        <w:rPr>
          <w:rFonts w:ascii="Palatino Linotype" w:cs="Palatino Linotype" w:eastAsia="Palatino Linotype" w:hAnsi="Palatino Linotype"/>
          <w:b w:val="1"/>
          <w:bCs w:val="1"/>
          <w:sz w:val="22"/>
          <w:szCs w:val="22"/>
          <w:rtl w:val="0"/>
        </w:rPr>
        <w:t xml:space="preserve">seis de julio de dos mil veintiséis,</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envió su respuesta a la solicitud de acceso a la información a través del SAIMEX, sustancialmente en los términos siguientes:   </w:t>
      </w:r>
    </w:p>
    <w:p w:rsidR="00000000" w:rsidDel="00000000" w:rsidP="00000000" w:rsidRDefault="00000000" w:rsidRPr="00000000" w14:paraId="00000008">
      <w:pPr>
        <w:spacing w:after="240" w:before="24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“Folio de la solicitud: 00139/TULTITLA/IP/2026</w:t>
      </w:r>
    </w:p>
    <w:p w:rsidR="00000000" w:rsidDel="00000000" w:rsidP="00000000" w:rsidRDefault="00000000" w:rsidRPr="00000000" w14:paraId="00000009">
      <w:pPr>
        <w:spacing w:after="240" w:before="24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respuesta a la solicitud recibida, nos permitimos hacer de su conocimiento que con fundamento en el artículo 53, Fracciones: II, V y VI de la Ley de Transparencia y Acceso a la Información Pública del Estado de México y Municipios, le contestamos que:</w:t>
      </w:r>
    </w:p>
    <w:p w:rsidR="00000000" w:rsidDel="00000000" w:rsidP="00000000" w:rsidRDefault="00000000" w:rsidRPr="00000000" w14:paraId="0000000A">
      <w:pPr>
        <w:spacing w:after="240" w:before="24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Por este medio reciba un cordial saludo al tiempo que ofrezco respuesta a su solicitud de información ingresada por medio de esta plataforma de acceso a la información mexiquense (SAIMEX) con el folio 00139/TULTITLA/IP/2026 con atención del Secretaría del Ayuntamiento y Seguridad Ciudadana y Vialidad. También informo que de acuerdo con el artículo 12 de la ley local en la materia, los sujetos obligados proporcionarán la información pública que se les requiera y que obre en sus archivos y en el estado que esta se encuentre. la obligación de proporcionar información no comprende el procesamiento de esta, ni presentarla conforme al interés del solicitante; no estarán obligados a generarla, resumirla efectuar cálculos o practicar investigaciones. la información se entregará en el estado en el que fue localizada por las dependencias que componen al sujeto obligado en el formato existente, no se hacen procesamientos (soporte documental anexo a la presente) Sin más por el momento quedo a sus órdenes en el teléfono 26208900 extensión 1106</w:t>
      </w:r>
    </w:p>
    <w:p w:rsidR="00000000" w:rsidDel="00000000" w:rsidP="00000000" w:rsidRDefault="00000000" w:rsidRPr="00000000" w14:paraId="0000000B">
      <w:pPr>
        <w:spacing w:after="240" w:before="24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ATENTAMENTE</w:t>
      </w:r>
    </w:p>
    <w:p w:rsidR="00000000" w:rsidDel="00000000" w:rsidP="00000000" w:rsidRDefault="00000000" w:rsidRPr="00000000" w14:paraId="0000000C">
      <w:pPr>
        <w:spacing w:after="240" w:before="24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C. Oscar Navarrete Martínez” (sic)</w:t>
      </w:r>
    </w:p>
    <w:p w:rsidR="00000000" w:rsidDel="00000000" w:rsidP="00000000" w:rsidRDefault="00000000" w:rsidRPr="00000000" w14:paraId="0000000D">
      <w:pPr>
        <w:spacing w:after="240" w:before="240"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adjuntó lo siguiente:</w:t>
      </w:r>
    </w:p>
    <w:p w:rsidR="00000000" w:rsidDel="00000000" w:rsidP="00000000" w:rsidRDefault="00000000" w:rsidRPr="00000000" w14:paraId="0000000E">
      <w:pPr>
        <w:spacing w:after="240" w:before="240"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 RPTA. FOL 139-2026 SEG. CIUDADANA.pdf. (duplicado) Oficio signado por la Coordinadora de Control Jurídico de la Dirección de Seguridad Ciudadana y Vialidad de Tultitlán y el Director de Seguridad Ciudadana y Vialidad de Tultitlán, a través del cual se declara incompetente para conocer de la solicitud de información. </w:t>
      </w:r>
    </w:p>
    <w:p w:rsidR="00000000" w:rsidDel="00000000" w:rsidP="00000000" w:rsidRDefault="00000000" w:rsidRPr="00000000" w14:paraId="0000000F">
      <w:pPr>
        <w:spacing w:after="240" w:before="240"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RPTA. FOL 139-2026 SRÍA. AYTO..pdf. (duplicado) Oficio signado por el Secretario del Ayuntamiento, quien refiere que el Juzgado Cívico, es una instancia de nueva creación, que entró en funciones el 20 de mayo de 2024, el cual no cuenta con registros, bases de datos de expedientes o resguardos digitales de información sobre actuaciones generados o emitidas, por la hoy extinta Oficialía Calificadora del Municipio de Tultitlán, por lo que remite un disco DVR-R con la base de datos generada a partir del día 20 de mayo de 2024 al 23 de junio de 2026, haciendo referencia en su respuesta artículo 12 de la Ley de Trasparencia los sujetos obligados sólo proporcionaran la información que se les requiere y que obre en los archivos en el estado en que se encuentre, que la obligación de proporcionar información no comprende el procesamiento de la misma, ni presentarla conforme al interés del solicitante. </w:t>
      </w:r>
    </w:p>
    <w:p w:rsidR="00000000" w:rsidDel="00000000" w:rsidP="00000000" w:rsidRDefault="00000000" w:rsidRPr="00000000" w14:paraId="00000010">
      <w:pPr>
        <w:spacing w:after="240" w:before="240"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BASE DE DATOS RPTA FOLIO 139-2026.xlsx. </w:t>
      </w:r>
      <w:r w:rsidDel="00000000" w:rsidR="00000000" w:rsidRPr="00000000">
        <w:rPr>
          <w:rFonts w:ascii="Palatino Linotype" w:cs="Palatino Linotype" w:eastAsia="Palatino Linotype" w:hAnsi="Palatino Linotype"/>
          <w:sz w:val="22"/>
          <w:szCs w:val="22"/>
          <w:rtl w:val="0"/>
        </w:rPr>
        <w:t xml:space="preserve">Documento que contiene una relación con los siguientes datos: Folio, fecha, hora de presentación, lugar de los hechos, y falta administrativa, tal como se advierte a continuación: </w:t>
      </w:r>
    </w:p>
    <w:p w:rsidR="00000000" w:rsidDel="00000000" w:rsidP="00000000" w:rsidRDefault="00000000" w:rsidRPr="00000000" w14:paraId="00000011">
      <w:pPr>
        <w:spacing w:after="240" w:before="240"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Pr>
        <w:drawing>
          <wp:inline distB="0" distT="0" distL="0" distR="0">
            <wp:extent cx="5612130" cy="1326515"/>
            <wp:effectExtent b="0" l="0" r="0" t="0"/>
            <wp:docPr id="4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612130" cy="1326515"/>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spacing w:after="240" w:before="240"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3. Interposición del recurso de revisión. </w:t>
      </w:r>
      <w:r w:rsidDel="00000000" w:rsidR="00000000" w:rsidRPr="00000000">
        <w:rPr>
          <w:rFonts w:ascii="Palatino Linotype" w:cs="Palatino Linotype" w:eastAsia="Palatino Linotype" w:hAnsi="Palatino Linotype"/>
          <w:sz w:val="22"/>
          <w:szCs w:val="22"/>
          <w:rtl w:val="0"/>
        </w:rPr>
        <w:t xml:space="preserve">Inconforme con los términos de la respuesta emitida por parte del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el </w:t>
      </w:r>
      <w:r w:rsidDel="00000000" w:rsidR="00000000" w:rsidRPr="00000000">
        <w:rPr>
          <w:rFonts w:ascii="Palatino Linotype" w:cs="Palatino Linotype" w:eastAsia="Palatino Linotype" w:hAnsi="Palatino Linotype"/>
          <w:b w:val="1"/>
          <w:bCs w:val="1"/>
          <w:sz w:val="22"/>
          <w:szCs w:val="22"/>
          <w:rtl w:val="0"/>
        </w:rPr>
        <w:t xml:space="preserve">quince de julio de dos mil veintiséis,</w:t>
      </w:r>
      <w:r w:rsidDel="00000000" w:rsidR="00000000" w:rsidRPr="00000000">
        <w:rPr>
          <w:rFonts w:ascii="Palatino Linotype" w:cs="Palatino Linotype" w:eastAsia="Palatino Linotype" w:hAnsi="Palatino Linotype"/>
          <w:sz w:val="22"/>
          <w:szCs w:val="22"/>
          <w:rtl w:val="0"/>
        </w:rPr>
        <w:t xml:space="preserv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interpuso el recurso de revisión a través de </w:t>
      </w:r>
      <w:r w:rsidDel="00000000" w:rsidR="00000000" w:rsidRPr="00000000">
        <w:rPr>
          <w:rFonts w:ascii="Palatino Linotype" w:cs="Palatino Linotype" w:eastAsia="Palatino Linotype" w:hAnsi="Palatino Linotype"/>
          <w:b w:val="1"/>
          <w:bCs w:val="1"/>
          <w:sz w:val="22"/>
          <w:szCs w:val="22"/>
          <w:rtl w:val="0"/>
        </w:rPr>
        <w:t xml:space="preserve">SAIMEX, </w:t>
      </w:r>
      <w:r w:rsidDel="00000000" w:rsidR="00000000" w:rsidRPr="00000000">
        <w:rPr>
          <w:rFonts w:ascii="Palatino Linotype" w:cs="Palatino Linotype" w:eastAsia="Palatino Linotype" w:hAnsi="Palatino Linotype"/>
          <w:sz w:val="22"/>
          <w:szCs w:val="22"/>
          <w:rtl w:val="0"/>
        </w:rPr>
        <w:t xml:space="preserve">en donde se manifestó de la siguiente manera:</w:t>
      </w:r>
    </w:p>
    <w:p w:rsidR="00000000" w:rsidDel="00000000" w:rsidP="00000000" w:rsidRDefault="00000000" w:rsidRPr="00000000" w14:paraId="00000013">
      <w:pPr>
        <w:spacing w:after="240" w:before="240" w:line="360" w:lineRule="auto"/>
        <w:ind w:right="49"/>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Acto impugnado: </w:t>
      </w:r>
    </w:p>
    <w:p w:rsidR="00000000" w:rsidDel="00000000" w:rsidP="00000000" w:rsidRDefault="00000000" w:rsidRPr="00000000" w14:paraId="00000014">
      <w:pPr>
        <w:tabs>
          <w:tab w:val="left" w:leader="none" w:pos="2745"/>
        </w:tabs>
        <w:spacing w:after="240" w:before="240" w:lineRule="auto"/>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“Información incopmpleta” (sic)</w:t>
      </w:r>
    </w:p>
    <w:p w:rsidR="00000000" w:rsidDel="00000000" w:rsidP="00000000" w:rsidRDefault="00000000" w:rsidRPr="00000000" w14:paraId="00000015">
      <w:pPr>
        <w:spacing w:line="360" w:lineRule="auto"/>
        <w:jc w:val="both"/>
        <w:rPr>
          <w:rFonts w:ascii="Palatino Linotype" w:cs="Palatino Linotype" w:eastAsia="Palatino Linotype" w:hAnsi="Palatino Linotype"/>
          <w:sz w:val="22"/>
          <w:szCs w:val="22"/>
        </w:rPr>
      </w:pPr>
      <w:bookmarkStart w:colFirst="0" w:colLast="0" w:name="_heading=h.30j0zll" w:id="4"/>
      <w:bookmarkEnd w:id="4"/>
      <w:r w:rsidDel="00000000" w:rsidR="00000000" w:rsidRPr="00000000">
        <w:rPr>
          <w:rFonts w:ascii="Palatino Linotype" w:cs="Palatino Linotype" w:eastAsia="Palatino Linotype" w:hAnsi="Palatino Linotype"/>
          <w:b w:val="1"/>
          <w:bCs w:val="1"/>
          <w:sz w:val="22"/>
          <w:szCs w:val="22"/>
          <w:rtl w:val="0"/>
        </w:rPr>
        <w:t xml:space="preserve">Y, Razones o motivos de inconformidad</w:t>
      </w:r>
      <w:r w:rsidDel="00000000" w:rsidR="00000000" w:rsidRPr="00000000">
        <w:rPr>
          <w:rFonts w:ascii="Palatino Linotype" w:cs="Palatino Linotype" w:eastAsia="Palatino Linotype" w:hAnsi="Palatino Linotype"/>
          <w:sz w:val="22"/>
          <w:szCs w:val="22"/>
          <w:rtl w:val="0"/>
        </w:rPr>
        <w:t xml:space="preserve">:</w:t>
      </w:r>
    </w:p>
    <w:p w:rsidR="00000000" w:rsidDel="00000000" w:rsidP="00000000" w:rsidRDefault="00000000" w:rsidRPr="00000000" w14:paraId="00000016">
      <w:pPr>
        <w:tabs>
          <w:tab w:val="left" w:leader="none" w:pos="2745"/>
        </w:tabs>
        <w:spacing w:after="240" w:before="240" w:lineRule="auto"/>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“La información que se entrega </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no incluye coordenadas (ubicación</w:t>
      </w:r>
      <w:r w:rsidDel="00000000" w:rsidR="00000000" w:rsidRPr="00000000">
        <w:rPr>
          <w:rFonts w:ascii="Palatino Linotype" w:cs="Palatino Linotype" w:eastAsia="Palatino Linotype" w:hAnsi="Palatino Linotype"/>
          <w:i w:val="1"/>
          <w:iCs w:val="1"/>
          <w:sz w:val="22"/>
          <w:szCs w:val="22"/>
          <w:rtl w:val="0"/>
        </w:rPr>
        <w:t xml:space="preserve">) elemento que es requerido en el IPH señalado en mi solicitud inicial. </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La columna E de la información que se me entrega (al igual que otras columnas) aparece en blanco cuando es información que sí debería de poseer</w:t>
      </w:r>
      <w:r w:rsidDel="00000000" w:rsidR="00000000" w:rsidRPr="00000000">
        <w:rPr>
          <w:rFonts w:ascii="Palatino Linotype" w:cs="Palatino Linotype" w:eastAsia="Palatino Linotype" w:hAnsi="Palatino Linotype"/>
          <w:i w:val="1"/>
          <w:iCs w:val="1"/>
          <w:sz w:val="22"/>
          <w:szCs w:val="22"/>
          <w:rtl w:val="0"/>
        </w:rPr>
        <w:t xml:space="preserve">. Cabe mencionar que el sujeto obligado no pódría invocar la clasificación de la información en atención a que, como también lo señalo en mi solicitud, corresponde a información pública y que incluso la CDMX y Jalisco ya entregan sin mediar siquiera solicitud de información como se hace constar en las siguientes direcciones electrónicas: https://www.fgjcdmx.gob.mx/transparencia/incidencia-delictiva y https://iieg.gob.mx/plataforma_seguridad/#/home respectivamente. Le suplico al órgano garante que valúe esta información, la sopese y realice un ejercicio de ponderación entre las ventajas de abrir la información como ya lo están haciendo otras dependencias en virtud de la importancia de conocer esta información. Le suplico que sea proactivo y transparente..” (sic) </w:t>
      </w:r>
    </w:p>
    <w:p w:rsidR="00000000" w:rsidDel="00000000" w:rsidP="00000000" w:rsidRDefault="00000000" w:rsidRPr="00000000" w14:paraId="00000017">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4. Turno. </w:t>
      </w:r>
      <w:r w:rsidDel="00000000" w:rsidR="00000000" w:rsidRPr="00000000">
        <w:rPr>
          <w:rFonts w:ascii="Palatino Linotype" w:cs="Palatino Linotype" w:eastAsia="Palatino Linotype" w:hAnsi="Palatino Linotype"/>
          <w:sz w:val="22"/>
          <w:szCs w:val="22"/>
          <w:rtl w:val="0"/>
        </w:rPr>
        <w:t xml:space="preserve">De conformidad con el artículo 185 fracción I de la Ley de Transparencia y Acceso a la Información Pública del Estado de México y Municipios vigente, el presente recurso de revisión se turnó por el sistema electrónico del Instituto de Transparencia, Acceso a la Información Pública y Protección de Datos Personales del Estado de México y Municipios, a la Comisionada </w:t>
      </w:r>
      <w:r w:rsidDel="00000000" w:rsidR="00000000" w:rsidRPr="00000000">
        <w:rPr>
          <w:rFonts w:ascii="Palatino Linotype" w:cs="Palatino Linotype" w:eastAsia="Palatino Linotype" w:hAnsi="Palatino Linotype"/>
          <w:b w:val="1"/>
          <w:bCs w:val="1"/>
          <w:sz w:val="22"/>
          <w:szCs w:val="22"/>
          <w:rtl w:val="0"/>
        </w:rPr>
        <w:t xml:space="preserve">Guadalupe Ramírez Peña, </w:t>
      </w:r>
      <w:r w:rsidDel="00000000" w:rsidR="00000000" w:rsidRPr="00000000">
        <w:rPr>
          <w:rFonts w:ascii="Palatino Linotype" w:cs="Palatino Linotype" w:eastAsia="Palatino Linotype" w:hAnsi="Palatino Linotype"/>
          <w:sz w:val="22"/>
          <w:szCs w:val="22"/>
          <w:rtl w:val="0"/>
        </w:rPr>
        <w:t xml:space="preserve">a efecto de que analizara sobre su admisión o su desechamiento.</w:t>
      </w:r>
    </w:p>
    <w:p w:rsidR="00000000" w:rsidDel="00000000" w:rsidP="00000000" w:rsidRDefault="00000000" w:rsidRPr="00000000" w14:paraId="00000018">
      <w:pPr>
        <w:spacing w:after="240" w:before="240"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5. Admisión del Recurso de revisión.</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dieciséis de julio de dos mil veintiséis, </w:t>
      </w:r>
      <w:r w:rsidDel="00000000" w:rsidR="00000000" w:rsidRPr="00000000">
        <w:rPr>
          <w:rFonts w:ascii="Palatino Linotype" w:cs="Palatino Linotype" w:eastAsia="Palatino Linotype" w:hAnsi="Palatino Linotype"/>
          <w:sz w:val="22"/>
          <w:szCs w:val="22"/>
          <w:rtl w:val="0"/>
        </w:rPr>
        <w:t xml:space="preserve">este Instituto de Transparencia, Acceso a la Información Pública y Protección de Datos Personales del Estado de México y Municipios, admitió a trámite el recurso de revisión que ahora se resuelve, dando un plazo máximo de siete días hábiles para que las partes manifestaran lo que a su derecho resultara conveniente, ofrecieran pruebas, formularan alegatos y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presentara su informe justificado.</w:t>
      </w: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284"/>
        </w:tabs>
        <w:spacing w:line="360" w:lineRule="auto"/>
        <w:ind w:right="49"/>
        <w:jc w:val="both"/>
        <w:rPr>
          <w:rFonts w:ascii="Palatino Linotype" w:cs="Palatino Linotype" w:eastAsia="Palatino Linotype" w:hAnsi="Palatino Linotype"/>
          <w:sz w:val="22"/>
          <w:szCs w:val="22"/>
        </w:rPr>
      </w:pPr>
      <w:bookmarkStart w:colFirst="0" w:colLast="0" w:name="_heading=h.2s8eyo1" w:id="5"/>
      <w:bookmarkEnd w:id="5"/>
      <w:r w:rsidDel="00000000" w:rsidR="00000000" w:rsidRPr="00000000">
        <w:rPr>
          <w:rFonts w:ascii="Palatino Linotype" w:cs="Palatino Linotype" w:eastAsia="Palatino Linotype" w:hAnsi="Palatino Linotype"/>
          <w:b w:val="1"/>
          <w:bCs w:val="1"/>
          <w:sz w:val="22"/>
          <w:szCs w:val="22"/>
          <w:rtl w:val="0"/>
        </w:rPr>
        <w:t xml:space="preserve">6. Manifestaciones</w:t>
      </w:r>
      <w:r w:rsidDel="00000000" w:rsidR="00000000" w:rsidRPr="00000000">
        <w:rPr>
          <w:rFonts w:ascii="Palatino Linotype" w:cs="Palatino Linotype" w:eastAsia="Palatino Linotype" w:hAnsi="Palatino Linotype"/>
          <w:sz w:val="22"/>
          <w:szCs w:val="22"/>
          <w:rtl w:val="0"/>
        </w:rPr>
        <w:t xml:space="preserve">. De las constancias que obran en el expediente electrónico del SAIMEX se desprende que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no rindió su informe justificado, de igual forma el particular no emitió manifestaciones. </w:t>
      </w:r>
    </w:p>
    <w:p w:rsidR="00000000" w:rsidDel="00000000" w:rsidP="00000000" w:rsidRDefault="00000000" w:rsidRPr="00000000" w14:paraId="0000001A">
      <w:pPr>
        <w:spacing w:after="240" w:before="240"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7. Cierre de instrucción. </w:t>
      </w:r>
      <w:r w:rsidDel="00000000" w:rsidR="00000000" w:rsidRPr="00000000">
        <w:rPr>
          <w:rFonts w:ascii="Palatino Linotype" w:cs="Palatino Linotype" w:eastAsia="Palatino Linotype" w:hAnsi="Palatino Linotype"/>
          <w:sz w:val="22"/>
          <w:szCs w:val="22"/>
          <w:rtl w:val="0"/>
        </w:rPr>
        <w:t xml:space="preserve">Una vez transcurrido el periodo otorgado a las partes para realizar sus manifestaciones y no habiendo documentos que integrar al expediente, el </w:t>
      </w:r>
      <w:r w:rsidDel="00000000" w:rsidR="00000000" w:rsidRPr="00000000">
        <w:rPr>
          <w:rFonts w:ascii="Palatino Linotype" w:cs="Palatino Linotype" w:eastAsia="Palatino Linotype" w:hAnsi="Palatino Linotype"/>
          <w:b w:val="1"/>
          <w:bCs w:val="1"/>
          <w:sz w:val="22"/>
          <w:szCs w:val="22"/>
          <w:rtl w:val="0"/>
        </w:rPr>
        <w:t xml:space="preserve">doce de agosto de dos mil veintiséis</w:t>
      </w:r>
      <w:r w:rsidDel="00000000" w:rsidR="00000000" w:rsidRPr="00000000">
        <w:rPr>
          <w:rFonts w:ascii="Palatino Linotype" w:cs="Palatino Linotype" w:eastAsia="Palatino Linotype" w:hAnsi="Palatino Linotype"/>
          <w:sz w:val="22"/>
          <w:szCs w:val="22"/>
          <w:rtl w:val="0"/>
        </w:rPr>
        <w:t xml:space="preserve">, la Comisionada Ponente determinó el cierre de instrucción en términos de la fracción VI del artículo 185 de la Ley de Transparencia y Acceso a la Información Pública del Estado de México y Municipios.</w:t>
      </w:r>
      <w:r w:rsidDel="00000000" w:rsidR="00000000" w:rsidRPr="00000000">
        <w:rPr>
          <w:rtl w:val="0"/>
        </w:rPr>
      </w:r>
    </w:p>
    <w:p w:rsidR="00000000" w:rsidDel="00000000" w:rsidP="00000000" w:rsidRDefault="00000000" w:rsidRPr="00000000" w14:paraId="0000001B">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razón de que fue debidamente sustanciado el expediente electrónico y no existe diligencia pendiente de desahogo, se emite la Resolución que conforme a Derecho proceda, de acuerdo con los siguientes: </w:t>
      </w:r>
    </w:p>
    <w:p w:rsidR="00000000" w:rsidDel="00000000" w:rsidP="00000000" w:rsidRDefault="00000000" w:rsidRPr="00000000" w14:paraId="0000001C">
      <w:pPr>
        <w:widowControl w:val="0"/>
        <w:spacing w:after="240" w:before="240" w:line="360" w:lineRule="auto"/>
        <w:jc w:val="cente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II. C O N S I D E R A N D O S</w:t>
      </w:r>
    </w:p>
    <w:p w:rsidR="00000000" w:rsidDel="00000000" w:rsidP="00000000" w:rsidRDefault="00000000" w:rsidRPr="00000000" w14:paraId="0000001D">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Primero. Competencia.</w:t>
      </w:r>
      <w:r w:rsidDel="00000000" w:rsidR="00000000" w:rsidRPr="00000000">
        <w:rPr>
          <w:rFonts w:ascii="Palatino Linotype" w:cs="Palatino Linotype" w:eastAsia="Palatino Linotype" w:hAnsi="Palatino Linotype"/>
          <w:sz w:val="22"/>
          <w:szCs w:val="22"/>
          <w:rtl w:val="0"/>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5 párrafos cuadragésimo cuarto, cuadragésimo quinto y cuadragésimo sexto, fracciones IV y V de la Constitución Política del Estado Libre y Soberano de México; transitorio Cuarto del Decreto número 198 de la “LXII” Legislatura del Estado de México; 2, fracción II; 29, 36 fracciones I y II; 176, 178, 181, 185, fracción I, 186 y 188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rsidR="00000000" w:rsidDel="00000000" w:rsidP="00000000" w:rsidRDefault="00000000" w:rsidRPr="00000000" w14:paraId="0000001E">
      <w:pPr>
        <w:spacing w:after="240" w:before="240" w:line="360" w:lineRule="auto"/>
        <w:jc w:val="both"/>
        <w:rPr>
          <w:rFonts w:ascii="Palatino Linotype" w:cs="Palatino Linotype" w:eastAsia="Palatino Linotype" w:hAnsi="Palatino Linotype"/>
          <w:sz w:val="22"/>
          <w:szCs w:val="22"/>
        </w:rPr>
      </w:pPr>
      <w:bookmarkStart w:colFirst="0" w:colLast="0" w:name="_heading=h.3znysh7" w:id="6"/>
      <w:bookmarkEnd w:id="6"/>
      <w:r w:rsidDel="00000000" w:rsidR="00000000" w:rsidRPr="00000000">
        <w:rPr>
          <w:rFonts w:ascii="Palatino Linotype" w:cs="Palatino Linotype" w:eastAsia="Palatino Linotype" w:hAnsi="Palatino Linotype"/>
          <w:b w:val="1"/>
          <w:bCs w:val="1"/>
          <w:sz w:val="22"/>
          <w:szCs w:val="22"/>
          <w:rtl w:val="0"/>
        </w:rPr>
        <w:t xml:space="preserve">Segundo. Oportunidad y Procedibilidad del Recurso de Revisión</w:t>
      </w:r>
      <w:r w:rsidDel="00000000" w:rsidR="00000000" w:rsidRPr="00000000">
        <w:rPr>
          <w:rFonts w:ascii="Palatino Linotype" w:cs="Palatino Linotype" w:eastAsia="Palatino Linotype" w:hAnsi="Palatino Linotype"/>
          <w:sz w:val="22"/>
          <w:szCs w:val="22"/>
          <w:rtl w:val="0"/>
        </w:rPr>
        <w:t xml:space="preserve">. Previo al estudio del fondo del asunto, se procede a analizar los requisitos de oportunidad y procedibilidad que debe reunir el recurso de revisión interpuesto, previstos en los artículos 178 y 180 de la Ley de Transparencia y Acceso a la Información Pública del Estado de México y Municipios.</w:t>
      </w:r>
    </w:p>
    <w:p w:rsidR="00000000" w:rsidDel="00000000" w:rsidP="00000000" w:rsidRDefault="00000000" w:rsidRPr="00000000" w14:paraId="0000001F">
      <w:pPr>
        <w:spacing w:after="240" w:before="240"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El recurso de revisión fue interpuesto dentro del plazo de quince días hábiles, previsto en el artículo 178 de la Ley de Transparencia y Acceso a la Información Pública del Estado de México y Municipios, toda vez que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remitió la respuesta a la solicitud de información el día </w:t>
      </w:r>
      <w:r w:rsidDel="00000000" w:rsidR="00000000" w:rsidRPr="00000000">
        <w:rPr>
          <w:rFonts w:ascii="Palatino Linotype" w:cs="Palatino Linotype" w:eastAsia="Palatino Linotype" w:hAnsi="Palatino Linotype"/>
          <w:b w:val="1"/>
          <w:bCs w:val="1"/>
          <w:sz w:val="22"/>
          <w:szCs w:val="22"/>
          <w:rtl w:val="0"/>
        </w:rPr>
        <w:t xml:space="preserve">seis de julio de dos mil veintiséis, </w:t>
      </w:r>
      <w:r w:rsidDel="00000000" w:rsidR="00000000" w:rsidRPr="00000000">
        <w:rPr>
          <w:rFonts w:ascii="Palatino Linotype" w:cs="Palatino Linotype" w:eastAsia="Palatino Linotype" w:hAnsi="Palatino Linotype"/>
          <w:sz w:val="22"/>
          <w:szCs w:val="22"/>
          <w:rtl w:val="0"/>
        </w:rPr>
        <w:t xml:space="preserve">mientras que el recurso de revisión interpuesto por la parte </w:t>
      </w:r>
      <w:r w:rsidDel="00000000" w:rsidR="00000000" w:rsidRPr="00000000">
        <w:rPr>
          <w:rFonts w:ascii="Palatino Linotype" w:cs="Palatino Linotype" w:eastAsia="Palatino Linotype" w:hAnsi="Palatino Linotype"/>
          <w:b w:val="1"/>
          <w:bCs w:val="1"/>
          <w:sz w:val="22"/>
          <w:szCs w:val="22"/>
          <w:rtl w:val="0"/>
        </w:rPr>
        <w:t xml:space="preserve">Recurrente, </w:t>
      </w:r>
      <w:r w:rsidDel="00000000" w:rsidR="00000000" w:rsidRPr="00000000">
        <w:rPr>
          <w:rFonts w:ascii="Palatino Linotype" w:cs="Palatino Linotype" w:eastAsia="Palatino Linotype" w:hAnsi="Palatino Linotype"/>
          <w:sz w:val="22"/>
          <w:szCs w:val="22"/>
          <w:rtl w:val="0"/>
        </w:rPr>
        <w:t xml:space="preserve">se tuvo por presentado el día</w:t>
      </w:r>
      <w:r w:rsidDel="00000000" w:rsidR="00000000" w:rsidRPr="00000000">
        <w:rPr>
          <w:rFonts w:ascii="Palatino Linotype" w:cs="Palatino Linotype" w:eastAsia="Palatino Linotype" w:hAnsi="Palatino Linotype"/>
          <w:b w:val="1"/>
          <w:bCs w:val="1"/>
          <w:sz w:val="22"/>
          <w:szCs w:val="22"/>
          <w:rtl w:val="0"/>
        </w:rPr>
        <w:t xml:space="preserve"> quince de julio de dos mil veintiséis, </w:t>
      </w:r>
      <w:r w:rsidDel="00000000" w:rsidR="00000000" w:rsidRPr="00000000">
        <w:rPr>
          <w:rFonts w:ascii="Palatino Linotype" w:cs="Palatino Linotype" w:eastAsia="Palatino Linotype" w:hAnsi="Palatino Linotype"/>
          <w:sz w:val="22"/>
          <w:szCs w:val="22"/>
          <w:rtl w:val="0"/>
        </w:rPr>
        <w:t xml:space="preserve">esto es, al séptimo día hábil posterior a aquel en el que tuvo conocimiento de la respuesta impugnada. En este sentido, se concluye que el presente recurso de revisión se encuentra dentro de los márgenes temporales previstos en las disposiciones legales referidas.</w:t>
      </w:r>
      <w:r w:rsidDel="00000000" w:rsidR="00000000" w:rsidRPr="00000000">
        <w:rPr>
          <w:rtl w:val="0"/>
        </w:rPr>
      </w:r>
    </w:p>
    <w:p w:rsidR="00000000" w:rsidDel="00000000" w:rsidP="00000000" w:rsidRDefault="00000000" w:rsidRPr="00000000" w14:paraId="00000020">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Además, por cuanto hace a la procedibilidad del recurso de revisión, es de suma importancia señalar que la parte</w:t>
      </w:r>
      <w:r w:rsidDel="00000000" w:rsidR="00000000" w:rsidRPr="00000000">
        <w:rPr>
          <w:rFonts w:ascii="Palatino Linotype" w:cs="Palatino Linotype" w:eastAsia="Palatino Linotype" w:hAnsi="Palatino Linotype"/>
          <w:b w:val="1"/>
          <w:bCs w:val="1"/>
          <w:sz w:val="22"/>
          <w:szCs w:val="22"/>
          <w:rtl w:val="0"/>
        </w:rPr>
        <w:t xml:space="preserve"> Recurrente</w:t>
      </w:r>
      <w:r w:rsidDel="00000000" w:rsidR="00000000" w:rsidRPr="00000000">
        <w:rPr>
          <w:rFonts w:ascii="Palatino Linotype" w:cs="Palatino Linotype" w:eastAsia="Palatino Linotype" w:hAnsi="Palatino Linotype"/>
          <w:sz w:val="22"/>
          <w:szCs w:val="22"/>
          <w:rtl w:val="0"/>
        </w:rPr>
        <w:t xml:space="preserve">, no señaló </w:t>
      </w:r>
      <w:r w:rsidDel="00000000" w:rsidR="00000000" w:rsidRPr="00000000">
        <w:rPr>
          <w:rFonts w:ascii="Palatino Linotype" w:cs="Palatino Linotype" w:eastAsia="Palatino Linotype" w:hAnsi="Palatino Linotype"/>
          <w:b w:val="1"/>
          <w:bCs w:val="1"/>
          <w:sz w:val="22"/>
          <w:szCs w:val="22"/>
          <w:rtl w:val="0"/>
        </w:rPr>
        <w:t xml:space="preserve">nombre completo</w:t>
      </w:r>
      <w:r w:rsidDel="00000000" w:rsidR="00000000" w:rsidRPr="00000000">
        <w:rPr>
          <w:rFonts w:ascii="Palatino Linotype" w:cs="Palatino Linotype" w:eastAsia="Palatino Linotype" w:hAnsi="Palatino Linotype"/>
          <w:sz w:val="22"/>
          <w:szCs w:val="22"/>
          <w:rtl w:val="0"/>
        </w:rPr>
        <w:t xml:space="preserve"> con el cual desea ser identificado, como se advierte en el detalle de seguimiento del SAIMEX, no obstante no proporcionar un nombre no es motivo para archivar la solicitud de acceso a la información pública como concluida, conforme a lo previsto en el artículo 155, penúltimo párrafo de la Ley de Transparencia y Acceso a la Información Pública del Estado de México y Municipios que establece lo siguiente:</w:t>
      </w:r>
    </w:p>
    <w:p w:rsidR="00000000" w:rsidDel="00000000" w:rsidP="00000000" w:rsidRDefault="00000000" w:rsidRPr="00000000" w14:paraId="00000021">
      <w:pPr>
        <w:spacing w:after="240" w:before="240" w:lineRule="auto"/>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Las solicitudes anónimas</w:t>
      </w:r>
      <w:r w:rsidDel="00000000" w:rsidR="00000000" w:rsidRPr="00000000">
        <w:rPr>
          <w:rFonts w:ascii="Palatino Linotype" w:cs="Palatino Linotype" w:eastAsia="Palatino Linotype" w:hAnsi="Palatino Linotype"/>
          <w:i w:val="1"/>
          <w:iCs w:val="1"/>
          <w:sz w:val="22"/>
          <w:szCs w:val="22"/>
          <w:rtl w:val="0"/>
        </w:rPr>
        <w:t xml:space="preserve">, con nombre incompleto o </w:t>
      </w:r>
      <w:r w:rsidDel="00000000" w:rsidR="00000000" w:rsidRPr="00000000">
        <w:rPr>
          <w:rFonts w:ascii="Palatino Linotype" w:cs="Palatino Linotype" w:eastAsia="Palatino Linotype" w:hAnsi="Palatino Linotype"/>
          <w:b w:val="1"/>
          <w:bCs w:val="1"/>
          <w:i w:val="1"/>
          <w:iCs w:val="1"/>
          <w:sz w:val="22"/>
          <w:szCs w:val="22"/>
          <w:rtl w:val="0"/>
        </w:rPr>
        <w:t xml:space="preserve">seudónimo</w:t>
      </w:r>
      <w:r w:rsidDel="00000000" w:rsidR="00000000" w:rsidRPr="00000000">
        <w:rPr>
          <w:rFonts w:ascii="Palatino Linotype" w:cs="Palatino Linotype" w:eastAsia="Palatino Linotype" w:hAnsi="Palatino Linotype"/>
          <w:i w:val="1"/>
          <w:iCs w:val="1"/>
          <w:sz w:val="22"/>
          <w:szCs w:val="22"/>
          <w:rtl w:val="0"/>
        </w:rPr>
        <w:t xml:space="preserve"> serán procedentes para su trámite por parte del sujeto obligado ante quien se presente. No podrá requerirse información adicional con motivo del nombre proporcionado por el solicitante."</w:t>
      </w:r>
    </w:p>
    <w:p w:rsidR="00000000" w:rsidDel="00000000" w:rsidP="00000000" w:rsidRDefault="00000000" w:rsidRPr="00000000" w14:paraId="00000022">
      <w:pPr>
        <w:spacing w:after="240" w:before="240"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De acuerdo al análisis efectuado se advierte que resulta procedente la interposición del recurso y se concluye la acreditación plena de todos y cada uno de los elementos formales exigidos por el artículo 180 de la Ley de Transparencia y Acceso a la Información Pública del Estado de México y Municipios en vigor, en atención a que fue presentado mediante el formato visible en el</w:t>
      </w:r>
      <w:r w:rsidDel="00000000" w:rsidR="00000000" w:rsidRPr="00000000">
        <w:rPr>
          <w:rFonts w:ascii="Palatino Linotype" w:cs="Palatino Linotype" w:eastAsia="Palatino Linotype" w:hAnsi="Palatino Linotype"/>
          <w:b w:val="1"/>
          <w:bCs w:val="1"/>
          <w:sz w:val="22"/>
          <w:szCs w:val="22"/>
          <w:rtl w:val="0"/>
        </w:rPr>
        <w:t xml:space="preserve"> SAIMEX.</w:t>
      </w:r>
    </w:p>
    <w:p w:rsidR="00000000" w:rsidDel="00000000" w:rsidP="00000000" w:rsidRDefault="00000000" w:rsidRPr="00000000" w14:paraId="00000023">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Finalmente, antes de entrar al estudio de la presente resolución es preciso determinar si resulta procedente la interposición del recurso de revisión, toda vez que se actualiza la hipótesis prevista en el artículo 179, fracción V de la ley de la materia, que a la letra dice:</w:t>
      </w:r>
    </w:p>
    <w:p w:rsidR="00000000" w:rsidDel="00000000" w:rsidP="00000000" w:rsidRDefault="00000000" w:rsidRPr="00000000" w14:paraId="00000024">
      <w:pPr>
        <w:spacing w:after="120" w:before="120" w:lineRule="auto"/>
        <w:ind w:left="851" w:right="851"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179. </w:t>
      </w:r>
      <w:r w:rsidDel="00000000" w:rsidR="00000000" w:rsidRPr="00000000">
        <w:rPr>
          <w:rFonts w:ascii="Palatino Linotype" w:cs="Palatino Linotype" w:eastAsia="Palatino Linotype" w:hAnsi="Palatino Linotype"/>
          <w:i w:val="1"/>
          <w:iCs w:val="1"/>
          <w:sz w:val="22"/>
          <w:szCs w:val="22"/>
          <w:rtl w:val="0"/>
        </w:rPr>
        <w:t xml:space="preserve">El recurso de revisión es un medio de protección que la Ley otorga a los particulares, para hacer valer su derecho de acceso a la información pública, y procederá en contra de las siguientes causas:</w:t>
      </w:r>
    </w:p>
    <w:p w:rsidR="00000000" w:rsidDel="00000000" w:rsidP="00000000" w:rsidRDefault="00000000" w:rsidRPr="00000000" w14:paraId="00000025">
      <w:pPr>
        <w:tabs>
          <w:tab w:val="left" w:leader="none" w:pos="7938"/>
        </w:tabs>
        <w:spacing w:after="120" w:before="120" w:lineRule="auto"/>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26">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 </w:t>
      </w:r>
      <w:r w:rsidDel="00000000" w:rsidR="00000000" w:rsidRPr="00000000">
        <w:rPr>
          <w:rFonts w:ascii="Palatino Linotype" w:cs="Palatino Linotype" w:eastAsia="Palatino Linotype" w:hAnsi="Palatino Linotype"/>
          <w:i w:val="1"/>
          <w:iCs w:val="1"/>
          <w:sz w:val="22"/>
          <w:szCs w:val="22"/>
          <w:rtl w:val="0"/>
        </w:rPr>
        <w:t xml:space="preserve">La entrega de información incompleta;</w:t>
      </w:r>
    </w:p>
    <w:p w:rsidR="00000000" w:rsidDel="00000000" w:rsidP="00000000" w:rsidRDefault="00000000" w:rsidRPr="00000000" w14:paraId="00000027">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28">
      <w:pPr>
        <w:spacing w:after="240" w:before="240"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Tercero. Materia de la revisión. </w:t>
      </w:r>
      <w:r w:rsidDel="00000000" w:rsidR="00000000" w:rsidRPr="00000000">
        <w:rPr>
          <w:rFonts w:ascii="Palatino Linotype" w:cs="Palatino Linotype" w:eastAsia="Palatino Linotype" w:hAnsi="Palatino Linotype"/>
          <w:sz w:val="22"/>
          <w:szCs w:val="22"/>
          <w:rtl w:val="0"/>
        </w:rPr>
        <w:t xml:space="preserve">De la revisión a las constancias y documentos que obran en el expediente electrónico se advierte, que el tema sobre el que este Organismo Garante de Transparencia y Acceso a la Información se pronunciará será: </w:t>
      </w:r>
      <w:r w:rsidDel="00000000" w:rsidR="00000000" w:rsidRPr="00000000">
        <w:rPr>
          <w:rFonts w:ascii="Palatino Linotype" w:cs="Palatino Linotype" w:eastAsia="Palatino Linotype" w:hAnsi="Palatino Linotype"/>
          <w:b w:val="1"/>
          <w:bCs w:val="1"/>
          <w:sz w:val="22"/>
          <w:szCs w:val="22"/>
          <w:rtl w:val="0"/>
        </w:rPr>
        <w:t xml:space="preserve">verificar si la información proporcionada por el Sujeto Obligado es adecuada y suficiente para satisfacer el derecho de acceso a la información pública </w:t>
      </w:r>
      <w:r w:rsidDel="00000000" w:rsidR="00000000" w:rsidRPr="00000000">
        <w:rPr>
          <w:rFonts w:ascii="Palatino Linotype" w:cs="Palatino Linotype" w:eastAsia="Palatino Linotype" w:hAnsi="Palatino Linotype"/>
          <w:sz w:val="22"/>
          <w:szCs w:val="22"/>
          <w:rtl w:val="0"/>
        </w:rPr>
        <w:t xml:space="preserve">de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o en su defecto, en caso de ser procedente, ordenar la entrega de información.</w:t>
      </w:r>
      <w:r w:rsidDel="00000000" w:rsidR="00000000" w:rsidRPr="00000000">
        <w:rPr>
          <w:rtl w:val="0"/>
        </w:rPr>
      </w:r>
    </w:p>
    <w:p w:rsidR="00000000" w:rsidDel="00000000" w:rsidP="00000000" w:rsidRDefault="00000000" w:rsidRPr="00000000" w14:paraId="00000029">
      <w:pPr>
        <w:spacing w:after="240" w:before="240" w:line="360" w:lineRule="auto"/>
        <w:jc w:val="both"/>
        <w:rPr>
          <w:rFonts w:ascii="Palatino Linotype" w:cs="Palatino Linotype" w:eastAsia="Palatino Linotype" w:hAnsi="Palatino Linotype"/>
          <w:sz w:val="22"/>
          <w:szCs w:val="22"/>
        </w:rPr>
      </w:pPr>
      <w:bookmarkStart w:colFirst="0" w:colLast="0" w:name="_heading=h.2et92p0" w:id="7"/>
      <w:bookmarkEnd w:id="7"/>
      <w:r w:rsidDel="00000000" w:rsidR="00000000" w:rsidRPr="00000000">
        <w:rPr>
          <w:rFonts w:ascii="Palatino Linotype" w:cs="Palatino Linotype" w:eastAsia="Palatino Linotype" w:hAnsi="Palatino Linotype"/>
          <w:b w:val="1"/>
          <w:bCs w:val="1"/>
          <w:sz w:val="22"/>
          <w:szCs w:val="22"/>
          <w:rtl w:val="0"/>
        </w:rPr>
        <w:t xml:space="preserve">Cuarto. Estudio del asunto. </w:t>
      </w:r>
      <w:r w:rsidDel="00000000" w:rsidR="00000000" w:rsidRPr="00000000">
        <w:rPr>
          <w:rFonts w:ascii="Palatino Linotype" w:cs="Palatino Linotype" w:eastAsia="Palatino Linotype" w:hAnsi="Palatino Linotype"/>
          <w:sz w:val="22"/>
          <w:szCs w:val="22"/>
          <w:rtl w:val="0"/>
        </w:rPr>
        <w:t xml:space="preserve">En primer lugar, es conveniente mencionar que de conformidad con el artículo 4 de la Ley de Transparencia y Acceso a la Información Pública del Estado de México y Municipios toda la información generada, obtenida, adquirida, transformada, administrada o en posesión de los sujetos obligados es pública y accesible de manera permanente a cualquier persona, privilegiando el principio de máxima publicidad, como así lo establece dicha determinación, que a continuación se transcribe para un mejor entendimiento:</w:t>
      </w:r>
    </w:p>
    <w:p w:rsidR="00000000" w:rsidDel="00000000" w:rsidP="00000000" w:rsidRDefault="00000000" w:rsidRPr="00000000" w14:paraId="0000002A">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4</w:t>
      </w:r>
      <w:r w:rsidDel="00000000" w:rsidR="00000000" w:rsidRPr="00000000">
        <w:rPr>
          <w:rFonts w:ascii="Palatino Linotype" w:cs="Palatino Linotype" w:eastAsia="Palatino Linotype" w:hAnsi="Palatino Linotype"/>
          <w:i w:val="1"/>
          <w:iCs w:val="1"/>
          <w:sz w:val="22"/>
          <w:szCs w:val="22"/>
          <w:rtl w:val="0"/>
        </w:rPr>
        <w:t xml:space="preserve">. El derecho humano de acceso a la información pública es la prerrogativa de las personas para buscar, difundir, investigar, recabar, recibir y solicitar información pública, sin necesidad de acreditar personalidad ni interés jurídico. </w:t>
      </w:r>
    </w:p>
    <w:p w:rsidR="00000000" w:rsidDel="00000000" w:rsidP="00000000" w:rsidRDefault="00000000" w:rsidRPr="00000000" w14:paraId="0000002B">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Toda la información generada, obtenida, adquirida, transformada, administrada o en posesión de los sujetos obligados es pública y accesible de manera permanente a cualquier persona</w:t>
      </w:r>
      <w:r w:rsidDel="00000000" w:rsidR="00000000" w:rsidRPr="00000000">
        <w:rPr>
          <w:rFonts w:ascii="Palatino Linotype" w:cs="Palatino Linotype" w:eastAsia="Palatino Linotype" w:hAnsi="Palatino Linotype"/>
          <w:i w:val="1"/>
          <w:iCs w:val="1"/>
          <w:sz w:val="22"/>
          <w:szCs w:val="22"/>
          <w:rtl w:val="0"/>
        </w:rPr>
        <w:t xml:space="preserve">,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Ley de Transparencia y Acceso a la Información Pública del Estado de México y Municipios 29 como reservada temporalmente por razones de interés público, en los términos de las causas legítimas y estrictamente necesarias previstas por esta Ley.</w:t>
      </w:r>
    </w:p>
    <w:p w:rsidR="00000000" w:rsidDel="00000000" w:rsidP="00000000" w:rsidRDefault="00000000" w:rsidRPr="00000000" w14:paraId="0000002C">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Los sujetos obligados deben poner en práctica, políticas y programas de acceso a la información que se apeguen a criterios de publicidad, veracidad, oportunidad, precisión y suficiencia en beneficio de los solicitantes</w:t>
      </w: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2D">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Esto es, que los Sujetos Obligados tiene la obligación o deber de atender las solicitudes de acceso a la información pública que se les hagan de su conocimiento y proporcionar la información pública que obren en su poder conforme el estado que se encuentra y no hacer un procesamiento de la misma, ni presentarla conforme al interés del solicitante; como así lo establece el artículo 12 de la Ley de Transparencia y Acceso a la Información Pública del Estado de México y Municipios, que a la letra dice:</w:t>
      </w:r>
    </w:p>
    <w:p w:rsidR="00000000" w:rsidDel="00000000" w:rsidP="00000000" w:rsidRDefault="00000000" w:rsidRPr="00000000" w14:paraId="0000002E">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12.-</w:t>
      </w:r>
      <w:r w:rsidDel="00000000" w:rsidR="00000000" w:rsidRPr="00000000">
        <w:rPr>
          <w:rFonts w:ascii="Palatino Linotype" w:cs="Palatino Linotype" w:eastAsia="Palatino Linotype" w:hAnsi="Palatino Linotype"/>
          <w:i w:val="1"/>
          <w:iCs w:val="1"/>
          <w:sz w:val="22"/>
          <w:szCs w:val="22"/>
          <w:rtl w:val="0"/>
        </w:rPr>
        <w:t xml:space="preserve"> Quienes generen, recopilen, administren, manejen, procesen, archiven o conserven información pública serán responsables de la misma en los términos de las disposiciones jurídicas aplicables. </w:t>
      </w:r>
    </w:p>
    <w:p w:rsidR="00000000" w:rsidDel="00000000" w:rsidP="00000000" w:rsidRDefault="00000000" w:rsidRPr="00000000" w14:paraId="0000002F">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Los sujetos obligados sólo proporcionarán la información pública que se les requiera y que obre en sus archivos y en el estado en que ésta se encuentre</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La obligación de proporcionar información no comprende el procesamiento de la misma, ni el presentarla conforme al interés del solicitante; no estarán obligados a generarla, resumirla, efectuar cálculos o practicar investigaciones.”</w:t>
      </w:r>
      <w:r w:rsidDel="00000000" w:rsidR="00000000" w:rsidRPr="00000000">
        <w:rPr>
          <w:rtl w:val="0"/>
        </w:rPr>
      </w:r>
    </w:p>
    <w:p w:rsidR="00000000" w:rsidDel="00000000" w:rsidP="00000000" w:rsidRDefault="00000000" w:rsidRPr="00000000" w14:paraId="00000030">
      <w:pPr>
        <w:spacing w:after="240" w:before="240" w:line="360" w:lineRule="auto"/>
        <w:ind w:right="-93"/>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 decir, que todo sujeto obligado que genere, recopile, administre, procese, archive, posea o conserven, son responsables de la misma teniendo a su vez la obligación de proporcionar la información que se les requiera sin necesidad de resumirla, efectuar procedimientos para obtenerla, calcular y practicar investigaciones; en otras palabras, que los Sujetos Obligados sólo se concretaran a proporcionar la información solicitada que tengan en su poder en el estado que se encuentran, sin necesidad de concretarse al interés o términos específicos del solicitante.</w:t>
      </w:r>
    </w:p>
    <w:p w:rsidR="00000000" w:rsidDel="00000000" w:rsidP="00000000" w:rsidRDefault="00000000" w:rsidRPr="00000000" w14:paraId="00000031">
      <w:pPr>
        <w:spacing w:after="240" w:before="240"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Sirve de apoyo a lo anterior, el criterio orientador con clave de control SO/003/2017, emitido por el entonces Instituto Nacional de Transparencia, Acceso a la Información y Protección de Datos Personales, que por rubro y texto, dispone lo siguiente:</w:t>
      </w:r>
      <w:r w:rsidDel="00000000" w:rsidR="00000000" w:rsidRPr="00000000">
        <w:rPr>
          <w:rFonts w:ascii="Palatino Linotype" w:cs="Palatino Linotype" w:eastAsia="Palatino Linotype" w:hAnsi="Palatino Linotype"/>
          <w:b w:val="1"/>
          <w:bCs w:val="1"/>
          <w:sz w:val="22"/>
          <w:szCs w:val="22"/>
          <w:rtl w:val="0"/>
        </w:rPr>
        <w:t xml:space="preserve"> </w:t>
      </w:r>
    </w:p>
    <w:p w:rsidR="00000000" w:rsidDel="00000000" w:rsidP="00000000" w:rsidRDefault="00000000" w:rsidRPr="00000000" w14:paraId="00000032">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No existe obligación de elaborar documentos ad hoc para atender las solicitudes de acceso a la información.</w:t>
      </w:r>
      <w:r w:rsidDel="00000000" w:rsidR="00000000" w:rsidRPr="00000000">
        <w:rPr>
          <w:rFonts w:ascii="Palatino Linotype" w:cs="Palatino Linotype" w:eastAsia="Palatino Linotype" w:hAnsi="Palatino Linotype"/>
          <w:i w:val="1"/>
          <w:iCs w:val="1"/>
          <w:sz w:val="22"/>
          <w:szCs w:val="22"/>
          <w:rtl w:val="0"/>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 </w:t>
      </w:r>
    </w:p>
    <w:p w:rsidR="00000000" w:rsidDel="00000000" w:rsidP="00000000" w:rsidRDefault="00000000" w:rsidRPr="00000000" w14:paraId="00000033">
      <w:pPr>
        <w:spacing w:after="120" w:before="12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esa tesitura, el artículo 24 en su último párrafo de la Ley de la Materia, dispone que los Sujetos Obligados sólo proporcionarán la información pública que generen, administren o posean en el ejercicio de sus atribuciones; por consiguiente, la información pública se encuentra a disposición de cualquier persona, lo que implica que es deber de los Sujetos Obligados, garantizar el Derecho de Acceso a la Información Pública.</w:t>
      </w:r>
    </w:p>
    <w:p w:rsidR="00000000" w:rsidDel="00000000" w:rsidP="00000000" w:rsidRDefault="00000000" w:rsidRPr="00000000" w14:paraId="00000034">
      <w:pPr>
        <w:spacing w:after="120" w:before="12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conclusión, el derecho de acceso a la información pública, consiste en que la información solicitada conste en un documento en cualquiera de sus formas, a saber: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los que, podrán estar en cualquier medio, sea escrito, impreso, sonoro, visual, electrónico, informático u holográfico de conformidad con el artículo 3, fracción XI de la Ley de la materia, el cual señala lo siguiente: </w:t>
      </w:r>
    </w:p>
    <w:p w:rsidR="00000000" w:rsidDel="00000000" w:rsidP="00000000" w:rsidRDefault="00000000" w:rsidRPr="00000000" w14:paraId="00000035">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3. </w:t>
      </w:r>
      <w:r w:rsidDel="00000000" w:rsidR="00000000" w:rsidRPr="00000000">
        <w:rPr>
          <w:rFonts w:ascii="Palatino Linotype" w:cs="Palatino Linotype" w:eastAsia="Palatino Linotype" w:hAnsi="Palatino Linotype"/>
          <w:i w:val="1"/>
          <w:iCs w:val="1"/>
          <w:sz w:val="22"/>
          <w:szCs w:val="22"/>
          <w:rtl w:val="0"/>
        </w:rPr>
        <w:t xml:space="preserve">Para los efectos de la presente Ley se entenderá por:</w:t>
      </w:r>
    </w:p>
    <w:p w:rsidR="00000000" w:rsidDel="00000000" w:rsidP="00000000" w:rsidRDefault="00000000" w:rsidRPr="00000000" w14:paraId="00000036">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37">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XI. Documento:</w:t>
      </w:r>
      <w:r w:rsidDel="00000000" w:rsidR="00000000" w:rsidRPr="00000000">
        <w:rPr>
          <w:rFonts w:ascii="Palatino Linotype" w:cs="Palatino Linotype" w:eastAsia="Palatino Linotype" w:hAnsi="Palatino Linotype"/>
          <w:i w:val="1"/>
          <w:iCs w:val="1"/>
          <w:sz w:val="22"/>
          <w:szCs w:val="22"/>
          <w:rtl w:val="0"/>
        </w:rPr>
        <w:t xml:space="preserve"> Los expedientes, reportes, estudios, actas</w:t>
      </w:r>
      <w:r w:rsidDel="00000000" w:rsidR="00000000" w:rsidRPr="00000000">
        <w:rPr>
          <w:rFonts w:ascii="Palatino Linotype" w:cs="Palatino Linotype" w:eastAsia="Palatino Linotype" w:hAnsi="Palatino Linotype"/>
          <w:b w:val="1"/>
          <w:bCs w:val="1"/>
          <w:i w:val="1"/>
          <w:iCs w:val="1"/>
          <w:sz w:val="22"/>
          <w:szCs w:val="22"/>
          <w:rtl w:val="0"/>
        </w:rPr>
        <w:t xml:space="preserve">,</w:t>
      </w:r>
      <w:r w:rsidDel="00000000" w:rsidR="00000000" w:rsidRPr="00000000">
        <w:rPr>
          <w:rFonts w:ascii="Palatino Linotype" w:cs="Palatino Linotype" w:eastAsia="Palatino Linotype" w:hAnsi="Palatino Linotype"/>
          <w:i w:val="1"/>
          <w:iCs w:val="1"/>
          <w:sz w:val="22"/>
          <w:szCs w:val="22"/>
          <w:rtl w:val="0"/>
        </w:rPr>
        <w:t xml:space="preserve"> resoluciones, oficios, correspondencia, acuerdos, directivas, directrices, circulares, contratos, convenios, instructivos, notas, memorandos, estadísticas o bien, cualquier otro registro que documente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 </w:t>
      </w:r>
    </w:p>
    <w:p w:rsidR="00000000" w:rsidDel="00000000" w:rsidP="00000000" w:rsidRDefault="00000000" w:rsidRPr="00000000" w14:paraId="00000038">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 aplicable, el criterio de interpretación en el orden administrativo número 0002-11, emitido por Acuerdo del Pleno del Instituto de Transparencia y Acceso a la Información Pública del Estado de México y Municipios; publicado en el Periódico Oficial del Gobierno del Estado Libre y Soberano de México “Gaceta del Gobierno”, el diecinueve de octubre de dos mil once, cuyo rubro y texto refieren lo siguiente:</w:t>
      </w:r>
    </w:p>
    <w:p w:rsidR="00000000" w:rsidDel="00000000" w:rsidP="00000000" w:rsidRDefault="00000000" w:rsidRPr="00000000" w14:paraId="00000039">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INFORMACIÓN PÚBLICA, CONCEPTO DE, EN MATERIA DE TRANSPARENCIA. INTERPRETACIÓN SISTEMÁTICA DE LOS ARTÍCULOS 2°, FRACCIÓN V, XV, Y XVI, 3°, 4°, 11 Y 41.</w:t>
      </w:r>
      <w:r w:rsidDel="00000000" w:rsidR="00000000" w:rsidRPr="00000000">
        <w:rPr>
          <w:rFonts w:ascii="Palatino Linotype" w:cs="Palatino Linotype" w:eastAsia="Palatino Linotype" w:hAnsi="Palatino Linotype"/>
          <w:i w:val="1"/>
          <w:iCs w:val="1"/>
          <w:sz w:val="22"/>
          <w:szCs w:val="22"/>
          <w:rtl w:val="0"/>
        </w:rPr>
        <w:t xml:space="preserve"> De conformidad con los artículos antes referidos, el derecho de acceso a la información pública, se define en cuanto a su alcance y resultado material, el acceso a los archivos, registros y documentos públicos, administrados, generados o en posesión de los órganos u organismos públicos, en virtud del ejercicio de sus funciones de derecho público, sin importar su fuente, soporte o fecha de elaboración.</w:t>
      </w:r>
    </w:p>
    <w:p w:rsidR="00000000" w:rsidDel="00000000" w:rsidP="00000000" w:rsidRDefault="00000000" w:rsidRPr="00000000" w14:paraId="0000003A">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consecuencia el acceso a la información se refiere a que se cumplan cualquiera de los siguientes tres supuestos:</w:t>
      </w:r>
    </w:p>
    <w:p w:rsidR="00000000" w:rsidDel="00000000" w:rsidP="00000000" w:rsidRDefault="00000000" w:rsidRPr="00000000" w14:paraId="0000003B">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1) Que se trate de información registrada en cualquier soporte documental, que en ejercicio de las atribuciones conferidas, sea generada por los Sujetos Obligados;</w:t>
      </w:r>
    </w:p>
    <w:p w:rsidR="00000000" w:rsidDel="00000000" w:rsidP="00000000" w:rsidRDefault="00000000" w:rsidRPr="00000000" w14:paraId="0000003C">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2) Que se trate de información registrada en cualquier soporte documental, que en ejercicio de las atribuciones conferidas, sea administrada por los Sujetos Obligados, y</w:t>
      </w:r>
    </w:p>
    <w:p w:rsidR="00000000" w:rsidDel="00000000" w:rsidP="00000000" w:rsidRDefault="00000000" w:rsidRPr="00000000" w14:paraId="0000003D">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3) Que se trate de información registrada en cualquier soporte documental, que en ejercicio de las atribuciones conferidas, se encuentre en posesión de los Sujetos Obligados.”</w:t>
      </w:r>
    </w:p>
    <w:p w:rsidR="00000000" w:rsidDel="00000000" w:rsidP="00000000" w:rsidRDefault="00000000" w:rsidRPr="00000000" w14:paraId="0000003E">
      <w:pPr>
        <w:spacing w:after="240" w:before="240"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Lo anterior, siempre y cuando no se trate de información clasificada como reservada o confidencial, cuya difusión pueda lesionar el interés jurídicamente protegido por la Ley, producir un daño mayor que el interés de conocerse, o bien, generar un daño en los derechos de las personas, debiendo tener audacia los Sujetos Obligados para cuidar esta información a través del acuerdo clasificatorio del comité de transparencia y la versión pública que emita el servidor público habilitado de cada Sujeto Obligado; como así se establece en la Ley de Transparencia y Acceso a la Información Pública del Estado de México y Municipios.</w:t>
      </w:r>
    </w:p>
    <w:p w:rsidR="00000000" w:rsidDel="00000000" w:rsidP="00000000" w:rsidRDefault="00000000" w:rsidRPr="00000000" w14:paraId="0000003F">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el mismo tenor, los artículos 6, apartado A, fracción I, de la Constitución Política de los Estados Unidos Mexicanos y 5, fracción I, de la Constitución Política del Estado Libre y Soberano de México, establecen que toda la información en posesión de cualquier autoridad, entidad, órgano y organismos de los Poderes Ejecutivo, Legislativo y Judicial, órganos autónomos, partidos políticos, fideicomisos y fondos públicos estatales y municipales, así como del gobierno y de la administración pública municipal y sus organismos descentralizados, asimismo de cualquier persona física, jurídica colectiva o sindicato que reciba y ejerza recursos públicos o realice actos de autoridad en el ámbito estatal y municipal, es pública y sólo podrá ser reservada temporalmente por las razones previstas en la Constitución Federal por interés público y seguridad, en los términos que fijen las leyes de la materia.</w:t>
      </w:r>
    </w:p>
    <w:p w:rsidR="00000000" w:rsidDel="00000000" w:rsidP="00000000" w:rsidRDefault="00000000" w:rsidRPr="00000000" w14:paraId="00000040">
      <w:pPr>
        <w:spacing w:after="240" w:before="240"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Ahora bien, del análisis de la solicitud de información, motivo del recurso de revisión que ahora se resuelve, se advierte que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requirió al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le proporcione, información consistente en lo siguiente:</w:t>
      </w:r>
    </w:p>
    <w:p w:rsidR="00000000" w:rsidDel="00000000" w:rsidP="00000000" w:rsidRDefault="00000000" w:rsidRPr="00000000" w14:paraId="00000041">
      <w:pPr>
        <w:spacing w:after="240" w:before="240" w:line="360" w:lineRule="auto"/>
        <w:ind w:left="284" w:right="51"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Base de datos en formato abierto como xlx o cvs, del periodo comprendido del 01 de enero de 2018 al veintitrés de junio de 2026, con la siguiente información desglosada y particularizada:</w:t>
      </w:r>
    </w:p>
    <w:p w:rsidR="00000000" w:rsidDel="00000000" w:rsidP="00000000" w:rsidRDefault="00000000" w:rsidRPr="00000000" w14:paraId="00000042">
      <w:pPr>
        <w:spacing w:after="120" w:before="120" w:line="276" w:lineRule="auto"/>
        <w:ind w:left="567" w:right="49"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1. Tipo de incidente o evento (es decir hechos presuntamente constitutivos de delito y/o falta administrativa, o situación reportada, cualquiera que esta sea, especificando si el hecho fue con o sin violencia).</w:t>
      </w:r>
    </w:p>
    <w:p w:rsidR="00000000" w:rsidDel="00000000" w:rsidP="00000000" w:rsidRDefault="00000000" w:rsidRPr="00000000" w14:paraId="00000043">
      <w:pPr>
        <w:spacing w:after="120" w:before="120" w:line="276" w:lineRule="auto"/>
        <w:ind w:left="567" w:right="49"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2. Hora del incidente o evento.</w:t>
      </w:r>
    </w:p>
    <w:p w:rsidR="00000000" w:rsidDel="00000000" w:rsidP="00000000" w:rsidRDefault="00000000" w:rsidRPr="00000000" w14:paraId="00000044">
      <w:pPr>
        <w:spacing w:after="120" w:before="120" w:line="276" w:lineRule="auto"/>
        <w:ind w:left="567" w:right="49"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3. Fecha (dd/mm/aaaa) del incidente o evento.</w:t>
      </w:r>
    </w:p>
    <w:p w:rsidR="00000000" w:rsidDel="00000000" w:rsidP="00000000" w:rsidRDefault="00000000" w:rsidRPr="00000000" w14:paraId="00000045">
      <w:pPr>
        <w:spacing w:after="120" w:before="120" w:line="276" w:lineRule="auto"/>
        <w:ind w:left="567" w:right="49"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4. Lugar del incidente o evento.</w:t>
      </w:r>
    </w:p>
    <w:p w:rsidR="00000000" w:rsidDel="00000000" w:rsidP="00000000" w:rsidRDefault="00000000" w:rsidRPr="00000000" w14:paraId="00000046">
      <w:pPr>
        <w:spacing w:after="120" w:before="120" w:line="276" w:lineRule="auto"/>
        <w:ind w:left="567" w:right="49"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5. Ubicación del incidente o evento.</w:t>
      </w:r>
    </w:p>
    <w:p w:rsidR="00000000" w:rsidDel="00000000" w:rsidP="00000000" w:rsidRDefault="00000000" w:rsidRPr="00000000" w14:paraId="00000047">
      <w:pPr>
        <w:spacing w:after="120" w:before="120" w:line="276" w:lineRule="auto"/>
        <w:ind w:left="567" w:right="49"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6. Coordenadas geográficas del incidente o evento, establecidas en la sección “lugar de la intervención” del informe policial homologado para: </w:t>
      </w:r>
    </w:p>
    <w:p w:rsidR="00000000" w:rsidDel="00000000" w:rsidP="00000000" w:rsidRDefault="00000000" w:rsidRPr="00000000" w14:paraId="00000048">
      <w:pPr>
        <w:spacing w:after="120" w:before="120" w:line="276" w:lineRule="auto"/>
        <w:ind w:left="851" w:right="49"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 Hechos probablemente delictivos, o para </w:t>
      </w:r>
    </w:p>
    <w:p w:rsidR="00000000" w:rsidDel="00000000" w:rsidP="00000000" w:rsidRDefault="00000000" w:rsidRPr="00000000" w14:paraId="00000049">
      <w:pPr>
        <w:spacing w:after="120" w:before="120" w:line="276" w:lineRule="auto"/>
        <w:ind w:left="851" w:right="49"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b) Justicia cívica según corresponda al tipo de incidente. </w:t>
      </w:r>
    </w:p>
    <w:p w:rsidR="00000000" w:rsidDel="00000000" w:rsidP="00000000" w:rsidRDefault="00000000" w:rsidRPr="00000000" w14:paraId="0000004A">
      <w:pPr>
        <w:spacing w:after="240" w:before="240"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dio respuesta a la solicitud de información de la siguiente manera: </w:t>
      </w:r>
    </w:p>
    <w:p w:rsidR="00000000" w:rsidDel="00000000" w:rsidP="00000000" w:rsidRDefault="00000000" w:rsidRPr="00000000" w14:paraId="0000004B">
      <w:pPr>
        <w:spacing w:after="240" w:before="240"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RPTA. FOL 139-2026 SEG. CIUDADANA.pdf. (duplicado) Oficio signado por la Coordinadora de Control Jurídico de la Dirección de Seguridad Ciudadana y Vialidad de Tultitlán y el Director de Seguridad Ciudadana y Vialidad de Tultitlán, a través del cual se declara incompetente para conocer de la solicitud de información. </w:t>
      </w:r>
    </w:p>
    <w:p w:rsidR="00000000" w:rsidDel="00000000" w:rsidP="00000000" w:rsidRDefault="00000000" w:rsidRPr="00000000" w14:paraId="0000004C">
      <w:pPr>
        <w:spacing w:after="240" w:before="240"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RPTA. FOL 139-2026 SRÍA. AYTO..pdf. (duplicado) Oficio signado por el Secretario del Ayuntamiento, quien refiere que el Juzgado Cívico, es una instancia de nueva creación, que entró en funciones el 20 de mayo de 2024, el cual no cuenta con registros, bases de datos de expedientes o resguardos digitales de información sobre actuaciones generados o emitidas, por la hoy extinta Oficialía Calificadora del Municipio de Tultitlán, por lo que remite un disco DVR-R con la base de datos generada a partir del día 20 de mayo de 2024 al 23 de junio de 2026, haciendo referencia en su respuesta artículo 12 de la Ley de Trasparencia los sujetos obligados sólo proporcionaran la información que se les requiere y que obre en los archivos en el estado en que se encuentre, que la obligación de proporcionar información no comprende el procesamiento de la misma, ni presentarla conforme al interés del solicitante. </w:t>
      </w:r>
    </w:p>
    <w:p w:rsidR="00000000" w:rsidDel="00000000" w:rsidP="00000000" w:rsidRDefault="00000000" w:rsidRPr="00000000" w14:paraId="0000004D">
      <w:pPr>
        <w:spacing w:after="240" w:before="240"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BASE DE DATOS RPTA FOLIO 139-2026.xlsx. </w:t>
      </w:r>
      <w:r w:rsidDel="00000000" w:rsidR="00000000" w:rsidRPr="00000000">
        <w:rPr>
          <w:rFonts w:ascii="Palatino Linotype" w:cs="Palatino Linotype" w:eastAsia="Palatino Linotype" w:hAnsi="Palatino Linotype"/>
          <w:sz w:val="22"/>
          <w:szCs w:val="22"/>
          <w:rtl w:val="0"/>
        </w:rPr>
        <w:t xml:space="preserve">Documento que contiene una relación con los siguientes datos: Folio, fecha, hora de presentación, lugar de los hechos, y falta administrativa, tal como se advierte a continuación: </w:t>
      </w:r>
    </w:p>
    <w:p w:rsidR="00000000" w:rsidDel="00000000" w:rsidP="00000000" w:rsidRDefault="00000000" w:rsidRPr="00000000" w14:paraId="0000004E">
      <w:pPr>
        <w:spacing w:after="240" w:before="240"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Pr>
        <w:drawing>
          <wp:inline distB="0" distT="0" distL="0" distR="0">
            <wp:extent cx="5612130" cy="1326515"/>
            <wp:effectExtent b="0" l="0" r="0" t="0"/>
            <wp:docPr id="48"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612130" cy="1326515"/>
                    </a:xfrm>
                    <a:prstGeom prst="rect"/>
                    <a:ln/>
                  </pic:spPr>
                </pic:pic>
              </a:graphicData>
            </a:graphic>
          </wp:inline>
        </w:drawing>
      </w:r>
      <w:r w:rsidDel="00000000" w:rsidR="00000000" w:rsidRPr="00000000">
        <w:rPr>
          <w:rtl w:val="0"/>
        </w:rPr>
      </w:r>
    </w:p>
    <w:p w:rsidR="00000000" w:rsidDel="00000000" w:rsidP="00000000" w:rsidRDefault="00000000" w:rsidRPr="00000000" w14:paraId="0000004F">
      <w:pPr>
        <w:spacing w:after="240" w:before="240"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Al no estar conforme con los términos de la respuesta proporcionada, interpuso el recurso de revisión en el cual alegó que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que la información se entregó de manera incompleta específicamente por que no se le entregaron las coordenadas y porque la columna E de la información que se me entrega (al igual que otras columnas) aparece en blanco. </w:t>
      </w:r>
    </w:p>
    <w:p w:rsidR="00000000" w:rsidDel="00000000" w:rsidP="00000000" w:rsidRDefault="00000000" w:rsidRPr="00000000" w14:paraId="00000050">
      <w:pPr>
        <w:spacing w:after="240" w:before="240"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El </w:t>
      </w:r>
      <w:r w:rsidDel="00000000" w:rsidR="00000000" w:rsidRPr="00000000">
        <w:rPr>
          <w:rFonts w:ascii="Palatino Linotype" w:cs="Palatino Linotype" w:eastAsia="Palatino Linotype" w:hAnsi="Palatino Linotype"/>
          <w:b w:val="1"/>
          <w:bCs w:val="1"/>
          <w:sz w:val="22"/>
          <w:szCs w:val="22"/>
          <w:rtl w:val="0"/>
        </w:rPr>
        <w:t xml:space="preserve">Sujeto Obligado no </w:t>
      </w:r>
      <w:r w:rsidDel="00000000" w:rsidR="00000000" w:rsidRPr="00000000">
        <w:rPr>
          <w:rFonts w:ascii="Palatino Linotype" w:cs="Palatino Linotype" w:eastAsia="Palatino Linotype" w:hAnsi="Palatino Linotype"/>
          <w:sz w:val="22"/>
          <w:szCs w:val="22"/>
          <w:rtl w:val="0"/>
        </w:rPr>
        <w:t xml:space="preserve">rindió su informe justificado, ni el particular emitió manifestaciones.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Es de señalar que de la lectura del motivo de inconformidad de la parte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Recurrente, </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se advierte que este no versa sobre la información proporcionada por el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Sujeto Obligado</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ya que no manifestó agravios respecto a la respuesta emitida por la Coordinadora de Control Jurídico de la Dirección de Seguridad Ciudadana y Vialidad de Tultitlán y el Director de Seguridad Ciudadana y Vialidad de Tultitlán, ni por la temporalidad de la información proporcionada, sino únicamente  por que la misma no contiene coordenada y las columnas aparecen en blanco, por tanto, esta parte de la respuesta, al no haber sido impugnada, debe declararse consentida, ya que al no haber realizado manifestaciones de inconformidad al respecto, no pueden producirse efectos jurídicos tendentes a revocar, confirmar o modificar el acto, pues en el caso concreto se infiere que la información proporcionada, satisface la solicitud presentada respecto de los requerimientos que no fueron combatidos.</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24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Lo anterior es así, debido a que cuando la parte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Recurrente</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impugna la respuesta del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Sujeto Obligado</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y este no expresa razón o motivo de inconformidad en contra de todos los rubros solicitados, dichos rubros deben declararse atendidos, pues se entiende que ésta conforme con la información entregada al no contravenir la misma. </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Sirve de apoyo a lo anterior, lo plasmado en el criterio orientador con clave de control SO/001/2020, emitido por el entonces Instituto Nacional de Transparencia, Acceso a la Información, y Protección de Datos Personales, INAI, que lleva por rubro y texto, lo siguiente: </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Actos consentidos tácitamente. Improcedencia de su análisis. </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Si en su recurso de revisión, la persona recurrente no expresó inconformidad alguna con ciertas partes de la respuesta otorgada, se entienden tácitamente consentidas, por ende, no deben formar parte del estudio de fondo de la resolución que emite el Instituto.”</w:t>
      </w: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Asimismo, resulta aplicable por analogía la tesis jurisprudencial número VI.3o.C. J/60, publicada en el Semanario Judicial de la Federación y su Gaceta bajo el número de registro 176,608 que a la letra dice:</w:t>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851" w:right="90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1"/>
          <w:strike w:val="0"/>
          <w:color w:val="000000"/>
          <w:sz w:val="22"/>
          <w:szCs w:val="22"/>
          <w:u w:val="none"/>
          <w:shd w:fill="auto" w:val="clear"/>
          <w:vertAlign w:val="baseline"/>
          <w:rtl w:val="0"/>
        </w:rPr>
        <w:t xml:space="preserve">“ACTOS CONSENTIDOS. SON LOS QUE NO SE IMPUGNAN MEDIANTE EL RECURSO IDÓNEO. </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Debe reputarse como consentido el acto que no se impugnó por el medio establecido por la ley, ya que si se hizo uso de otro no previsto por ella o si se hace una simple manifestación de inconformidad, tales actuaciones no producen efectos jurídicos tendientes a revocar, confirmar o modificar el acto reclamado en amparo, lo que significa consentimiento del mismo por falta de impugnación eficaz.”</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En consecuencia, se insiste, ante la falta de impugnación eficaz, la respuesta entregada debe declararse consentida por la persona solicitante, y, por consiguiente, no es procedente el análisis de fondo en la resolución.</w:t>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49" w:firstLine="0"/>
        <w:jc w:val="both"/>
        <w:rPr>
          <w:rFonts w:ascii="Palatino Linotype" w:cs="Palatino Linotype" w:eastAsia="Palatino Linotype" w:hAnsi="Palatino Linotype"/>
          <w:b w:val="1"/>
          <w:bCs w:val="1"/>
          <w:i w:val="0"/>
          <w:iCs w:val="0"/>
          <w:smallCaps w:val="0"/>
          <w:strike w:val="0"/>
          <w:color w:val="000000"/>
          <w:sz w:val="22"/>
          <w:szCs w:val="22"/>
          <w:u w:val="singl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Una vez establecidas las posturas de las partes, a efecto de garantizar el efectivo ejercicio del derecho de acceso a la información pública que asiste a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la parte</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Recurrente</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resulta conveniente señalar que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el presente análisis versará respecto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single"/>
          <w:shd w:fill="auto" w:val="clear"/>
          <w:vertAlign w:val="baseline"/>
          <w:rtl w:val="0"/>
        </w:rPr>
        <w:t xml:space="preserve">a la falta de entrega de las coordenadas geográficas y la falta de información en las columnas del documento proporcionado. </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4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Atento a lo anterior, se precisa en primer lugar que de las constancias que integran el expediente electrónico  relacionado con el recurso de revisión materia de estudio, se colige que el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Sujeto Obligado</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no niega la competencia para conocer de la información solicitada, sino por el contrario, con la respuesta pronunciada asevera que es competente para conocer de la solicitud de información</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lo anterior es así, ya que el estudio enunciado tiene por objeto determinar si los Sujetos Obligados generan, poseen o administran  la información solicitada, sin embargo, en aquellos casos en que estos han asumido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la competencia</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sería ocioso y a nada práctico nos conduciría su estudio, ya que, se insiste, el ente obligado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single"/>
          <w:shd w:fill="auto" w:val="clear"/>
          <w:vertAlign w:val="baseline"/>
          <w:rtl w:val="0"/>
        </w:rPr>
        <w:t xml:space="preserve">asumió la competencia referida</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motivo por el cual se actualiza el supuesto previsto en el artículo 12 de la legislación aplicable en la materia. </w:t>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“Artículo 12. Quienes generen, recopilen, administren, manejen, procesen, archiven o conserven información pública serán responsables de la misma</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en los términos de las disposiciones jurídicas aplicables. </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Los sujetos obligados sólo proporcionarán la información pública que se les requiera y que obre en sus archivos y en el estado en que ésta se encuentre</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La obligación de proporcionar información no comprende el procesamiento de la misma, ni el presentarla conforme al interés del solicitante; no estarán obligados a generarla, resumirla, efectuar cálculos o practicar investigaciones.”</w:t>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Por otro lado, por cuanto hace a la materia del requerimiento combatido, relativo a las </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coordenadas geográficas </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establecidas en el lugar de la intervención, la Ley General del Sistema Nacional de Seguridad Pública, establece en su artículo 43 lo que debe contener el informe policial homologado, como se muestra a continuación: </w:t>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“Artículo 43.-</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La Federación y las entidades federativas establecerán en las disposiciones legales correspondientes que los integrantes de las Instituciones Policiales deberán llenar un Informe Policial Homologado que contendrá, cuando menos, los siguientes datos:</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El área que lo emite;</w:t>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El usuario capturista;</w:t>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III.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Los Datos Generales de registro;</w:t>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IV</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Motivo, que se clasifica en;</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a)</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Tipo de evento, y</w:t>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b)</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Subtipo de evento.</w:t>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V. La ubicación del evento y en su caso, los caminos</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VI.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La descripción de hechos, que deberá detallar modo</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single"/>
          <w:shd w:fill="auto" w:val="clear"/>
          <w:vertAlign w:val="baseline"/>
          <w:rtl w:val="0"/>
        </w:rPr>
        <w:t xml:space="preserve">, tiempo</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y lugar, entre otros datos.</w:t>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VII.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Entrevistas realizadas, y</w:t>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VIII.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En caso de detenciones:</w:t>
      </w: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a)</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Señalar los motivos de la detención;</w:t>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b)</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Descripción de la persona;</w:t>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c)</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El nombre del detenido y apodo, en su caso;</w:t>
      </w: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d)</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Descripción de estado físico aparente;</w:t>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e)</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Objetos que le fueron encontrados;</w:t>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f)</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Autoridad a la que fue puesto a disposición, y</w:t>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g)</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Lugar en el que fue puesto a disposición.</w:t>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El informe debe ser completo, los hechos deben describirse con continuidad, cronológicamente y resaltando lo importante; no deberá contener afirmaciones sin el soporte de datos o hechos reales, por lo que deberá evitar información de oídas, conjeturas o conclusiones ajenas a la investigación.”</w:t>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Por su parte el Lineamiento Décimo primero de los Lineamientos para el Llenado, Entrega, Recepción, Registro, Resguardo y Consulta del Informe Policial Homologado, dispone lo siguiente:</w:t>
      </w: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DÉCIMO PRIMERO. LLENADO DEL IPH</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Los integrantes de las </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instituciones policiales de los tres órdenes de gobierno</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deberán registrar en el IPH la información relacionada con las puestas a disposición de personas y/o de objetos derivados de su intervención.</w:t>
      </w: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El IPH para </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hechos probablemente delictivos</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contendrá al menos los siguientes datos:</w:t>
      </w: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El Número de Referencia o el Número de folio asignado;</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Los datos del o los integrantes de la institución policial que lo emite;</w:t>
      </w: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III.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Los datos de la autoridad competente que lo recibe;</w:t>
      </w: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IV.</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Los datos generales de la intervención o actuación;</w:t>
      </w: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V.</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El motivo de la intervención o actuación;</w:t>
      </w: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VI.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La ubicación del o los lugares de la intervención o actuación</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VII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La descripción de hechos, que deberá detallar modo, tiempo y lugar, entre otros datos. Así como, justificar razonablemente el control provisional preventivo y/o los niveles de contacto;</w:t>
      </w: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VIII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En caso de personas detenidas:</w:t>
      </w: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a)</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El Número del Registro Nacional de Detenciones;</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b)</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Los motivos de la detención;</w:t>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c) </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Los datos generales de la persona;</w:t>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d) </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La descripción de la persona, incluyendo su estado físico aparente;</w:t>
      </w: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e) </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Las armas de fuego y/o los objetos que le fueron recolectados y/o asegurados, y</w:t>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f)</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El lugar al que es puesta a disposición la persona;</w:t>
      </w: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IX</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En caso de lesionados y/o fallecidos, un informe del uso de la fuerza en el que se describa la conducta que lo motivó y el nivel proporcional empleado de acuerdo con lo dispuesto por los artículos 10 y 11 de la Ley Nacional sobre el Uso de la Fuerza. Éste será distinto al reporte pormenorizado señalado en el artículo 32 de la misma Ley;</w:t>
      </w: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X</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En caso de inspección de vehículo, los datos generales sobre sus características;</w:t>
      </w: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XI.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En caso de recolección y/o aseguramiento de armas de fuego u objetos, los datos generales sobre sus características y apariencias;</w:t>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XII. </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En caso de preservar el lugar de la intervención o actuación, los datos generales sobre su entrega-recepción, y</w:t>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XIII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En caso de entrevistas, los datos generales de la persona entrevistada y el relato de la misma.</w:t>
      </w: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El IPH para </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infracciones administrativas</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contendrá al menos los siguientes datos:</w:t>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El Número de Referencia o el Número de folio asignado;</w:t>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II. </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Los datos del o los integrantes de la institución policial que lo emite;</w:t>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III. </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Los datos de la autoridad competente que lo recibe;</w:t>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IV. </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Los datos generales de la intervención o actuación;</w:t>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V</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El motivo de la intervención o actuación;</w:t>
      </w: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VI.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La ubicación del o los lugares de la intervención o actuación</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VII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La descripción de hechos, que deberá detallar modo, tiempo y lugar, entre otros datos. Así como, justificar razonablemente el control provisional preventivo y/o los niveles de contacto;</w:t>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VIII</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En caso de personas arrestadas:</w:t>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a)</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El Número del Registro Nacional de Detenciones;</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b)</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Los motivos de la detención;</w:t>
      </w: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c)  </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Los datos generales de la persona;</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d)   </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La descripción de la persona, incluyendo su estado físico aparente, y</w:t>
      </w: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e)   </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El lugar en el que es puesta a disposición la persona, y</w:t>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IX.</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En caso de involucramiento de vehículo, los datos generales sobre sus características.</w:t>
      </w: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En el llenado del IPH se anotará por completo la información del evento. En caso de no contar con algún dato, no se realice la actividad y/o no aplique su llenado, se deberá dejar constancia de ello, o testar o cancelar el espacio respectivo a fin de que no se haga un mal uso de él.</w:t>
      </w: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851"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No se exigirá la totalidad del llenado y entrega de los Anexos cuando el caso no lo amerite.”</w:t>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De lo anterior, no se advierte la obligación de que el informe policial homologado deba contener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específicamente coordenadas geográficas</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sino solamente la ubicación del evento, lo cual puede ser solventado con la dirección o los datos que refieran la ubicación del o los lugares de la intervención, como calle, barrio, colonia o poblado, tal como obra en el documento remitido por el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Sujeto Obligado </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en atención a la solicitud, tal como se advierte a continuación: </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5612130" cy="1483360"/>
            <wp:effectExtent b="0" l="0" r="0" t="0"/>
            <wp:docPr id="47"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612130" cy="148336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1915477</wp:posOffset>
                </wp:positionH>
                <wp:positionV relativeFrom="paragraph">
                  <wp:posOffset>22542</wp:posOffset>
                </wp:positionV>
                <wp:extent cx="1381125" cy="1543050"/>
                <wp:effectExtent b="0" l="0" r="0" t="0"/>
                <wp:wrapNone/>
                <wp:docPr id="43" name=""/>
                <a:graphic>
                  <a:graphicData uri="http://schemas.microsoft.com/office/word/2010/wordprocessingShape">
                    <wps:wsp>
                      <wps:cNvSpPr/>
                      <wps:cNvPr id="2" name="Shape 2"/>
                      <wps:spPr>
                        <a:xfrm>
                          <a:off x="4660200" y="3013238"/>
                          <a:ext cx="1371600" cy="1533525"/>
                        </a:xfrm>
                        <a:prstGeom prst="rect">
                          <a:avLst/>
                        </a:prstGeom>
                        <a:noFill/>
                        <a:ln cap="flat" cmpd="sng" w="9525">
                          <a:solidFill>
                            <a:srgbClr val="FF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1915477</wp:posOffset>
                </wp:positionH>
                <wp:positionV relativeFrom="paragraph">
                  <wp:posOffset>22542</wp:posOffset>
                </wp:positionV>
                <wp:extent cx="1381125" cy="1543050"/>
                <wp:effectExtent b="0" l="0" r="0" t="0"/>
                <wp:wrapNone/>
                <wp:docPr id="43"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1381125" cy="1543050"/>
                        </a:xfrm>
                        <a:prstGeom prst="rect"/>
                        <a:ln/>
                      </pic:spPr>
                    </pic:pic>
                  </a:graphicData>
                </a:graphic>
              </wp:anchor>
            </w:drawing>
          </mc:Fallback>
        </mc:AlternateConten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En este sentido, cobra relevancia el pronunciamiento emitido por el Secretario del Ayuntamiento, quien refirió que no existe obligación de elaborar documentos ad hoc para atender las solicitudes de acceso a la información, sino únicamente otorgar acceso a los documentos existentes conforme a las atribuciones del sujeto obligado, que la autoridad debe proporcionar acceso a la documentación existente, sin generar documentos especiales. Asimismo, añade que: </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drawing>
          <wp:inline distB="0" distT="0" distL="0" distR="0">
            <wp:extent cx="5612130" cy="2307590"/>
            <wp:effectExtent b="0" l="0" r="0" t="0"/>
            <wp:docPr id="50"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5612130" cy="2307590"/>
                    </a:xfrm>
                    <a:prstGeom prst="rect"/>
                    <a:ln/>
                  </pic:spPr>
                </pic:pic>
              </a:graphicData>
            </a:graphic>
          </wp:inline>
        </w:drawing>
      </w: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Pronunciamiento del cual se advierte que no cuenta con la información al nivel que requiere la persona solicitante, por lo que, para atender la solicitud en dichos términos, estaría obligado a practicar una investigación en cada expediente relacionado con la materia de la solicitud, para posteriormente elaborar un documento </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ad hoc</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Atento a lo anterior, se colige que no es posible dar atención al requerimiento de información, por lo tanto se tiene por atendido este punto, ya que para dar atención a la solicitud al grado de desagregación que requiere la persona solicitante, es necesario que el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Sujeto Obligado</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practique una investigación y elabore un documento que contenga específicamente las coordenadas geográficas de cada incidente reportado en respuesta, siendo importante mencionar que el derecho de acceso a la información pública se satisface en aquellos casos en que se entregue el soporte documental en el que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conste la información solicitada</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sin necesidad de elaborar documentos </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ad hoc</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lo cual, toma sustento en el artículo 160 de la Ley de Transparencia y Acceso a la Información Pública del Estado de México y Municipios, el cual refiere que los sujetos obligados deberán entregar la información que obre en sus archivos en el estado en el que se encuentre.</w:t>
      </w: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Sirve de apoyo a lo anterior, el criterio orientador con clave de control SO/003/2017, emitido por el entonces Instituto Nacional de Transparencia, Acceso a la Información y Protección de Datos Personales, que, por rubro y texto, dispone lo siguiente:</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1134" w:right="9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No existe obligación de elaborar documentos ad hoc para atender las solicitudes de acceso a la información.</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 </w:t>
      </w: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49"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Por otra parte, respecto al agravio relativo a que “….</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La columna E de la información que se me entrega (al igual que otras columnas) aparece en blanco..”(sic) </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es de menciona que de la revisión a la base de datos proporcionada tanto la columna E, como el resto de las columnas que integran el documento, si se encuentra debidamente llenado, tal como se advierte a continuación: </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49" w:firstLine="0"/>
        <w:jc w:val="both"/>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2024</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49"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drawing>
          <wp:inline distB="0" distT="0" distL="0" distR="0">
            <wp:extent cx="5612130" cy="838835"/>
            <wp:effectExtent b="0" l="0" r="0" t="0"/>
            <wp:docPr id="49" name="image7.png"/>
            <a:graphic>
              <a:graphicData uri="http://schemas.openxmlformats.org/drawingml/2006/picture">
                <pic:pic>
                  <pic:nvPicPr>
                    <pic:cNvPr id="0" name="image7.png"/>
                    <pic:cNvPicPr preferRelativeResize="0"/>
                  </pic:nvPicPr>
                  <pic:blipFill>
                    <a:blip r:embed="rId11"/>
                    <a:srcRect b="0" l="0" r="0" t="0"/>
                    <a:stretch>
                      <a:fillRect/>
                    </a:stretch>
                  </pic:blipFill>
                  <pic:spPr>
                    <a:xfrm>
                      <a:off x="0" y="0"/>
                      <a:ext cx="5612130" cy="838835"/>
                    </a:xfrm>
                    <a:prstGeom prst="rect"/>
                    <a:ln/>
                  </pic:spPr>
                </pic:pic>
              </a:graphicData>
            </a:graphic>
          </wp:inline>
        </w:drawing>
      </w: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49" w:firstLine="0"/>
        <w:jc w:val="both"/>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2025</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49"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drawing>
          <wp:inline distB="0" distT="0" distL="0" distR="0">
            <wp:extent cx="5612130" cy="1097915"/>
            <wp:effectExtent b="0" l="0" r="0" t="0"/>
            <wp:docPr id="52"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5612130" cy="1097915"/>
                    </a:xfrm>
                    <a:prstGeom prst="rect"/>
                    <a:ln/>
                  </pic:spPr>
                </pic:pic>
              </a:graphicData>
            </a:graphic>
          </wp:inline>
        </w:drawing>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49"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2026</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drawing>
          <wp:inline distB="0" distT="0" distL="0" distR="0">
            <wp:extent cx="5612130" cy="984885"/>
            <wp:effectExtent b="0" l="0" r="0" t="0"/>
            <wp:docPr id="51"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5612130" cy="984885"/>
                    </a:xfrm>
                    <a:prstGeom prst="rect"/>
                    <a:ln/>
                  </pic:spPr>
                </pic:pic>
              </a:graphicData>
            </a:graphic>
          </wp:inline>
        </w:drawing>
      </w: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4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Bajo esta línea de pensamiento, se estima que la información remitida por el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Sujeto Obligado </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en respuesta a la solicitud de información es suficiente para tener por atendido el derecho de acceso a la información de la parte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Recurrente</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siendo importante dejar claro que este Pleno no está facultado para manifestarse sobre la veracidad de la información proporcionada, conforme lo prevé el artículo 36 de la Ley de Transparencia y Acceso a la Información Pública del Estado de México y Municipios.</w:t>
      </w: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51"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Derivado de lo expuesto, se concluye que los motivos de inconformidad de la parte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Recurrente </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devienen infundados, siendo procedente </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Confirmar </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la respuesta proporcionada por el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Sujeto Obligado </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en términos del artículo 186, fracción II de la Ley de Transparencia y Acceso a la Información Pública del Estado de México y Municipios.</w:t>
      </w: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51"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Así, con fundamento en lo prescrito en los artículos 5 párrafos cuadragésimo cuarto, cuadragésimo quinto, cuadragésimo sexto, fracciones IV y V de la Constitución Política del Estado Libre y Soberano de México; Transitorio Cuarto, párrafo segundo del Decreto número 198 de la “LXII” Legislatura del Estado de México; 2, fracción II; 29, 36 fracciones I y II; 176, 178, 181, 185, fracción I, 186, fracción III, así como 188 de la Ley de Transparencia y Acceso a la Información Pública del Estado de México y Municipios, este Pleno:</w:t>
      </w: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51"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III. R E S U E L V E</w:t>
      </w: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Primero. </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Son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infundadas</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las razones o motivos de inconformidad hechos valer por la parte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Recurrente</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en el recurso de revisión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07244/INFOEM/IP/RR/2026</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por lo que, en términos de los argumentos de derecho señalados en el considerando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Cuarto</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se</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 Confirma </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la respuesta del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Sujeto Obligado</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Segundo. Notifíquese, </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vía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SAIMEX, </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al Titular de la Unidad de Transparencia del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Sujeto Obligado</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para su conocimiento, la presente resolución.</w:t>
      </w: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Tercero.  Notifíquese, </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vía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SAIMEX, </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 la parte </w:t>
      </w: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Recurrente</w:t>
      </w: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 la presente resolución, así como, que de conformidad con lo establecido en el artículo 196 de la Ley de Transparencia y Acceso a la Información Pública del Estado de México y Municipios, en caso de que considere que le causa algún perjuicio podrá impugnarla vía Juicio de Amparo en los términos de las leyes aplicables.</w:t>
      </w: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51"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ASÍ LO RESUELVE, POR UNANIMIDAD DE VOTOS, EL PLENO DEL INSTITUTO DE TRANSPARENCIA, ACCESO A LA INFORMACIÓN PÚBLICA Y PROTECCIÓN DE DATOS PERSONALES DEL ESTADO DE MÉXICO Y MUNICIPIOS, CONFORMADO POR LOS COMISIONADOS JOSÉ MARTÍNEZ VILCHIS, MARÍA DEL ROSARIO MEJÍA AYALA, SHARON CRISTINA MORALES MARTÍNEZ, LUIS GUSTAVO PARRA NORIEGA, Y GUADALUPE RAMÍREZ PEÑA, EN LA VIGÉSIMA NOVENA SESIÓN ORDINARIA CELEBRADA EL DIECINUEVE DE AGOSTO DE DOS MIL VEINTISÉIS, ANTE EL SECRETARIO TÉCNICO DEL PLENO ALEXIS TAPIA RAMÍREZ.</w:t>
      </w:r>
      <w:r w:rsidDel="00000000" w:rsidR="00000000" w:rsidRPr="00000000">
        <w:rPr>
          <w:rtl w:val="0"/>
        </w:rPr>
      </w:r>
    </w:p>
    <w:p w:rsidR="00000000" w:rsidDel="00000000" w:rsidP="00000000" w:rsidRDefault="00000000" w:rsidRPr="00000000" w14:paraId="000000B3">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4">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5">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6">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7">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8">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9">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A">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B">
      <w:pPr>
        <w:spacing w:line="360" w:lineRule="auto"/>
        <w:jc w:val="both"/>
        <w:rPr>
          <w:rFonts w:ascii="Palatino Linotype" w:cs="Palatino Linotype" w:eastAsia="Palatino Linotype" w:hAnsi="Palatino Linotype"/>
          <w:sz w:val="22"/>
          <w:szCs w:val="22"/>
        </w:rPr>
      </w:pPr>
      <w:r w:rsidDel="00000000" w:rsidR="00000000" w:rsidRPr="00000000">
        <w:rPr>
          <w:rtl w:val="0"/>
        </w:rPr>
      </w:r>
    </w:p>
    <w:sectPr>
      <w:headerReference r:id="rId14" w:type="default"/>
      <w:headerReference r:id="rId15" w:type="first"/>
      <w:footerReference r:id="rId16" w:type="default"/>
      <w:footerReference r:id="rId17" w:type="first"/>
      <w:pgSz w:h="15840" w:w="12240" w:orient="portrait"/>
      <w:pgMar w:bottom="1701" w:top="1985" w:left="1701" w:right="1701"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Times New Roman"/>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E">
    <w:pPr>
      <w:pBdr>
        <w:top w:space="0" w:sz="0" w:val="nil"/>
        <w:left w:space="0" w:sz="0" w:val="nil"/>
        <w:bottom w:space="0" w:sz="0" w:val="nil"/>
        <w:right w:space="0" w:sz="0" w:val="nil"/>
        <w:between w:space="0" w:sz="0" w:val="nil"/>
      </w:pBdr>
      <w:tabs>
        <w:tab w:val="center" w:leader="none" w:pos="4252"/>
        <w:tab w:val="right" w:leader="none" w:pos="8504"/>
      </w:tabs>
      <w:jc w:val="right"/>
      <w:rPr>
        <w:rFonts w:ascii="Palatino Linotype" w:cs="Palatino Linotype" w:eastAsia="Palatino Linotype" w:hAnsi="Palatino Linotype"/>
        <w:color w:val="000000"/>
        <w:sz w:val="20"/>
        <w:szCs w:val="20"/>
      </w:rPr>
    </w:pPr>
    <w:r w:rsidDel="00000000" w:rsidR="00000000" w:rsidRPr="00000000">
      <w:rPr>
        <w:rFonts w:ascii="Palatino Linotype" w:cs="Palatino Linotype" w:eastAsia="Palatino Linotype" w:hAnsi="Palatino Linotype"/>
        <w:b w:val="1"/>
        <w:bCs w:val="1"/>
        <w:color w:val="000000"/>
        <w:sz w:val="20"/>
        <w:szCs w:val="20"/>
        <w:rtl w:val="0"/>
      </w:rPr>
      <w:t xml:space="preserve">Página </w:t>
    </w:r>
    <w:r w:rsidDel="00000000" w:rsidR="00000000" w:rsidRPr="00000000">
      <w:rPr>
        <w:rFonts w:ascii="Palatino Linotype" w:cs="Palatino Linotype" w:eastAsia="Palatino Linotype" w:hAnsi="Palatino Linotype"/>
        <w:b w:val="1"/>
        <w:bCs w:val="1"/>
        <w:color w:val="000000"/>
        <w:sz w:val="20"/>
        <w:szCs w:val="20"/>
      </w:rPr>
      <w:fldChar w:fldCharType="begin"/>
      <w:instrText xml:space="preserve">PAGE</w:instrText>
      <w:fldChar w:fldCharType="separate"/>
      <w:fldChar w:fldCharType="end"/>
    </w:r>
    <w:r w:rsidDel="00000000" w:rsidR="00000000" w:rsidRPr="00000000">
      <w:rPr>
        <w:rFonts w:ascii="Palatino Linotype" w:cs="Palatino Linotype" w:eastAsia="Palatino Linotype" w:hAnsi="Palatino Linotype"/>
        <w:color w:val="000000"/>
        <w:sz w:val="20"/>
        <w:szCs w:val="20"/>
        <w:rtl w:val="0"/>
      </w:rPr>
      <w:t xml:space="preserve"> de </w:t>
    </w:r>
    <w:r w:rsidDel="00000000" w:rsidR="00000000" w:rsidRPr="00000000">
      <w:rPr>
        <w:rFonts w:ascii="Palatino Linotype" w:cs="Palatino Linotype" w:eastAsia="Palatino Linotype" w:hAnsi="Palatino Linotype"/>
        <w:b w:val="1"/>
        <w:bCs w:val="1"/>
        <w:color w:val="000000"/>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CF">
    <w:pPr>
      <w:pBdr>
        <w:top w:space="0" w:sz="0" w:val="nil"/>
        <w:left w:space="0" w:sz="0" w:val="nil"/>
        <w:bottom w:space="0" w:sz="0" w:val="nil"/>
        <w:right w:space="0" w:sz="0" w:val="nil"/>
        <w:between w:space="0" w:sz="0" w:val="nil"/>
      </w:pBdr>
      <w:tabs>
        <w:tab w:val="center" w:leader="none" w:pos="4252"/>
        <w:tab w:val="right" w:leader="none" w:pos="8504"/>
      </w:tabs>
      <w:ind w:firstLine="708"/>
      <w:rPr>
        <w:rFonts w:ascii="Cambria" w:cs="Cambria" w:eastAsia="Cambria" w:hAnsi="Cambria"/>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0">
    <w:pPr>
      <w:pBdr>
        <w:top w:space="0" w:sz="0" w:val="nil"/>
        <w:left w:space="0" w:sz="0" w:val="nil"/>
        <w:bottom w:space="0" w:sz="0" w:val="nil"/>
        <w:right w:space="0" w:sz="0" w:val="nil"/>
        <w:between w:space="0" w:sz="0" w:val="nil"/>
      </w:pBdr>
      <w:tabs>
        <w:tab w:val="center" w:leader="none" w:pos="4252"/>
        <w:tab w:val="right" w:leader="none" w:pos="8504"/>
      </w:tabs>
      <w:jc w:val="right"/>
      <w:rPr>
        <w:rFonts w:ascii="Palatino Linotype" w:cs="Palatino Linotype" w:eastAsia="Palatino Linotype" w:hAnsi="Palatino Linotype"/>
        <w:color w:val="000000"/>
        <w:sz w:val="20"/>
        <w:szCs w:val="20"/>
      </w:rPr>
    </w:pPr>
    <w:r w:rsidDel="00000000" w:rsidR="00000000" w:rsidRPr="00000000">
      <w:rPr>
        <w:rFonts w:ascii="Palatino Linotype" w:cs="Palatino Linotype" w:eastAsia="Palatino Linotype" w:hAnsi="Palatino Linotype"/>
        <w:b w:val="1"/>
        <w:bCs w:val="1"/>
        <w:color w:val="000000"/>
        <w:sz w:val="20"/>
        <w:szCs w:val="20"/>
        <w:rtl w:val="0"/>
      </w:rPr>
      <w:t xml:space="preserve">Página </w:t>
    </w:r>
    <w:r w:rsidDel="00000000" w:rsidR="00000000" w:rsidRPr="00000000">
      <w:rPr>
        <w:rFonts w:ascii="Palatino Linotype" w:cs="Palatino Linotype" w:eastAsia="Palatino Linotype" w:hAnsi="Palatino Linotype"/>
        <w:b w:val="1"/>
        <w:bCs w:val="1"/>
        <w:color w:val="000000"/>
        <w:sz w:val="20"/>
        <w:szCs w:val="20"/>
      </w:rPr>
      <w:fldChar w:fldCharType="begin"/>
      <w:instrText xml:space="preserve">PAGE</w:instrText>
      <w:fldChar w:fldCharType="separate"/>
      <w:fldChar w:fldCharType="end"/>
    </w:r>
    <w:r w:rsidDel="00000000" w:rsidR="00000000" w:rsidRPr="00000000">
      <w:rPr>
        <w:rFonts w:ascii="Palatino Linotype" w:cs="Palatino Linotype" w:eastAsia="Palatino Linotype" w:hAnsi="Palatino Linotype"/>
        <w:color w:val="000000"/>
        <w:sz w:val="20"/>
        <w:szCs w:val="20"/>
        <w:rtl w:val="0"/>
      </w:rPr>
      <w:t xml:space="preserve"> de </w:t>
    </w:r>
    <w:r w:rsidDel="00000000" w:rsidR="00000000" w:rsidRPr="00000000">
      <w:rPr>
        <w:rFonts w:ascii="Palatino Linotype" w:cs="Palatino Linotype" w:eastAsia="Palatino Linotype" w:hAnsi="Palatino Linotype"/>
        <w:b w:val="1"/>
        <w:bCs w:val="1"/>
        <w:color w:val="000000"/>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D1">
    <w:pPr>
      <w:pBdr>
        <w:top w:space="0" w:sz="0" w:val="nil"/>
        <w:left w:space="0" w:sz="0" w:val="nil"/>
        <w:bottom w:space="0" w:sz="0" w:val="nil"/>
        <w:right w:space="0" w:sz="0" w:val="nil"/>
        <w:between w:space="0" w:sz="0" w:val="nil"/>
      </w:pBdr>
      <w:tabs>
        <w:tab w:val="center" w:leader="none" w:pos="4252"/>
        <w:tab w:val="right" w:leader="none" w:pos="8504"/>
      </w:tabs>
      <w:rPr>
        <w:rFonts w:ascii="Cambria" w:cs="Cambria" w:eastAsia="Cambria" w:hAnsi="Cambria"/>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C">
    <w:pPr>
      <w:rPr>
        <w:rFonts w:ascii="Cambria" w:cs="Cambria" w:eastAsia="Cambria" w:hAnsi="Cambria"/>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-1080134</wp:posOffset>
          </wp:positionH>
          <wp:positionV relativeFrom="paragraph">
            <wp:posOffset>-512187</wp:posOffset>
          </wp:positionV>
          <wp:extent cx="7809865" cy="10165715"/>
          <wp:effectExtent b="0" l="0" r="0" t="0"/>
          <wp:wrapNone/>
          <wp:docPr id="44"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809865" cy="10165715"/>
                  </a:xfrm>
                  <a:prstGeom prst="rect"/>
                  <a:ln/>
                </pic:spPr>
              </pic:pic>
            </a:graphicData>
          </a:graphic>
        </wp:anchor>
      </w:drawing>
    </w:r>
  </w:p>
  <w:tbl>
    <w:tblPr>
      <w:tblStyle w:val="Table1"/>
      <w:tblW w:w="5953.0" w:type="dxa"/>
      <w:jc w:val="left"/>
      <w:tblInd w:w="3261.0" w:type="dxa"/>
      <w:tblLayout w:type="fixed"/>
      <w:tblLook w:val="0400"/>
    </w:tblPr>
    <w:tblGrid>
      <w:gridCol w:w="2489"/>
      <w:gridCol w:w="3464"/>
      <w:tblGridChange w:id="0">
        <w:tblGrid>
          <w:gridCol w:w="2489"/>
          <w:gridCol w:w="3464"/>
        </w:tblGrid>
      </w:tblGridChange>
    </w:tblGrid>
    <w:tr>
      <w:trPr>
        <w:cantSplit w:val="0"/>
        <w:tblHeader w:val="0"/>
      </w:trPr>
      <w:tc>
        <w:tcPr/>
        <w:p w:rsidR="00000000" w:rsidDel="00000000" w:rsidP="00000000" w:rsidRDefault="00000000" w:rsidRPr="00000000" w14:paraId="000000BD">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Recurso de Revisión:</w:t>
          </w:r>
        </w:p>
      </w:tc>
      <w:tc>
        <w:tcPr>
          <w:vAlign w:val="center"/>
        </w:tcPr>
        <w:p w:rsidR="00000000" w:rsidDel="00000000" w:rsidP="00000000" w:rsidRDefault="00000000" w:rsidRPr="00000000" w14:paraId="000000BE">
          <w:pPr>
            <w:ind w:right="175"/>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07244/INFOEM/IP/RR/2026</w:t>
          </w:r>
        </w:p>
      </w:tc>
    </w:tr>
    <w:tr>
      <w:trPr>
        <w:cantSplit w:val="0"/>
        <w:trHeight w:val="228" w:hRule="atLeast"/>
        <w:tblHeader w:val="0"/>
      </w:trPr>
      <w:tc>
        <w:tcPr>
          <w:vAlign w:val="center"/>
        </w:tcPr>
        <w:p w:rsidR="00000000" w:rsidDel="00000000" w:rsidP="00000000" w:rsidRDefault="00000000" w:rsidRPr="00000000" w14:paraId="000000BF">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Sujeto Obligado:</w:t>
          </w:r>
        </w:p>
      </w:tc>
      <w:tc>
        <w:tcPr>
          <w:vAlign w:val="center"/>
        </w:tcPr>
        <w:p w:rsidR="00000000" w:rsidDel="00000000" w:rsidP="00000000" w:rsidRDefault="00000000" w:rsidRPr="00000000" w14:paraId="000000C0">
          <w:pPr>
            <w:ind w:left="-45" w:right="176" w:firstLine="0"/>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Ayuntamiento de Tultitlán</w:t>
          </w:r>
        </w:p>
      </w:tc>
    </w:tr>
    <w:tr>
      <w:trPr>
        <w:cantSplit w:val="0"/>
        <w:tblHeader w:val="0"/>
      </w:trPr>
      <w:tc>
        <w:tcPr>
          <w:vAlign w:val="center"/>
        </w:tcPr>
        <w:p w:rsidR="00000000" w:rsidDel="00000000" w:rsidP="00000000" w:rsidRDefault="00000000" w:rsidRPr="00000000" w14:paraId="000000C1">
          <w:pPr>
            <w:ind w:right="-108"/>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Comisionada ponente:</w:t>
          </w:r>
        </w:p>
      </w:tc>
      <w:tc>
        <w:tcPr>
          <w:vAlign w:val="center"/>
        </w:tcPr>
        <w:p w:rsidR="00000000" w:rsidDel="00000000" w:rsidP="00000000" w:rsidRDefault="00000000" w:rsidRPr="00000000" w14:paraId="000000C2">
          <w:pPr>
            <w:ind w:right="175"/>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Guadalupe Ramírez Peña</w:t>
          </w:r>
        </w:p>
      </w:tc>
    </w:tr>
  </w:tbl>
  <w:p w:rsidR="00000000" w:rsidDel="00000000" w:rsidP="00000000" w:rsidRDefault="00000000" w:rsidRPr="00000000" w14:paraId="000000C3">
    <w:pPr>
      <w:rPr>
        <w:rFonts w:ascii="Cambria" w:cs="Cambria" w:eastAsia="Cambria" w:hAnsi="Cambria"/>
        <w:color w:val="000000"/>
      </w:rPr>
    </w:pPr>
    <w:r w:rsidDel="00000000" w:rsidR="00000000" w:rsidRPr="00000000">
      <w:rPr>
        <w:rFonts w:ascii="Cambria" w:cs="Cambria" w:eastAsia="Cambria" w:hAnsi="Cambria"/>
        <w:color w:val="000000"/>
        <w:rtl w:val="0"/>
      </w:rPr>
      <w:tab/>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4">
    <w:pPr>
      <w:widowControl w:val="0"/>
      <w:pBdr>
        <w:top w:space="0" w:sz="0" w:val="nil"/>
        <w:left w:space="0" w:sz="0" w:val="nil"/>
        <w:bottom w:space="0" w:sz="0" w:val="nil"/>
        <w:right w:space="0" w:sz="0" w:val="nil"/>
        <w:between w:space="0" w:sz="0" w:val="nil"/>
      </w:pBdr>
      <w:spacing w:line="276" w:lineRule="auto"/>
      <w:rPr>
        <w:rFonts w:ascii="Palatino Linotype" w:cs="Palatino Linotype" w:eastAsia="Palatino Linotype" w:hAnsi="Palatino Linotype"/>
        <w:color w:val="000000"/>
        <w:sz w:val="16"/>
        <w:szCs w:val="16"/>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-1080132</wp:posOffset>
          </wp:positionH>
          <wp:positionV relativeFrom="paragraph">
            <wp:posOffset>-369891</wp:posOffset>
          </wp:positionV>
          <wp:extent cx="7809865" cy="10165715"/>
          <wp:effectExtent b="0" l="0" r="0" t="0"/>
          <wp:wrapNone/>
          <wp:docPr id="45"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809865" cy="10165715"/>
                  </a:xfrm>
                  <a:prstGeom prst="rect"/>
                  <a:ln/>
                </pic:spPr>
              </pic:pic>
            </a:graphicData>
          </a:graphic>
        </wp:anchor>
      </w:drawing>
    </w:r>
  </w:p>
  <w:tbl>
    <w:tblPr>
      <w:tblStyle w:val="Table2"/>
      <w:tblW w:w="5953.0" w:type="dxa"/>
      <w:jc w:val="left"/>
      <w:tblInd w:w="3261.0" w:type="dxa"/>
      <w:tblLayout w:type="fixed"/>
      <w:tblLook w:val="0400"/>
    </w:tblPr>
    <w:tblGrid>
      <w:gridCol w:w="2489"/>
      <w:gridCol w:w="3464"/>
      <w:tblGridChange w:id="0">
        <w:tblGrid>
          <w:gridCol w:w="2489"/>
          <w:gridCol w:w="3464"/>
        </w:tblGrid>
      </w:tblGridChange>
    </w:tblGrid>
    <w:tr>
      <w:trPr>
        <w:cantSplit w:val="0"/>
        <w:tblHeader w:val="0"/>
      </w:trPr>
      <w:tc>
        <w:tcPr/>
        <w:p w:rsidR="00000000" w:rsidDel="00000000" w:rsidP="00000000" w:rsidRDefault="00000000" w:rsidRPr="00000000" w14:paraId="000000C5">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Recurso de Revisión:</w:t>
          </w:r>
        </w:p>
      </w:tc>
      <w:tc>
        <w:tcPr>
          <w:vAlign w:val="center"/>
        </w:tcPr>
        <w:p w:rsidR="00000000" w:rsidDel="00000000" w:rsidP="00000000" w:rsidRDefault="00000000" w:rsidRPr="00000000" w14:paraId="000000C6">
          <w:pPr>
            <w:ind w:right="175"/>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07244/INFOEM/IP/RR/2026</w:t>
          </w:r>
        </w:p>
      </w:tc>
    </w:tr>
    <w:tr>
      <w:trPr>
        <w:cantSplit w:val="0"/>
        <w:tblHeader w:val="0"/>
      </w:trPr>
      <w:tc>
        <w:tcPr/>
        <w:p w:rsidR="00000000" w:rsidDel="00000000" w:rsidP="00000000" w:rsidRDefault="00000000" w:rsidRPr="00000000" w14:paraId="000000C7">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Recurrente</w:t>
          </w:r>
        </w:p>
      </w:tc>
      <w:tc>
        <w:tcPr>
          <w:vAlign w:val="center"/>
        </w:tcPr>
        <w:p w:rsidR="00000000" w:rsidDel="00000000" w:rsidP="00000000" w:rsidRDefault="00000000" w:rsidRPr="00000000" w14:paraId="000000C8">
          <w:pPr>
            <w:ind w:right="175"/>
            <w:jc w:val="both"/>
            <w:rPr>
              <w:rFonts w:ascii="Palatino Linotype" w:cs="Palatino Linotype" w:eastAsia="Palatino Linotype" w:hAnsi="Palatino Linotype"/>
              <w:b w:val="1"/>
              <w:bCs w:val="1"/>
              <w:sz w:val="22"/>
              <w:szCs w:val="22"/>
              <w:highlight w:val="yellow"/>
            </w:rPr>
          </w:pPr>
          <w:r w:rsidDel="00000000" w:rsidR="00000000" w:rsidRPr="00000000">
            <w:rPr>
              <w:rFonts w:ascii="Palatino Linotype" w:cs="Palatino Linotype" w:eastAsia="Palatino Linotype" w:hAnsi="Palatino Linotype"/>
              <w:b w:val="1"/>
              <w:bCs w:val="1"/>
              <w:sz w:val="22"/>
              <w:szCs w:val="22"/>
              <w:rtl w:val="0"/>
            </w:rPr>
            <w:t xml:space="preserve">XXXX XXX</w:t>
          </w:r>
          <w:r w:rsidDel="00000000" w:rsidR="00000000" w:rsidRPr="00000000">
            <w:rPr>
              <w:rtl w:val="0"/>
            </w:rPr>
          </w:r>
        </w:p>
      </w:tc>
    </w:tr>
    <w:tr>
      <w:trPr>
        <w:cantSplit w:val="0"/>
        <w:trHeight w:val="228" w:hRule="atLeast"/>
        <w:tblHeader w:val="0"/>
      </w:trPr>
      <w:tc>
        <w:tcPr>
          <w:vAlign w:val="center"/>
        </w:tcPr>
        <w:p w:rsidR="00000000" w:rsidDel="00000000" w:rsidP="00000000" w:rsidRDefault="00000000" w:rsidRPr="00000000" w14:paraId="000000C9">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Sujeto Obligado:</w:t>
          </w:r>
        </w:p>
      </w:tc>
      <w:tc>
        <w:tcPr>
          <w:vAlign w:val="center"/>
        </w:tcPr>
        <w:p w:rsidR="00000000" w:rsidDel="00000000" w:rsidP="00000000" w:rsidRDefault="00000000" w:rsidRPr="00000000" w14:paraId="000000CA">
          <w:pPr>
            <w:ind w:left="-45" w:right="176" w:firstLine="0"/>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Ayuntamiento de Tultitlán</w:t>
          </w:r>
        </w:p>
      </w:tc>
    </w:tr>
    <w:tr>
      <w:trPr>
        <w:cantSplit w:val="0"/>
        <w:tblHeader w:val="0"/>
      </w:trPr>
      <w:tc>
        <w:tcPr>
          <w:vAlign w:val="center"/>
        </w:tcPr>
        <w:p w:rsidR="00000000" w:rsidDel="00000000" w:rsidP="00000000" w:rsidRDefault="00000000" w:rsidRPr="00000000" w14:paraId="000000CB">
          <w:pPr>
            <w:ind w:right="-108"/>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Comisionada ponente:</w:t>
          </w:r>
        </w:p>
      </w:tc>
      <w:tc>
        <w:tcPr>
          <w:vAlign w:val="center"/>
        </w:tcPr>
        <w:p w:rsidR="00000000" w:rsidDel="00000000" w:rsidP="00000000" w:rsidRDefault="00000000" w:rsidRPr="00000000" w14:paraId="000000CC">
          <w:pPr>
            <w:ind w:right="175"/>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Guadalupe Ramírez Peña</w:t>
          </w:r>
        </w:p>
      </w:tc>
    </w:tr>
  </w:tbl>
  <w:p w:rsidR="00000000" w:rsidDel="00000000" w:rsidP="00000000" w:rsidRDefault="00000000" w:rsidRPr="00000000" w14:paraId="000000C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MX"/>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366091"/>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366091"/>
      <w:sz w:val="26"/>
      <w:szCs w:val="26"/>
    </w:rPr>
  </w:style>
  <w:style w:type="paragraph" w:styleId="Heading3">
    <w:name w:val="heading 3"/>
    <w:basedOn w:val="Normal"/>
    <w:next w:val="Normal"/>
    <w:pPr>
      <w:keepNext w:val="1"/>
      <w:spacing w:after="60" w:before="240" w:lineRule="auto"/>
      <w:ind w:left="2160" w:hanging="720"/>
    </w:pPr>
    <w:rPr>
      <w:rFonts w:ascii="Calibri" w:cs="Calibri" w:eastAsia="Calibri" w:hAnsi="Calibri"/>
      <w:b w:val="1"/>
      <w:bCs w:val="1"/>
      <w:sz w:val="26"/>
      <w:szCs w:val="26"/>
    </w:rPr>
  </w:style>
  <w:style w:type="paragraph" w:styleId="Heading4">
    <w:name w:val="heading 4"/>
    <w:basedOn w:val="Normal"/>
    <w:next w:val="Normal"/>
    <w:pPr>
      <w:keepNext w:val="1"/>
      <w:spacing w:after="60" w:before="240" w:lineRule="auto"/>
      <w:ind w:left="2880" w:hanging="720"/>
    </w:pPr>
    <w:rPr>
      <w:rFonts w:ascii="Cambria" w:cs="Cambria" w:eastAsia="Cambria" w:hAnsi="Cambria"/>
      <w:b w:val="1"/>
      <w:bCs w:val="1"/>
      <w:sz w:val="28"/>
      <w:szCs w:val="28"/>
    </w:rPr>
  </w:style>
  <w:style w:type="paragraph" w:styleId="Heading5">
    <w:name w:val="heading 5"/>
    <w:basedOn w:val="Normal"/>
    <w:next w:val="Normal"/>
    <w:pPr>
      <w:spacing w:after="60" w:before="240" w:lineRule="auto"/>
      <w:ind w:left="3600" w:hanging="720"/>
    </w:pPr>
    <w:rPr>
      <w:rFonts w:ascii="Cambria" w:cs="Cambria" w:eastAsia="Cambria" w:hAnsi="Cambria"/>
      <w:b w:val="1"/>
      <w:bCs w:val="1"/>
      <w:i w:val="1"/>
      <w:iCs w:val="1"/>
      <w:sz w:val="26"/>
      <w:szCs w:val="26"/>
    </w:rPr>
  </w:style>
  <w:style w:type="paragraph" w:styleId="Heading6">
    <w:name w:val="heading 6"/>
    <w:basedOn w:val="Normal"/>
    <w:next w:val="Normal"/>
    <w:pPr>
      <w:spacing w:after="60" w:before="240" w:lineRule="auto"/>
      <w:ind w:left="4320" w:hanging="720"/>
    </w:pPr>
    <w:rPr>
      <w:b w:val="1"/>
      <w:bCs w:val="1"/>
      <w:sz w:val="22"/>
      <w:szCs w:val="22"/>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Normal"/>
    <w:tblPr>
      <w:tblCellMar>
        <w:top w:w="0.0" w:type="dxa"/>
        <w:left w:w="0.0" w:type="dxa"/>
        <w:bottom w:w="0.0" w:type="dxa"/>
        <w:right w:w="0.0" w:type="dxa"/>
      </w:tblCellMar>
    </w:tblPr>
  </w:style>
  <w:style w:type="table" w:styleId="TableNormal1" w:customStyle="1">
    <w:name w:val="Table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table" w:styleId="TableNormal5" w:customStyle="1">
    <w:name w:val="Table Normal"/>
    <w:tblPr>
      <w:tblCellMar>
        <w:top w:w="0.0" w:type="dxa"/>
        <w:left w:w="0.0" w:type="dxa"/>
        <w:bottom w:w="0.0" w:type="dxa"/>
        <w:right w:w="0.0" w:type="dxa"/>
      </w:tblCellMar>
    </w:tblPr>
  </w:style>
  <w:style w:type="table" w:styleId="TableNormal6" w:customStyle="1">
    <w:name w:val="Table Normal"/>
    <w:tblPr>
      <w:tblCellMar>
        <w:top w:w="0.0" w:type="dxa"/>
        <w:left w:w="0.0" w:type="dxa"/>
        <w:bottom w:w="0.0" w:type="dxa"/>
        <w:right w:w="0.0" w:type="dxa"/>
      </w:tblCellMar>
    </w:tblPr>
  </w:style>
  <w:style w:type="table" w:styleId="TableNormal7" w:customStyle="1">
    <w:name w:val="Table Normal"/>
    <w:tblPr>
      <w:tblCellMar>
        <w:top w:w="0.0" w:type="dxa"/>
        <w:left w:w="0.0" w:type="dxa"/>
        <w:bottom w:w="0.0" w:type="dxa"/>
        <w:right w:w="0.0" w:type="dxa"/>
      </w:tblCellMar>
    </w:tblPr>
  </w:style>
  <w:style w:type="table" w:styleId="TableNormal8" w:customStyle="1">
    <w:name w:val="Table Normal"/>
    <w:tblPr>
      <w:tblCellMar>
        <w:top w:w="0.0" w:type="dxa"/>
        <w:left w:w="0.0" w:type="dxa"/>
        <w:bottom w:w="0.0" w:type="dxa"/>
        <w:right w:w="0.0" w:type="dxa"/>
      </w:tblCellMar>
    </w:tblPr>
  </w:style>
  <w:style w:type="table" w:styleId="TableNormal9" w:customStyle="1">
    <w:name w:val="Table Normal"/>
    <w:tblPr>
      <w:tblCellMar>
        <w:top w:w="0.0" w:type="dxa"/>
        <w:left w:w="0.0" w:type="dxa"/>
        <w:bottom w:w="0.0" w:type="dxa"/>
        <w:right w:w="0.0" w:type="dxa"/>
      </w:tblCellMar>
    </w:tblPr>
  </w:style>
  <w:style w:type="table" w:styleId="TableNormala" w:customStyle="1">
    <w:name w:val="Table Normal"/>
    <w:tblPr>
      <w:tblCellMar>
        <w:top w:w="0.0" w:type="dxa"/>
        <w:left w:w="0.0" w:type="dxa"/>
        <w:bottom w:w="0.0" w:type="dxa"/>
        <w:right w:w="0.0" w:type="dxa"/>
      </w:tblCellMar>
    </w:tblPr>
  </w:style>
  <w:style w:type="table" w:styleId="TableNormalb" w:customStyle="1">
    <w:name w:val="Table Normal"/>
    <w:tblPr>
      <w:tblCellMar>
        <w:top w:w="0.0" w:type="dxa"/>
        <w:left w:w="0.0" w:type="dxa"/>
        <w:bottom w:w="0.0" w:type="dxa"/>
        <w:right w:w="0.0" w:type="dxa"/>
      </w:tblCellMar>
    </w:tblPr>
  </w:style>
  <w:style w:type="table" w:styleId="TableNormalc" w:customStyle="1">
    <w:name w:val="Table Normal"/>
    <w:tblPr>
      <w:tblCellMar>
        <w:top w:w="0.0" w:type="dxa"/>
        <w:left w:w="0.0" w:type="dxa"/>
        <w:bottom w:w="0.0" w:type="dxa"/>
        <w:right w:w="0.0" w:type="dxa"/>
      </w:tblCellMar>
    </w:tblPr>
  </w:style>
  <w:style w:type="table" w:styleId="TableNormald" w:customStyle="1">
    <w:name w:val="Table Normal"/>
    <w:tblPr>
      <w:tblCellMar>
        <w:top w:w="0.0" w:type="dxa"/>
        <w:left w:w="0.0" w:type="dxa"/>
        <w:bottom w:w="0.0" w:type="dxa"/>
        <w:right w:w="0.0" w:type="dxa"/>
      </w:tblCellMar>
    </w:tblPr>
  </w:style>
  <w:style w:type="table" w:styleId="TableNormale" w:customStyle="1">
    <w:name w:val="Table Normal"/>
    <w:tblPr>
      <w:tblCellMar>
        <w:top w:w="0.0" w:type="dxa"/>
        <w:left w:w="0.0" w:type="dxa"/>
        <w:bottom w:w="0.0" w:type="dxa"/>
        <w:right w:w="0.0" w:type="dxa"/>
      </w:tblCellMar>
    </w:tblPr>
  </w:style>
  <w:style w:type="table" w:styleId="TableNormalf" w:customStyle="1">
    <w:name w:val="Table Normal"/>
    <w:tblPr>
      <w:tblCellMar>
        <w:top w:w="0.0" w:type="dxa"/>
        <w:left w:w="0.0" w:type="dxa"/>
        <w:bottom w:w="0.0" w:type="dxa"/>
        <w:right w:w="0.0" w:type="dxa"/>
      </w:tblCellMar>
    </w:tblPr>
  </w:style>
  <w:style w:type="table" w:styleId="TableNormalf0" w:customStyle="1">
    <w:name w:val="Table Normal"/>
    <w:tblPr>
      <w:tblCellMar>
        <w:top w:w="0.0" w:type="dxa"/>
        <w:left w:w="0.0" w:type="dxa"/>
        <w:bottom w:w="0.0" w:type="dxa"/>
        <w:right w:w="0.0" w:type="dxa"/>
      </w:tblCellMar>
    </w:tblPr>
  </w:style>
  <w:style w:type="table" w:styleId="TableNormalf1" w:customStyle="1">
    <w:name w:val="Table Normal"/>
    <w:tblPr>
      <w:tblCellMar>
        <w:top w:w="0.0" w:type="dxa"/>
        <w:left w:w="0.0" w:type="dxa"/>
        <w:bottom w:w="0.0" w:type="dxa"/>
        <w:right w:w="0.0" w:type="dxa"/>
      </w:tblCellMar>
    </w:tblPr>
  </w:style>
  <w:style w:type="table" w:styleId="a" w:customStyle="1">
    <w:basedOn w:val="TableNormalf1"/>
    <w:tblPr>
      <w:tblStyleRowBandSize w:val="1"/>
      <w:tblStyleColBandSize w:val="1"/>
      <w:tblCellMar>
        <w:left w:w="115.0" w:type="dxa"/>
        <w:right w:w="115.0" w:type="dxa"/>
      </w:tblCellMar>
    </w:tblPr>
  </w:style>
  <w:style w:type="table" w:styleId="a0" w:customStyle="1">
    <w:basedOn w:val="TableNormalf1"/>
    <w:tblPr>
      <w:tblStyleRowBandSize w:val="1"/>
      <w:tblStyleColBandSize w:val="1"/>
      <w:tblCellMar>
        <w:left w:w="115.0" w:type="dxa"/>
        <w:right w:w="115.0" w:type="dxa"/>
      </w:tblCellMar>
    </w:tblPr>
  </w:style>
  <w:style w:type="paragraph" w:styleId="Encabezado">
    <w:name w:val="header"/>
    <w:basedOn w:val="Normal"/>
    <w:link w:val="EncabezadoCar"/>
    <w:uiPriority w:val="99"/>
    <w:unhideWhenUsed w:val="1"/>
    <w:rsid w:val="000D197B"/>
    <w:pPr>
      <w:tabs>
        <w:tab w:val="center" w:pos="4419"/>
        <w:tab w:val="right" w:pos="8838"/>
      </w:tabs>
    </w:pPr>
  </w:style>
  <w:style w:type="character" w:styleId="EncabezadoCar" w:customStyle="1">
    <w:name w:val="Encabezado Car"/>
    <w:basedOn w:val="Fuentedeprrafopredeter"/>
    <w:link w:val="Encabezado"/>
    <w:uiPriority w:val="99"/>
    <w:rsid w:val="000D197B"/>
  </w:style>
  <w:style w:type="paragraph" w:styleId="Piedepgina">
    <w:name w:val="footer"/>
    <w:basedOn w:val="Normal"/>
    <w:link w:val="PiedepginaCar"/>
    <w:uiPriority w:val="99"/>
    <w:unhideWhenUsed w:val="1"/>
    <w:rsid w:val="000D197B"/>
    <w:pPr>
      <w:tabs>
        <w:tab w:val="center" w:pos="4419"/>
        <w:tab w:val="right" w:pos="8838"/>
      </w:tabs>
    </w:pPr>
  </w:style>
  <w:style w:type="character" w:styleId="PiedepginaCar" w:customStyle="1">
    <w:name w:val="Pie de página Car"/>
    <w:basedOn w:val="Fuentedeprrafopredeter"/>
    <w:link w:val="Piedepgina"/>
    <w:uiPriority w:val="99"/>
    <w:rsid w:val="000D197B"/>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val="1"/>
    <w:rsid w:val="00C43334"/>
    <w:pPr>
      <w:ind w:left="720"/>
      <w:contextualSpacing w:val="1"/>
    </w:pPr>
  </w:style>
  <w:style w:type="paragraph" w:styleId="NormalWeb">
    <w:name w:val="Normal (Web)"/>
    <w:basedOn w:val="Normal"/>
    <w:uiPriority w:val="99"/>
    <w:unhideWhenUsed w:val="1"/>
    <w:rsid w:val="00476335"/>
    <w:pPr>
      <w:spacing w:after="100" w:afterAutospacing="1" w:before="100" w:beforeAutospacing="1"/>
    </w:p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val="1"/>
    <w:qFormat w:val="1"/>
    <w:rsid w:val="00806B5C"/>
    <w:rPr>
      <w:rFonts w:asciiTheme="minorHAnsi" w:cstheme="minorBidi" w:eastAsiaTheme="minorHAnsi" w:hAnsiTheme="minorHAnsi"/>
      <w:sz w:val="20"/>
      <w:szCs w:val="20"/>
      <w:lang w:eastAsia="en-US"/>
    </w:rPr>
  </w:style>
  <w:style w:type="character" w:styleId="TextonotapieCar" w:customStyle="1">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qFormat w:val="1"/>
    <w:rsid w:val="00806B5C"/>
    <w:rPr>
      <w:rFonts w:asciiTheme="minorHAnsi" w:cstheme="minorBidi" w:eastAsiaTheme="minorHAnsi" w:hAnsiTheme="minorHAnsi"/>
      <w:sz w:val="20"/>
      <w:szCs w:val="20"/>
      <w:lang w:eastAsia="en-US"/>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
    <w:basedOn w:val="Fuentedeprrafopredeter"/>
    <w:uiPriority w:val="99"/>
    <w:unhideWhenUsed w:val="1"/>
    <w:qFormat w:val="1"/>
    <w:rsid w:val="00806B5C"/>
    <w:rPr>
      <w:vertAlign w:val="superscript"/>
    </w:rPr>
  </w:style>
  <w:style w:type="table" w:styleId="a1" w:customStyle="1">
    <w:basedOn w:val="TableNormalf1"/>
    <w:tblPr>
      <w:tblStyleRowBandSize w:val="1"/>
      <w:tblStyleColBandSize w:val="1"/>
      <w:tblCellMar>
        <w:left w:w="115.0" w:type="dxa"/>
        <w:right w:w="115.0" w:type="dxa"/>
      </w:tblCellMar>
    </w:tblPr>
  </w:style>
  <w:style w:type="table" w:styleId="a2" w:customStyle="1">
    <w:basedOn w:val="TableNormalf1"/>
    <w:tblPr>
      <w:tblStyleRowBandSize w:val="1"/>
      <w:tblStyleColBandSize w:val="1"/>
      <w:tblCellMar>
        <w:left w:w="115.0" w:type="dxa"/>
        <w:right w:w="115.0" w:type="dxa"/>
      </w:tblCellMar>
    </w:tblPr>
  </w:style>
  <w:style w:type="character" w:styleId="Hipervnculo">
    <w:name w:val="Hyperlink"/>
    <w:basedOn w:val="Fuentedeprrafopredeter"/>
    <w:uiPriority w:val="99"/>
    <w:unhideWhenUsed w:val="1"/>
    <w:rsid w:val="00504D6C"/>
    <w:rPr>
      <w:color w:val="0000ff" w:themeColor="hyperlink"/>
      <w:u w:val="single"/>
    </w:rPr>
  </w:style>
  <w:style w:type="character" w:styleId="Hipervnculovisitado">
    <w:name w:val="FollowedHyperlink"/>
    <w:basedOn w:val="Fuentedeprrafopredeter"/>
    <w:uiPriority w:val="99"/>
    <w:semiHidden w:val="1"/>
    <w:unhideWhenUsed w:val="1"/>
    <w:rsid w:val="00504D6C"/>
    <w:rPr>
      <w:color w:val="800080" w:themeColor="followedHyperlink"/>
      <w:u w:val="single"/>
    </w:rPr>
  </w:style>
  <w:style w:type="table" w:styleId="Tablaconcuadrcula">
    <w:name w:val="Table Grid"/>
    <w:basedOn w:val="Tablanormal"/>
    <w:uiPriority w:val="39"/>
    <w:rsid w:val="00134ADF"/>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3" w:customStyle="1">
    <w:basedOn w:val="TableNormalf0"/>
    <w:tblPr>
      <w:tblStyleRowBandSize w:val="1"/>
      <w:tblStyleColBandSize w:val="1"/>
      <w:tblCellMar>
        <w:left w:w="115.0" w:type="dxa"/>
        <w:right w:w="115.0" w:type="dxa"/>
      </w:tblCellMar>
    </w:tblPr>
  </w:style>
  <w:style w:type="table" w:styleId="a4" w:customStyle="1">
    <w:basedOn w:val="TableNormalf0"/>
    <w:tblPr>
      <w:tblStyleRowBandSize w:val="1"/>
      <w:tblStyleColBandSize w:val="1"/>
      <w:tblCellMar>
        <w:left w:w="115.0" w:type="dxa"/>
        <w:right w:w="115.0" w:type="dxa"/>
      </w:tblCellMar>
    </w:tblPr>
  </w:style>
  <w:style w:type="paragraph" w:styleId="Listaconvietas3">
    <w:name w:val="List Bullet 3"/>
    <w:basedOn w:val="Normal"/>
    <w:uiPriority w:val="99"/>
    <w:unhideWhenUsed w:val="1"/>
    <w:rsid w:val="005E017B"/>
    <w:pPr>
      <w:numPr>
        <w:numId w:val="1"/>
      </w:numPr>
      <w:contextualSpacing w:val="1"/>
    </w:pPr>
  </w:style>
  <w:style w:type="character" w:styleId="yt-core-attributed-string--link-inherit-color" w:customStyle="1">
    <w:name w:val="yt-core-attributed-string--link-inherit-color"/>
    <w:basedOn w:val="Fuentedeprrafopredeter"/>
    <w:rsid w:val="00EA0BEF"/>
  </w:style>
  <w:style w:type="character" w:styleId="PrrafodelistaCar" w:customStyle="1">
    <w:name w:val="Párrafo de lista Car"/>
    <w:aliases w:val="lp1 Car,List Paragraph1 Car,Lista de nivel 1 Car,4 Párrafo de lista Car,Figuras Car,Dot pt Car,No Spacing1 Car,List Paragraph Char Char Char Car,Indicator Text Car,Numbered Para 1 Car,DH1 Car,Listas Car,Light Grid - Accent 31 Car"/>
    <w:basedOn w:val="Fuentedeprrafopredeter"/>
    <w:link w:val="Prrafodelista"/>
    <w:uiPriority w:val="34"/>
    <w:qFormat w:val="1"/>
    <w:locked w:val="1"/>
    <w:rsid w:val="00452086"/>
  </w:style>
  <w:style w:type="character" w:styleId="Mencinsinresolver1" w:customStyle="1">
    <w:name w:val="Mención sin resolver1"/>
    <w:basedOn w:val="Fuentedeprrafopredeter"/>
    <w:uiPriority w:val="99"/>
    <w:semiHidden w:val="1"/>
    <w:unhideWhenUsed w:val="1"/>
    <w:rsid w:val="00C64B15"/>
    <w:rPr>
      <w:color w:val="605e5c"/>
      <w:shd w:color="auto" w:fill="e1dfdd" w:val="clear"/>
    </w:rPr>
  </w:style>
  <w:style w:type="paragraph" w:styleId="Default" w:customStyle="1">
    <w:name w:val="Default"/>
    <w:rsid w:val="00B92077"/>
    <w:pPr>
      <w:autoSpaceDE w:val="0"/>
      <w:autoSpaceDN w:val="0"/>
      <w:adjustRightInd w:val="0"/>
    </w:pPr>
    <w:rPr>
      <w:rFonts w:ascii="Arial" w:cs="Arial" w:hAnsi="Arial"/>
      <w:color w:val="000000"/>
    </w:rPr>
  </w:style>
  <w:style w:type="character" w:styleId="Mencinsinresolver2" w:customStyle="1">
    <w:name w:val="Mención sin resolver2"/>
    <w:basedOn w:val="Fuentedeprrafopredeter"/>
    <w:uiPriority w:val="99"/>
    <w:semiHidden w:val="1"/>
    <w:unhideWhenUsed w:val="1"/>
    <w:rsid w:val="00251B93"/>
    <w:rPr>
      <w:color w:val="605e5c"/>
      <w:shd w:color="auto" w:fill="e1dfdd" w:val="clear"/>
    </w:rPr>
  </w:style>
  <w:style w:type="paragraph" w:styleId="Textodeglobo">
    <w:name w:val="Balloon Text"/>
    <w:basedOn w:val="Normal"/>
    <w:link w:val="TextodegloboCar"/>
    <w:uiPriority w:val="99"/>
    <w:semiHidden w:val="1"/>
    <w:unhideWhenUsed w:val="1"/>
    <w:rsid w:val="00DD0D64"/>
    <w:rPr>
      <w:rFonts w:ascii="Segoe UI" w:cs="Segoe UI" w:hAnsi="Segoe UI"/>
      <w:sz w:val="18"/>
      <w:szCs w:val="18"/>
    </w:rPr>
  </w:style>
  <w:style w:type="character" w:styleId="TextodegloboCar" w:customStyle="1">
    <w:name w:val="Texto de globo Car"/>
    <w:basedOn w:val="Fuentedeprrafopredeter"/>
    <w:link w:val="Textodeglobo"/>
    <w:uiPriority w:val="99"/>
    <w:semiHidden w:val="1"/>
    <w:rsid w:val="00DD0D64"/>
    <w:rPr>
      <w:rFonts w:ascii="Segoe UI" w:cs="Segoe UI" w:hAnsi="Segoe UI"/>
      <w:sz w:val="18"/>
      <w:szCs w:val="18"/>
    </w:rPr>
  </w:style>
  <w:style w:type="paragraph" w:styleId="Sinespaciado">
    <w:name w:val="No Spacing"/>
    <w:aliases w:val="Francesa"/>
    <w:link w:val="SinespaciadoCar"/>
    <w:uiPriority w:val="1"/>
    <w:qFormat w:val="1"/>
    <w:rsid w:val="000D0148"/>
    <w:rPr>
      <w:rFonts w:asciiTheme="minorHAnsi" w:cstheme="minorBidi" w:eastAsiaTheme="minorHAnsi" w:hAnsiTheme="minorHAnsi"/>
      <w:sz w:val="22"/>
      <w:szCs w:val="22"/>
      <w:lang w:eastAsia="en-US"/>
    </w:rPr>
  </w:style>
  <w:style w:type="character" w:styleId="SinespaciadoCar" w:customStyle="1">
    <w:name w:val="Sin espaciado Car"/>
    <w:aliases w:val="Francesa Car"/>
    <w:link w:val="Sinespaciado"/>
    <w:uiPriority w:val="1"/>
    <w:locked w:val="1"/>
    <w:rsid w:val="000D0148"/>
    <w:rPr>
      <w:rFonts w:asciiTheme="minorHAnsi" w:cstheme="minorBidi" w:eastAsiaTheme="minorHAnsi" w:hAnsiTheme="minorHAnsi"/>
      <w:sz w:val="22"/>
      <w:szCs w:val="22"/>
      <w:lang w:eastAsia="en-US"/>
    </w:rPr>
  </w:style>
  <w:style w:type="paragraph" w:styleId="rtejustify" w:customStyle="1">
    <w:name w:val="rtejustify"/>
    <w:basedOn w:val="Normal"/>
    <w:rsid w:val="00876EB7"/>
    <w:pPr>
      <w:spacing w:after="100" w:afterAutospacing="1" w:before="100" w:beforeAutospacing="1"/>
    </w:pPr>
  </w:style>
  <w:style w:type="table" w:styleId="a5" w:customStyle="1">
    <w:basedOn w:val="TableNormalf"/>
    <w:tblPr>
      <w:tblStyleRowBandSize w:val="1"/>
      <w:tblStyleColBandSize w:val="1"/>
      <w:tblCellMar>
        <w:left w:w="108.0" w:type="dxa"/>
        <w:right w:w="108.0" w:type="dxa"/>
      </w:tblCellMar>
    </w:tblPr>
  </w:style>
  <w:style w:type="table" w:styleId="a6" w:customStyle="1">
    <w:basedOn w:val="TableNormalf"/>
    <w:tblPr>
      <w:tblStyleRowBandSize w:val="1"/>
      <w:tblStyleColBandSize w:val="1"/>
      <w:tblCellMar>
        <w:left w:w="108.0" w:type="dxa"/>
        <w:right w:w="108.0" w:type="dxa"/>
      </w:tblCellMar>
    </w:tblPr>
  </w:style>
  <w:style w:type="table" w:styleId="a7" w:customStyle="1">
    <w:basedOn w:val="TableNormalf"/>
    <w:tblPr>
      <w:tblStyleRowBandSize w:val="1"/>
      <w:tblStyleColBandSize w:val="1"/>
      <w:tblCellMar>
        <w:left w:w="108.0" w:type="dxa"/>
        <w:right w:w="108.0" w:type="dxa"/>
      </w:tblCellMar>
    </w:tblPr>
  </w:style>
  <w:style w:type="table" w:styleId="a8" w:customStyle="1">
    <w:basedOn w:val="TableNormalf"/>
    <w:tblPr>
      <w:tblStyleRowBandSize w:val="1"/>
      <w:tblStyleColBandSize w:val="1"/>
      <w:tblCellMar>
        <w:left w:w="108.0" w:type="dxa"/>
        <w:right w:w="108.0" w:type="dxa"/>
      </w:tblCellMar>
    </w:tblPr>
  </w:style>
  <w:style w:type="table" w:styleId="a9" w:customStyle="1">
    <w:basedOn w:val="TableNormalf"/>
    <w:tblPr>
      <w:tblStyleRowBandSize w:val="1"/>
      <w:tblStyleColBandSize w:val="1"/>
      <w:tblCellMar>
        <w:left w:w="108.0" w:type="dxa"/>
        <w:right w:w="108.0" w:type="dxa"/>
      </w:tblCellMar>
    </w:tblPr>
  </w:style>
  <w:style w:type="table" w:styleId="aa" w:customStyle="1">
    <w:basedOn w:val="TableNormalf"/>
    <w:tblPr>
      <w:tblStyleRowBandSize w:val="1"/>
      <w:tblStyleColBandSize w:val="1"/>
      <w:tblCellMar>
        <w:left w:w="115.0" w:type="dxa"/>
        <w:right w:w="115.0" w:type="dxa"/>
      </w:tblCellMar>
    </w:tblPr>
  </w:style>
  <w:style w:type="table" w:styleId="ab" w:customStyle="1">
    <w:basedOn w:val="TableNormalf"/>
    <w:tblPr>
      <w:tblStyleRowBandSize w:val="1"/>
      <w:tblStyleColBandSize w:val="1"/>
      <w:tblCellMar>
        <w:left w:w="115.0" w:type="dxa"/>
        <w:right w:w="115.0" w:type="dxa"/>
      </w:tblCellMar>
    </w:tblPr>
  </w:style>
  <w:style w:type="table" w:styleId="ac" w:customStyle="1">
    <w:basedOn w:val="TableNormale"/>
    <w:tblPr>
      <w:tblStyleRowBandSize w:val="1"/>
      <w:tblStyleColBandSize w:val="1"/>
      <w:tblCellMar>
        <w:left w:w="108.0" w:type="dxa"/>
        <w:right w:w="108.0" w:type="dxa"/>
      </w:tblCellMar>
    </w:tblPr>
  </w:style>
  <w:style w:type="table" w:styleId="ad" w:customStyle="1">
    <w:basedOn w:val="TableNormale"/>
    <w:tblPr>
      <w:tblStyleRowBandSize w:val="1"/>
      <w:tblStyleColBandSize w:val="1"/>
      <w:tblCellMar>
        <w:left w:w="115.0" w:type="dxa"/>
        <w:right w:w="115.0" w:type="dxa"/>
      </w:tblCellMar>
    </w:tblPr>
  </w:style>
  <w:style w:type="table" w:styleId="ae" w:customStyle="1">
    <w:basedOn w:val="TableNormale"/>
    <w:tblPr>
      <w:tblStyleRowBandSize w:val="1"/>
      <w:tblStyleColBandSize w:val="1"/>
      <w:tblCellMar>
        <w:left w:w="115.0" w:type="dxa"/>
        <w:right w:w="115.0" w:type="dxa"/>
      </w:tblCellMar>
    </w:tblPr>
  </w:style>
  <w:style w:type="table" w:styleId="af" w:customStyle="1">
    <w:basedOn w:val="TableNormald"/>
    <w:tblPr>
      <w:tblStyleRowBandSize w:val="1"/>
      <w:tblStyleColBandSize w:val="1"/>
      <w:tblCellMar>
        <w:left w:w="115.0" w:type="dxa"/>
        <w:right w:w="115.0" w:type="dxa"/>
      </w:tblCellMar>
    </w:tblPr>
  </w:style>
  <w:style w:type="table" w:styleId="af0" w:customStyle="1">
    <w:basedOn w:val="TableNormald"/>
    <w:tblPr>
      <w:tblStyleRowBandSize w:val="1"/>
      <w:tblStyleColBandSize w:val="1"/>
      <w:tblCellMar>
        <w:left w:w="115.0" w:type="dxa"/>
        <w:right w:w="115.0" w:type="dxa"/>
      </w:tblCellMar>
    </w:tblPr>
  </w:style>
  <w:style w:type="table" w:styleId="af1" w:customStyle="1">
    <w:basedOn w:val="TableNormald"/>
    <w:tblPr>
      <w:tblStyleRowBandSize w:val="1"/>
      <w:tblStyleColBandSize w:val="1"/>
      <w:tblCellMar>
        <w:left w:w="115.0" w:type="dxa"/>
        <w:right w:w="115.0" w:type="dxa"/>
      </w:tblCellMar>
    </w:tblPr>
  </w:style>
  <w:style w:type="table" w:styleId="af2" w:customStyle="1">
    <w:basedOn w:val="TableNormalc"/>
    <w:tblPr>
      <w:tblStyleRowBandSize w:val="1"/>
      <w:tblStyleColBandSize w:val="1"/>
      <w:tblCellMar>
        <w:left w:w="115.0" w:type="dxa"/>
        <w:right w:w="115.0" w:type="dxa"/>
      </w:tblCellMar>
    </w:tblPr>
  </w:style>
  <w:style w:type="table" w:styleId="af3" w:customStyle="1">
    <w:basedOn w:val="TableNormalc"/>
    <w:tblPr>
      <w:tblStyleRowBandSize w:val="1"/>
      <w:tblStyleColBandSize w:val="1"/>
      <w:tblCellMar>
        <w:left w:w="115.0" w:type="dxa"/>
        <w:right w:w="115.0" w:type="dxa"/>
      </w:tblCellMar>
    </w:tblPr>
  </w:style>
  <w:style w:type="table" w:styleId="af4" w:customStyle="1">
    <w:basedOn w:val="TableNormalb"/>
    <w:tblPr>
      <w:tblStyleRowBandSize w:val="1"/>
      <w:tblStyleColBandSize w:val="1"/>
      <w:tblCellMar>
        <w:left w:w="115.0" w:type="dxa"/>
        <w:right w:w="115.0" w:type="dxa"/>
      </w:tblCellMar>
    </w:tblPr>
  </w:style>
  <w:style w:type="table" w:styleId="af5" w:customStyle="1">
    <w:basedOn w:val="TableNormalb"/>
    <w:tblPr>
      <w:tblStyleRowBandSize w:val="1"/>
      <w:tblStyleColBandSize w:val="1"/>
      <w:tblCellMar>
        <w:left w:w="115.0" w:type="dxa"/>
        <w:right w:w="115.0" w:type="dxa"/>
      </w:tblCellMar>
    </w:tblPr>
  </w:style>
  <w:style w:type="table" w:styleId="af6" w:customStyle="1">
    <w:basedOn w:val="TableNormala"/>
    <w:tblPr>
      <w:tblStyleRowBandSize w:val="1"/>
      <w:tblStyleColBandSize w:val="1"/>
      <w:tblCellMar>
        <w:left w:w="115.0" w:type="dxa"/>
        <w:right w:w="115.0" w:type="dxa"/>
      </w:tblCellMar>
    </w:tblPr>
  </w:style>
  <w:style w:type="table" w:styleId="af7" w:customStyle="1">
    <w:basedOn w:val="TableNormala"/>
    <w:tblPr>
      <w:tblStyleRowBandSize w:val="1"/>
      <w:tblStyleColBandSize w:val="1"/>
      <w:tblCellMar>
        <w:left w:w="115.0" w:type="dxa"/>
        <w:right w:w="115.0" w:type="dxa"/>
      </w:tblCellMar>
    </w:tblPr>
  </w:style>
  <w:style w:type="character" w:styleId="Textoennegrita">
    <w:name w:val="Strong"/>
    <w:basedOn w:val="Fuentedeprrafopredeter"/>
    <w:uiPriority w:val="22"/>
    <w:qFormat w:val="1"/>
    <w:rsid w:val="002C02D7"/>
    <w:rPr>
      <w:b w:val="1"/>
      <w:bCs w:val="1"/>
    </w:rPr>
  </w:style>
  <w:style w:type="character" w:styleId="object" w:customStyle="1">
    <w:name w:val="object"/>
    <w:basedOn w:val="Fuentedeprrafopredeter"/>
    <w:rsid w:val="002C02D7"/>
  </w:style>
  <w:style w:type="table" w:styleId="af8" w:customStyle="1">
    <w:basedOn w:val="TableNormal9"/>
    <w:tblPr>
      <w:tblStyleRowBandSize w:val="1"/>
      <w:tblStyleColBandSize w:val="1"/>
      <w:tblCellMar>
        <w:left w:w="115.0" w:type="dxa"/>
        <w:right w:w="115.0" w:type="dxa"/>
      </w:tblCellMar>
    </w:tblPr>
  </w:style>
  <w:style w:type="table" w:styleId="af9" w:customStyle="1">
    <w:basedOn w:val="TableNormal9"/>
    <w:tblPr>
      <w:tblStyleRowBandSize w:val="1"/>
      <w:tblStyleColBandSize w:val="1"/>
      <w:tblCellMar>
        <w:left w:w="115.0" w:type="dxa"/>
        <w:right w:w="115.0" w:type="dxa"/>
      </w:tblCellMar>
    </w:tblPr>
  </w:style>
  <w:style w:type="table" w:styleId="afa" w:customStyle="1">
    <w:basedOn w:val="TableNormal8"/>
    <w:tblPr>
      <w:tblStyleRowBandSize w:val="1"/>
      <w:tblStyleColBandSize w:val="1"/>
      <w:tblCellMar>
        <w:left w:w="115.0" w:type="dxa"/>
        <w:right w:w="115.0" w:type="dxa"/>
      </w:tblCellMar>
    </w:tblPr>
  </w:style>
  <w:style w:type="table" w:styleId="afb" w:customStyle="1">
    <w:basedOn w:val="TableNormal8"/>
    <w:tblPr>
      <w:tblStyleRowBandSize w:val="1"/>
      <w:tblStyleColBandSize w:val="1"/>
      <w:tblCellMar>
        <w:left w:w="115.0" w:type="dxa"/>
        <w:right w:w="115.0" w:type="dxa"/>
      </w:tblCellMar>
    </w:tblPr>
  </w:style>
  <w:style w:type="table" w:styleId="afc" w:customStyle="1">
    <w:basedOn w:val="TableNormal7"/>
    <w:tblPr>
      <w:tblStyleRowBandSize w:val="1"/>
      <w:tblStyleColBandSize w:val="1"/>
      <w:tblCellMar>
        <w:left w:w="115.0" w:type="dxa"/>
        <w:right w:w="115.0" w:type="dxa"/>
      </w:tblCellMar>
    </w:tblPr>
  </w:style>
  <w:style w:type="table" w:styleId="afd" w:customStyle="1">
    <w:basedOn w:val="TableNormal7"/>
    <w:tblPr>
      <w:tblStyleRowBandSize w:val="1"/>
      <w:tblStyleColBandSize w:val="1"/>
      <w:tblCellMar>
        <w:left w:w="115.0" w:type="dxa"/>
        <w:right w:w="115.0" w:type="dxa"/>
      </w:tblCellMar>
    </w:tblPr>
  </w:style>
  <w:style w:type="table" w:styleId="afe" w:customStyle="1">
    <w:basedOn w:val="TableNormal6"/>
    <w:tblPr>
      <w:tblStyleRowBandSize w:val="1"/>
      <w:tblStyleColBandSize w:val="1"/>
      <w:tblCellMar>
        <w:left w:w="115.0" w:type="dxa"/>
        <w:right w:w="115.0" w:type="dxa"/>
      </w:tblCellMar>
    </w:tblPr>
  </w:style>
  <w:style w:type="table" w:styleId="aff" w:customStyle="1">
    <w:basedOn w:val="TableNormal6"/>
    <w:tblPr>
      <w:tblStyleRowBandSize w:val="1"/>
      <w:tblStyleColBandSize w:val="1"/>
      <w:tblCellMar>
        <w:left w:w="115.0" w:type="dxa"/>
        <w:right w:w="115.0" w:type="dxa"/>
      </w:tblCellMar>
    </w:tblPr>
  </w:style>
  <w:style w:type="table" w:styleId="aff0" w:customStyle="1">
    <w:basedOn w:val="TableNormal5"/>
    <w:tblPr>
      <w:tblStyleRowBandSize w:val="1"/>
      <w:tblStyleColBandSize w:val="1"/>
      <w:tblCellMar>
        <w:left w:w="115.0" w:type="dxa"/>
        <w:right w:w="115.0" w:type="dxa"/>
      </w:tblCellMar>
    </w:tblPr>
  </w:style>
  <w:style w:type="table" w:styleId="aff1" w:customStyle="1">
    <w:basedOn w:val="TableNormal5"/>
    <w:tblPr>
      <w:tblStyleRowBandSize w:val="1"/>
      <w:tblStyleColBandSize w:val="1"/>
      <w:tblCellMar>
        <w:left w:w="115.0" w:type="dxa"/>
        <w:right w:w="115.0" w:type="dxa"/>
      </w:tblCellMar>
    </w:tblPr>
  </w:style>
  <w:style w:type="table" w:styleId="aff2" w:customStyle="1">
    <w:basedOn w:val="TableNormal4"/>
    <w:tblPr>
      <w:tblStyleRowBandSize w:val="1"/>
      <w:tblStyleColBandSize w:val="1"/>
      <w:tblCellMar>
        <w:left w:w="115.0" w:type="dxa"/>
        <w:right w:w="115.0" w:type="dxa"/>
      </w:tblCellMar>
    </w:tblPr>
  </w:style>
  <w:style w:type="table" w:styleId="aff3" w:customStyle="1">
    <w:basedOn w:val="TableNormal4"/>
    <w:tblPr>
      <w:tblStyleRowBandSize w:val="1"/>
      <w:tblStyleColBandSize w:val="1"/>
      <w:tblCellMar>
        <w:left w:w="115.0" w:type="dxa"/>
        <w:right w:w="115.0" w:type="dxa"/>
      </w:tblCellMar>
    </w:tblPr>
  </w:style>
  <w:style w:type="table" w:styleId="aff4" w:customStyle="1">
    <w:basedOn w:val="TableNormal3"/>
    <w:tblPr>
      <w:tblStyleRowBandSize w:val="1"/>
      <w:tblStyleColBandSize w:val="1"/>
      <w:tblCellMar>
        <w:left w:w="115.0" w:type="dxa"/>
        <w:right w:w="115.0" w:type="dxa"/>
      </w:tblCellMar>
    </w:tblPr>
  </w:style>
  <w:style w:type="table" w:styleId="aff5" w:customStyle="1">
    <w:basedOn w:val="TableNormal3"/>
    <w:tblPr>
      <w:tblStyleRowBandSize w:val="1"/>
      <w:tblStyleColBandSize w:val="1"/>
      <w:tblCellMar>
        <w:left w:w="115.0" w:type="dxa"/>
        <w:right w:w="115.0" w:type="dxa"/>
      </w:tblCellMar>
    </w:tblPr>
  </w:style>
  <w:style w:type="table" w:styleId="aff6" w:customStyle="1">
    <w:basedOn w:val="TableNormal2"/>
    <w:tblPr>
      <w:tblStyleRowBandSize w:val="1"/>
      <w:tblStyleColBandSize w:val="1"/>
      <w:tblCellMar>
        <w:left w:w="115.0" w:type="dxa"/>
        <w:right w:w="115.0" w:type="dxa"/>
      </w:tblCellMar>
    </w:tblPr>
  </w:style>
  <w:style w:type="table" w:styleId="aff7" w:customStyle="1">
    <w:basedOn w:val="TableNormal2"/>
    <w:tblPr>
      <w:tblStyleRowBandSize w:val="1"/>
      <w:tblStyleColBandSize w:val="1"/>
      <w:tblCellMar>
        <w:left w:w="115.0" w:type="dxa"/>
        <w:right w:w="115.0" w:type="dxa"/>
      </w:tblCellMar>
    </w:tblPr>
  </w:style>
  <w:style w:type="table" w:styleId="aff8" w:customStyle="1">
    <w:basedOn w:val="TableNormal1"/>
    <w:tblPr>
      <w:tblStyleRowBandSize w:val="1"/>
      <w:tblStyleColBandSize w:val="1"/>
      <w:tblCellMar>
        <w:left w:w="115.0" w:type="dxa"/>
        <w:right w:w="115.0" w:type="dxa"/>
      </w:tblCellMar>
    </w:tblPr>
  </w:style>
  <w:style w:type="table" w:styleId="aff9" w:customStyle="1">
    <w:basedOn w:val="TableNormal1"/>
    <w:tblPr>
      <w:tblStyleRowBandSize w:val="1"/>
      <w:tblStyleColBandSize w:val="1"/>
      <w:tblCellMar>
        <w:left w:w="115.0" w:type="dxa"/>
        <w:right w:w="115.0" w:type="dxa"/>
      </w:tblCellMar>
    </w:tblPr>
  </w:style>
  <w:style w:type="table" w:styleId="affa" w:customStyle="1">
    <w:basedOn w:val="TableNormal0"/>
    <w:tblPr>
      <w:tblStyleRowBandSize w:val="1"/>
      <w:tblStyleColBandSize w:val="1"/>
      <w:tblCellMar>
        <w:left w:w="115.0" w:type="dxa"/>
        <w:right w:w="115.0" w:type="dxa"/>
      </w:tblCellMar>
    </w:tblPr>
  </w:style>
  <w:style w:type="table" w:styleId="affb" w:customStyle="1">
    <w:basedOn w:val="TableNormal0"/>
    <w:tblPr>
      <w:tblStyleRowBandSize w:val="1"/>
      <w:tblStyleColBandSize w:val="1"/>
      <w:tblCellMar>
        <w:left w:w="115.0" w:type="dxa"/>
        <w:right w:w="115.0" w:type="dxa"/>
      </w:tblCellMar>
    </w:tblPr>
  </w:style>
  <w:style w:type="character" w:styleId="Mencinsinresolver3" w:customStyle="1">
    <w:name w:val="Mención sin resolver3"/>
    <w:basedOn w:val="Fuentedeprrafopredeter"/>
    <w:uiPriority w:val="99"/>
    <w:semiHidden w:val="1"/>
    <w:unhideWhenUsed w:val="1"/>
    <w:rsid w:val="009E7E7A"/>
    <w:rPr>
      <w:color w:val="605e5c"/>
      <w:shd w:color="auto" w:fill="e1dfdd" w:val="clear"/>
    </w:rPr>
  </w:style>
  <w:style w:type="paragraph" w:styleId="Listaconvietas">
    <w:name w:val="List Bullet"/>
    <w:basedOn w:val="Normal"/>
    <w:uiPriority w:val="99"/>
    <w:unhideWhenUsed w:val="1"/>
    <w:rsid w:val="00FA2B41"/>
    <w:pPr>
      <w:numPr>
        <w:numId w:val="24"/>
      </w:numPr>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7.png"/><Relationship Id="rId10" Type="http://schemas.openxmlformats.org/officeDocument/2006/relationships/image" Target="media/image4.png"/><Relationship Id="rId13" Type="http://schemas.openxmlformats.org/officeDocument/2006/relationships/image" Target="media/image5.png"/><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15" Type="http://schemas.openxmlformats.org/officeDocument/2006/relationships/header" Target="header2.xml"/><Relationship Id="rId14" Type="http://schemas.openxmlformats.org/officeDocument/2006/relationships/header" Target="header1.xml"/><Relationship Id="rId17" Type="http://schemas.openxmlformats.org/officeDocument/2006/relationships/footer" Target="footer2.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p4PpoJxwSOlDF1eTNHmKeX22g==">CgMxLjAyCWguM3JkY3JqbjIOaC5kYWozajJ4bzZxNjYyCGguZ2pkZ3hzMgloLjNkeTZ2a20yCWguMzBqMHpsbDIJaC4yczhleW8xMgloLjN6bnlzaDcyCWguMmV0OTJwMDgAciExLU0xNGpBU1BfVjR3RG01Y0JOOWRXSV9UdjdlOXZ1WEk=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2026-09-04T17:31:00Z</dcterms:created>
  <dc:creator>USUARIO</dc:creator>
</cp:coreProperties>
</file>