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bookmarkStart w:colFirst="0" w:colLast="0" w:name="_heading=h.3rdcrjn"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veintiséis</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tabs>
          <w:tab w:val="left" w:leader="none" w:pos="5812"/>
        </w:tabs>
        <w:spacing w:line="360" w:lineRule="auto"/>
        <w:jc w:val="both"/>
        <w:rPr>
          <w:rFonts w:ascii="Palatino Linotype" w:cs="Palatino Linotype" w:eastAsia="Palatino Linotype" w:hAnsi="Palatino Linotype"/>
          <w:sz w:val="22"/>
          <w:szCs w:val="22"/>
        </w:rPr>
      </w:pPr>
      <w:bookmarkStart w:colFirst="0" w:colLast="0" w:name="_heading=h.daj3j2xo6q66" w:id="1"/>
      <w:bookmarkEnd w:id="1"/>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06419/INFOEM/IP/RR/2026</w:t>
      </w:r>
      <w:r w:rsidDel="00000000" w:rsidR="00000000" w:rsidRPr="00000000">
        <w:rPr>
          <w:rFonts w:ascii="Palatino Linotype" w:cs="Palatino Linotype" w:eastAsia="Palatino Linotype" w:hAnsi="Palatino Linotype"/>
          <w:sz w:val="22"/>
          <w:szCs w:val="22"/>
          <w:rtl w:val="0"/>
        </w:rPr>
        <w:t xml:space="preserve">, interpuesto por</w:t>
      </w:r>
      <w:r w:rsidDel="00000000" w:rsidR="00000000" w:rsidRPr="00000000">
        <w:rPr>
          <w:rFonts w:ascii="Palatino Linotype" w:cs="Palatino Linotype" w:eastAsia="Palatino Linotype" w:hAnsi="Palatino Linotype"/>
          <w:b w:val="1"/>
          <w:bCs w:val="1"/>
          <w:sz w:val="22"/>
          <w:szCs w:val="22"/>
          <w:rtl w:val="0"/>
        </w:rPr>
        <w:t xml:space="preserve"> una persona que no proporcionó nombre o seudónimo para ser identificado,</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falta de respuesta a la solicitud de información con número de folio</w:t>
      </w:r>
      <w:r w:rsidDel="00000000" w:rsidR="00000000" w:rsidRPr="00000000">
        <w:rPr>
          <w:rFonts w:ascii="Palatino Linotype" w:cs="Palatino Linotype" w:eastAsia="Palatino Linotype" w:hAnsi="Palatino Linotype"/>
          <w:b w:val="1"/>
          <w:bCs w:val="1"/>
          <w:sz w:val="22"/>
          <w:szCs w:val="22"/>
          <w:rtl w:val="0"/>
        </w:rPr>
        <w:t xml:space="preserve"> 00252/ATIZARA/IP/2026,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Ayuntamiento de Atizapán de Zaragoza,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4">
      <w:pPr>
        <w:tabs>
          <w:tab w:val="left" w:leader="none" w:pos="5812"/>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6">
      <w:pPr>
        <w:spacing w:line="360" w:lineRule="auto"/>
        <w:jc w:val="both"/>
        <w:rPr>
          <w:rFonts w:ascii="Palatino Linotype" w:cs="Palatino Linotype" w:eastAsia="Palatino Linotype" w:hAnsi="Palatino Linotype"/>
          <w:b w:val="1"/>
          <w:bCs w:val="1"/>
          <w:sz w:val="22"/>
          <w:szCs w:val="22"/>
        </w:rPr>
      </w:pPr>
      <w:bookmarkStart w:colFirst="0" w:colLast="0" w:name="_heading=h.gjdgxs" w:id="2"/>
      <w:bookmarkEnd w:id="2"/>
      <w:r w:rsidDel="00000000" w:rsidR="00000000" w:rsidRPr="00000000">
        <w:rPr>
          <w:rtl w:val="0"/>
        </w:rPr>
      </w:r>
    </w:p>
    <w:p w:rsidR="00000000" w:rsidDel="00000000" w:rsidP="00000000" w:rsidRDefault="00000000" w:rsidRPr="00000000" w14:paraId="0000000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trece de mayo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la solicitud de acceso a la información pública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mediante la cual requirió lo siguiente:</w:t>
      </w:r>
    </w:p>
    <w:p w:rsidR="00000000" w:rsidDel="00000000" w:rsidP="00000000" w:rsidRDefault="00000000" w:rsidRPr="00000000" w14:paraId="00000008">
      <w:pPr>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9">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“Solicito el atlas de riesgo vigente podrían localizarlo en proteccion civil</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(sic) </w:t>
      </w:r>
      <w:r w:rsidDel="00000000" w:rsidR="00000000" w:rsidRPr="00000000">
        <w:rPr>
          <w:rtl w:val="0"/>
        </w:rPr>
      </w:r>
    </w:p>
    <w:p w:rsidR="00000000" w:rsidDel="00000000" w:rsidP="00000000" w:rsidRDefault="00000000" w:rsidRPr="00000000" w14:paraId="0000000A">
      <w:pPr>
        <w:spacing w:line="360" w:lineRule="auto"/>
        <w:jc w:val="both"/>
        <w:rPr>
          <w:rFonts w:ascii="Palatino Linotype" w:cs="Palatino Linotype" w:eastAsia="Palatino Linotype" w:hAnsi="Palatino Linotype"/>
          <w:b w:val="1"/>
          <w:bCs w:val="1"/>
          <w:sz w:val="22"/>
          <w:szCs w:val="22"/>
        </w:rPr>
      </w:pPr>
      <w:bookmarkStart w:colFirst="0" w:colLast="0" w:name="_heading=h.3dy6vkm" w:id="3"/>
      <w:bookmarkEnd w:id="3"/>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del</w:t>
      </w:r>
      <w:r w:rsidDel="00000000" w:rsidR="00000000" w:rsidRPr="00000000">
        <w:rPr>
          <w:rFonts w:ascii="Palatino Linotype" w:cs="Palatino Linotype" w:eastAsia="Palatino Linotype" w:hAnsi="Palatino Linotype"/>
          <w:b w:val="1"/>
          <w:bCs w:val="1"/>
          <w:sz w:val="22"/>
          <w:szCs w:val="22"/>
          <w:rtl w:val="0"/>
        </w:rPr>
        <w:t xml:space="preserve"> SAIMEX.</w:t>
      </w:r>
      <w:r w:rsidDel="00000000" w:rsidR="00000000" w:rsidRPr="00000000">
        <w:rPr>
          <w:rtl w:val="0"/>
        </w:rPr>
      </w:r>
    </w:p>
    <w:p w:rsidR="00000000" w:rsidDel="00000000" w:rsidP="00000000" w:rsidRDefault="00000000" w:rsidRPr="00000000" w14:paraId="0000000C">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tres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del SAIMEX, sustancialmente en los términos siguientes:   </w:t>
      </w:r>
    </w:p>
    <w:p w:rsidR="00000000" w:rsidDel="00000000" w:rsidP="00000000" w:rsidRDefault="00000000" w:rsidRPr="00000000" w14:paraId="0000000E">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respuesta a la solicitud recibida, nos permitimos hacer de su conocimiento que con fundamento en el artículo 53, Fracciones: II, V y VI de la Ley de Transparencia y Acceso a la Información Pública del Estado de México y Municipios, le contestamos que:</w:t>
      </w:r>
    </w:p>
    <w:p w:rsidR="00000000" w:rsidDel="00000000" w:rsidP="00000000" w:rsidRDefault="00000000" w:rsidRPr="00000000" w14:paraId="0000000F">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 ANEXA OFICIO DE RESPUESTAS</w:t>
      </w:r>
    </w:p>
    <w:p w:rsidR="00000000" w:rsidDel="00000000" w:rsidP="00000000" w:rsidRDefault="00000000" w:rsidRPr="00000000" w14:paraId="00000010">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ATENTAMENTE</w:t>
      </w:r>
    </w:p>
    <w:p w:rsidR="00000000" w:rsidDel="00000000" w:rsidP="00000000" w:rsidRDefault="00000000" w:rsidRPr="00000000" w14:paraId="00000011">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LIC. MARIA FERNANDA ROA CASTRO” (sic)</w:t>
      </w:r>
    </w:p>
    <w:p w:rsidR="00000000" w:rsidDel="00000000" w:rsidP="00000000" w:rsidRDefault="00000000" w:rsidRPr="00000000" w14:paraId="0000001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3">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adjuntó el archivo electrónico denominado “</w:t>
      </w:r>
      <w:r w:rsidDel="00000000" w:rsidR="00000000" w:rsidRPr="00000000">
        <w:rPr>
          <w:rFonts w:ascii="Palatino Linotype" w:cs="Palatino Linotype" w:eastAsia="Palatino Linotype" w:hAnsi="Palatino Linotype"/>
          <w:b w:val="1"/>
          <w:bCs w:val="1"/>
          <w:i w:val="1"/>
          <w:iCs w:val="1"/>
          <w:sz w:val="22"/>
          <w:szCs w:val="22"/>
          <w:rtl w:val="0"/>
        </w:rPr>
        <w:t xml:space="preserve">respuesta a folio 00252.pdf</w:t>
      </w:r>
      <w:r w:rsidDel="00000000" w:rsidR="00000000" w:rsidRPr="00000000">
        <w:rPr>
          <w:rFonts w:ascii="Palatino Linotype" w:cs="Palatino Linotype" w:eastAsia="Palatino Linotype" w:hAnsi="Palatino Linotype"/>
          <w:sz w:val="22"/>
          <w:szCs w:val="22"/>
          <w:rtl w:val="0"/>
        </w:rPr>
        <w:t xml:space="preserve">”, el cual contiene el oficio número CMPCByMA/EJEI/2816/2026 de fecha primero de junio de dos mil veintiséis, suscrito por el Encargado del Despacho de la Coordinación Municipal de Protección Civil, Bomberos y Medio Ambiente, mediante el cual informó que el Atlas de Riesgo de Atizapán de Zaragoza se encuentra disponible en la siguiente liga: </w:t>
      </w:r>
    </w:p>
    <w:p w:rsidR="00000000" w:rsidDel="00000000" w:rsidP="00000000" w:rsidRDefault="00000000" w:rsidRPr="00000000" w14:paraId="0000001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302912"/>
            <wp:effectExtent b="0" l="0" r="0" t="0"/>
            <wp:docPr id="4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612130" cy="302912"/>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6">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diecisiete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7">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8">
      <w:pPr>
        <w:spacing w:line="360" w:lineRule="auto"/>
        <w:ind w:left="851" w:right="61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9">
      <w:pPr>
        <w:tabs>
          <w:tab w:val="left" w:leader="none" w:pos="2745"/>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“Respuesta.” (sic)</w:t>
      </w:r>
    </w:p>
    <w:p w:rsidR="00000000" w:rsidDel="00000000" w:rsidP="00000000" w:rsidRDefault="00000000" w:rsidRPr="00000000" w14:paraId="0000001A">
      <w:pPr>
        <w:spacing w:line="360" w:lineRule="auto"/>
        <w:ind w:left="851" w:right="616" w:firstLine="0"/>
        <w:jc w:val="both"/>
        <w:rPr>
          <w:rFonts w:ascii="Palatino Linotype" w:cs="Palatino Linotype" w:eastAsia="Palatino Linotype" w:hAnsi="Palatino Linotype"/>
          <w:b w:val="1"/>
          <w:bCs w:val="1"/>
          <w:sz w:val="22"/>
          <w:szCs w:val="22"/>
        </w:rPr>
      </w:pPr>
      <w:bookmarkStart w:colFirst="0" w:colLast="0" w:name="_heading=h.30j0zll" w:id="4"/>
      <w:bookmarkEnd w:id="4"/>
      <w:r w:rsidDel="00000000" w:rsidR="00000000" w:rsidRPr="00000000">
        <w:rPr>
          <w:rtl w:val="0"/>
        </w:rPr>
      </w:r>
    </w:p>
    <w:p w:rsidR="00000000" w:rsidDel="00000000" w:rsidP="00000000" w:rsidRDefault="00000000" w:rsidRPr="00000000" w14:paraId="0000001B">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1C">
      <w:pPr>
        <w:tabs>
          <w:tab w:val="left" w:leader="none" w:pos="2745"/>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envian la informacion solicitada, y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señalan un vínculo que no está en formato abierto</w:t>
      </w:r>
      <w:r w:rsidDel="00000000" w:rsidR="00000000" w:rsidRPr="00000000">
        <w:rPr>
          <w:rFonts w:ascii="Palatino Linotype" w:cs="Palatino Linotype" w:eastAsia="Palatino Linotype" w:hAnsi="Palatino Linotype"/>
          <w:i w:val="1"/>
          <w:iCs w:val="1"/>
          <w:sz w:val="22"/>
          <w:szCs w:val="22"/>
          <w:rtl w:val="0"/>
        </w:rPr>
        <w:t xml:space="preserve">” (sic)</w:t>
      </w:r>
    </w:p>
    <w:p w:rsidR="00000000" w:rsidDel="00000000" w:rsidP="00000000" w:rsidRDefault="00000000" w:rsidRPr="00000000" w14:paraId="0000001D">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F">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dieciocho de junio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p>
    <w:p w:rsidR="00000000" w:rsidDel="00000000" w:rsidP="00000000" w:rsidRDefault="00000000" w:rsidRPr="00000000" w14:paraId="00000021">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2">
      <w:pPr>
        <w:spacing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veintiséis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remitió, a través del SAIMEX lo siguiente:</w:t>
      </w:r>
    </w:p>
    <w:p w:rsidR="00000000" w:rsidDel="00000000" w:rsidP="00000000" w:rsidRDefault="00000000" w:rsidRPr="00000000" w14:paraId="0000002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Oficio número PMA/ST/UTI/4231/2026 de fecha diecinueve de junio de dos mil veintiséis, suscrito por la Titular de la Unidad de Transparencia, mediante el cual solicitó a la Coordinación Municipal de Protección Civil, Bomberos y Medio Ambiente el oficio en el cual fundamente y motive la causa por la que fue atendida la información.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Oficio número CMPCByMA/3212/2026 de fecha veinticinco de junio de dos mil veintiséis, suscrito por el Coordinador Municipal de Protección Civil, Bomberos y Medio Ambiente, mediante el cual informó ratifico su respuesta, precisando que la liga que se mencionó si remite al Atlas de Riesgo de Atizapán de Zaragoza, lo cual se acredita con la siguiente captura de pantalla.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drawing>
          <wp:inline distB="0" distT="0" distL="0" distR="0">
            <wp:extent cx="3911864" cy="2832760"/>
            <wp:effectExtent b="0" l="0" r="0" t="0"/>
            <wp:docPr id="4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911864" cy="283276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del término para resolver</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trece de agosto de dos mil veintiséis</w:t>
      </w:r>
      <w:r w:rsidDel="00000000" w:rsidR="00000000" w:rsidRPr="00000000">
        <w:rPr>
          <w:rFonts w:ascii="Palatino Linotype" w:cs="Palatino Linotype" w:eastAsia="Palatino Linotype" w:hAnsi="Palatino Linotype"/>
          <w:sz w:val="22"/>
          <w:szCs w:val="22"/>
          <w:rtl w:val="0"/>
        </w:rPr>
        <w:t xml:space="preserve">, se notificó a las partes el Acuerdo de Ampliación de Plazo para resolver el medio de impugnación que nos ocupa, en términos de lo dispuesto por el artículo 181, párrafo tercero de la Ley de Transparencia y Acceso a la Información Pública del Estado de México y Municipios.</w:t>
      </w:r>
    </w:p>
    <w:p w:rsidR="00000000" w:rsidDel="00000000" w:rsidP="00000000" w:rsidRDefault="00000000" w:rsidRPr="00000000" w14:paraId="00000029">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8.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el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2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2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E">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2F">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3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3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2">
      <w:pPr>
        <w:spacing w:line="360" w:lineRule="auto"/>
        <w:jc w:val="both"/>
        <w:rPr>
          <w:rFonts w:ascii="Palatino Linotype" w:cs="Palatino Linotype" w:eastAsia="Palatino Linotype" w:hAnsi="Palatino Linotype"/>
          <w:sz w:val="22"/>
          <w:szCs w:val="22"/>
        </w:rPr>
      </w:pPr>
      <w:bookmarkStart w:colFirst="0" w:colLast="0" w:name="_heading=h.3znysh7" w:id="6"/>
      <w:bookmarkEnd w:id="6"/>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3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día </w:t>
      </w:r>
      <w:r w:rsidDel="00000000" w:rsidR="00000000" w:rsidRPr="00000000">
        <w:rPr>
          <w:rFonts w:ascii="Palatino Linotype" w:cs="Palatino Linotype" w:eastAsia="Palatino Linotype" w:hAnsi="Palatino Linotype"/>
          <w:b w:val="1"/>
          <w:bCs w:val="1"/>
          <w:sz w:val="22"/>
          <w:szCs w:val="22"/>
          <w:rtl w:val="0"/>
        </w:rPr>
        <w:t xml:space="preserve">tres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se tuvo por presentado el día</w:t>
      </w:r>
      <w:r w:rsidDel="00000000" w:rsidR="00000000" w:rsidRPr="00000000">
        <w:rPr>
          <w:rFonts w:ascii="Palatino Linotype" w:cs="Palatino Linotype" w:eastAsia="Palatino Linotype" w:hAnsi="Palatino Linotype"/>
          <w:b w:val="1"/>
          <w:bCs w:val="1"/>
          <w:sz w:val="22"/>
          <w:szCs w:val="22"/>
          <w:rtl w:val="0"/>
        </w:rPr>
        <w:t xml:space="preserve"> diecisiete de junio de dos mil veintiséis, </w:t>
      </w:r>
      <w:r w:rsidDel="00000000" w:rsidR="00000000" w:rsidRPr="00000000">
        <w:rPr>
          <w:rFonts w:ascii="Palatino Linotype" w:cs="Palatino Linotype" w:eastAsia="Palatino Linotype" w:hAnsi="Palatino Linotype"/>
          <w:sz w:val="22"/>
          <w:szCs w:val="22"/>
          <w:rtl w:val="0"/>
        </w:rPr>
        <w:t xml:space="preserve">esto es, al décimo día hábil posterior a aquel en el que tuvo conocimiento de la respuesta impugnada. En este sentido, se concluye que el presente recurso de revisión se encuentra dentro de los márgenes temporales previstos en las disposiciones legales referidas.</w:t>
      </w:r>
    </w:p>
    <w:p w:rsidR="00000000" w:rsidDel="00000000" w:rsidP="00000000" w:rsidRDefault="00000000" w:rsidRPr="00000000" w14:paraId="0000003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un </w:t>
      </w:r>
      <w:r w:rsidDel="00000000" w:rsidR="00000000" w:rsidRPr="00000000">
        <w:rPr>
          <w:rFonts w:ascii="Palatino Linotype" w:cs="Palatino Linotype" w:eastAsia="Palatino Linotype" w:hAnsi="Palatino Linotype"/>
          <w:b w:val="1"/>
          <w:bCs w:val="1"/>
          <w:sz w:val="22"/>
          <w:szCs w:val="22"/>
          <w:rtl w:val="0"/>
        </w:rPr>
        <w:t xml:space="preserve">nombre</w:t>
      </w:r>
      <w:r w:rsidDel="00000000" w:rsidR="00000000" w:rsidRPr="00000000">
        <w:rPr>
          <w:rFonts w:ascii="Palatino Linotype" w:cs="Palatino Linotype" w:eastAsia="Palatino Linotype" w:hAnsi="Palatino Linotype"/>
          <w:sz w:val="22"/>
          <w:szCs w:val="22"/>
          <w:rtl w:val="0"/>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rsidR="00000000" w:rsidDel="00000000" w:rsidP="00000000" w:rsidRDefault="00000000" w:rsidRPr="00000000" w14:paraId="0000003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3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anónimas</w:t>
      </w:r>
      <w:r w:rsidDel="00000000" w:rsidR="00000000" w:rsidRPr="00000000">
        <w:rPr>
          <w:rFonts w:ascii="Palatino Linotype" w:cs="Palatino Linotype" w:eastAsia="Palatino Linotype" w:hAnsi="Palatino Linotype"/>
          <w:i w:val="1"/>
          <w:iCs w:val="1"/>
          <w:sz w:val="22"/>
          <w:szCs w:val="22"/>
          <w:rtl w:val="0"/>
        </w:rPr>
        <w:t xml:space="preserve">, con nombre incompleto o seudónimo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3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A">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Del="00000000" w:rsidR="00000000" w:rsidRPr="00000000">
        <w:rPr>
          <w:rFonts w:ascii="Palatino Linotype" w:cs="Palatino Linotype" w:eastAsia="Palatino Linotype" w:hAnsi="Palatino Linotype"/>
          <w:b w:val="1"/>
          <w:bCs w:val="1"/>
          <w:sz w:val="22"/>
          <w:szCs w:val="22"/>
          <w:rtl w:val="0"/>
        </w:rPr>
        <w:t xml:space="preserve"> SAIMEX.</w:t>
      </w:r>
    </w:p>
    <w:p w:rsidR="00000000" w:rsidDel="00000000" w:rsidP="00000000" w:rsidRDefault="00000000" w:rsidRPr="00000000" w14:paraId="0000003B">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3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antes de entrar al estudio de la presente resolución es preciso determinar si resulta procedente la interposición del recurso de revisión, toda vez que se actualiza la hipótesis prevista en el artículo 179, fracciones I y V de la ley de la materia, que a la letra dice:</w:t>
      </w:r>
    </w:p>
    <w:p w:rsidR="00000000" w:rsidDel="00000000" w:rsidP="00000000" w:rsidRDefault="00000000" w:rsidRPr="00000000" w14:paraId="0000003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 </w:t>
      </w:r>
      <w:r w:rsidDel="00000000" w:rsidR="00000000" w:rsidRPr="00000000">
        <w:rPr>
          <w:rFonts w:ascii="Palatino Linotype" w:cs="Palatino Linotype" w:eastAsia="Palatino Linotype" w:hAnsi="Palatino Linotype"/>
          <w:i w:val="1"/>
          <w:iCs w:val="1"/>
          <w:sz w:val="22"/>
          <w:szCs w:val="22"/>
          <w:rtl w:val="0"/>
        </w:rPr>
        <w:t xml:space="preserve">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3E">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 negativa a la información solicitada</w:t>
      </w:r>
      <w:r w:rsidDel="00000000" w:rsidR="00000000" w:rsidRPr="00000000">
        <w:rPr>
          <w:rtl w:val="0"/>
        </w:rPr>
      </w:r>
    </w:p>
    <w:p w:rsidR="00000000" w:rsidDel="00000000" w:rsidP="00000000" w:rsidRDefault="00000000" w:rsidRPr="00000000" w14:paraId="0000003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0">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4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p>
    <w:p w:rsidR="00000000" w:rsidDel="00000000" w:rsidP="00000000" w:rsidRDefault="00000000" w:rsidRPr="00000000" w14:paraId="00000042">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43">
      <w:pPr>
        <w:spacing w:line="360" w:lineRule="auto"/>
        <w:jc w:val="both"/>
        <w:rPr>
          <w:rFonts w:ascii="Palatino Linotype" w:cs="Palatino Linotype" w:eastAsia="Palatino Linotype" w:hAnsi="Palatino Linotype"/>
          <w:sz w:val="22"/>
          <w:szCs w:val="22"/>
        </w:rPr>
      </w:pPr>
      <w:bookmarkStart w:colFirst="0" w:colLast="0" w:name="_heading=h.2et92p0" w:id="7"/>
      <w:bookmarkEnd w:id="7"/>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4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4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4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4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4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4D">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E">
      <w:pPr>
        <w:spacing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4F">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0">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51">
      <w:pPr>
        <w:ind w:left="1134"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5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5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5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57">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58">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59">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5A">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5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5D">
      <w:pPr>
        <w:ind w:left="851" w:right="902"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5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5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6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6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6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63">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4">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65">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6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8">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información consistente en lo siguiente:</w:t>
      </w:r>
    </w:p>
    <w:p w:rsidR="00000000" w:rsidDel="00000000" w:rsidP="00000000" w:rsidRDefault="00000000" w:rsidRPr="00000000" w14:paraId="00000069">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A">
      <w:pPr>
        <w:spacing w:line="360" w:lineRule="auto"/>
        <w:ind w:left="426" w:right="49"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1.</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Atlas de riesgo vigente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tl w:val="0"/>
        </w:rPr>
      </w:r>
    </w:p>
    <w:p w:rsidR="00000000" w:rsidDel="00000000" w:rsidP="00000000" w:rsidRDefault="00000000" w:rsidRPr="00000000" w14:paraId="0000006B">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del Encargado del Despacho de la Coordinación Municipal de Protección Civil, Bomberos y Medio Ambiente, mediante el cual informó que el Atlas de Riesgo de Atizapán de Zaragoza se encuentra disponible en la siguiente liga: </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302912"/>
            <wp:effectExtent b="0" l="0" r="0" t="0"/>
            <wp:docPr id="47"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612130" cy="302912"/>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0">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Inconforme con la respuesta,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procedió a interponer el presente recurso de revisión, señalando en sus razones o motivos de inconformidad, la negativa a la información solicitada, al señalar un vínculo que no se encuentra en formato abierto. </w:t>
      </w:r>
    </w:p>
    <w:p w:rsidR="00000000" w:rsidDel="00000000" w:rsidP="00000000" w:rsidRDefault="00000000" w:rsidRPr="00000000" w14:paraId="00000071">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2">
      <w:pPr>
        <w:widowControl w:val="0"/>
        <w:tabs>
          <w:tab w:val="left" w:leader="none" w:pos="1701"/>
          <w:tab w:val="left" w:leader="none" w:pos="1843"/>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otra parte, de las constancias que obran en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no realizó manifestaciones, alegatos o pruebas que a su derecho convinieran y por su parte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rindió su informe justificado en el que ratificó su respuesta inicial, precisando que la liga que se mencionó si remite al Atlas de Riesgo de Atizapán de Zaragoza, adjuntando captura de pantalla. </w:t>
      </w:r>
    </w:p>
    <w:p w:rsidR="00000000" w:rsidDel="00000000" w:rsidP="00000000" w:rsidRDefault="00000000" w:rsidRPr="00000000" w14:paraId="00000073">
      <w:pPr>
        <w:widowControl w:val="0"/>
        <w:tabs>
          <w:tab w:val="left" w:leader="none" w:pos="1701"/>
          <w:tab w:val="left" w:leader="none" w:pos="1843"/>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4">
      <w:pPr>
        <w:widowControl w:val="0"/>
        <w:tabs>
          <w:tab w:val="left" w:leader="none" w:pos="1701"/>
          <w:tab w:val="left" w:leader="none" w:pos="1843"/>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Previo al análisis de la respuesta es necesario precisar que el artículo 34 del Bando Municipal del Ayuntamiento de Atizapán de Zaragoza vigente, establece que, para el despacho, estudio y planeación de los diversos asuntos de la administración municipal,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contará con una Coordinación Municipal de Protección Civil, Bomberos y Medio Ambiente, tal y como se muestra a continuación: </w:t>
      </w:r>
    </w:p>
    <w:p w:rsidR="00000000" w:rsidDel="00000000" w:rsidP="00000000" w:rsidRDefault="00000000" w:rsidRPr="00000000" w14:paraId="00000075">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34.-</w:t>
      </w:r>
      <w:r w:rsidDel="00000000" w:rsidR="00000000" w:rsidRPr="00000000">
        <w:rPr>
          <w:rFonts w:ascii="Palatino Linotype" w:cs="Palatino Linotype" w:eastAsia="Palatino Linotype" w:hAnsi="Palatino Linotype"/>
          <w:i w:val="1"/>
          <w:iCs w:val="1"/>
          <w:sz w:val="22"/>
          <w:szCs w:val="22"/>
          <w:rtl w:val="0"/>
        </w:rPr>
        <w:t xml:space="preserve"> Para el ejercicio de sus atribuciones, el H. Ayuntamiento se auxiliará de las siguientes Dependencias, mismas que realizarán sus funciones bajo los principios de austeridad, igualdad, equidad, honestidad, respeto, transparencia y calidad, de conformidad con el presente Bando Municipal, el Reglamento Orgánico de la Administración Pública Municipal de Atizapán de Zaragoza y demás ordenamientos legales que apruebe el H. Ayuntamiento o que sean aplicables:</w:t>
      </w:r>
    </w:p>
    <w:p w:rsidR="00000000" w:rsidDel="00000000" w:rsidP="00000000" w:rsidRDefault="00000000" w:rsidRPr="00000000" w14:paraId="00000077">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78">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 DE LAS DEPENDENCIAS MUNICIPALES CENTRALIZADAS:</w:t>
      </w:r>
    </w:p>
    <w:p w:rsidR="00000000" w:rsidDel="00000000" w:rsidP="00000000" w:rsidRDefault="00000000" w:rsidRPr="00000000" w14:paraId="00000079">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Oficina de la Presidencia;</w:t>
      </w:r>
    </w:p>
    <w:p w:rsidR="00000000" w:rsidDel="00000000" w:rsidP="00000000" w:rsidRDefault="00000000" w:rsidRPr="00000000" w14:paraId="0000007A">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Secretaría del Ayuntamiento;</w:t>
      </w:r>
    </w:p>
    <w:p w:rsidR="00000000" w:rsidDel="00000000" w:rsidP="00000000" w:rsidRDefault="00000000" w:rsidRPr="00000000" w14:paraId="0000007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Tesorería Municipal;</w:t>
      </w:r>
    </w:p>
    <w:p w:rsidR="00000000" w:rsidDel="00000000" w:rsidP="00000000" w:rsidRDefault="00000000" w:rsidRPr="00000000" w14:paraId="0000007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7D">
      <w:pP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i w:val="1"/>
          <w:iCs w:val="1"/>
          <w:sz w:val="22"/>
          <w:szCs w:val="22"/>
          <w:rtl w:val="0"/>
        </w:rPr>
        <w:t xml:space="preserve">X</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Coordinación Municipal de Protección Civil, Bomberos y Medio Ambiente;</w:t>
      </w:r>
    </w:p>
    <w:p w:rsidR="00000000" w:rsidDel="00000000" w:rsidP="00000000" w:rsidRDefault="00000000" w:rsidRPr="00000000" w14:paraId="0000007E">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XI. Dirección de Servicios Públicos;...”</w:t>
      </w:r>
      <w:r w:rsidDel="00000000" w:rsidR="00000000" w:rsidRPr="00000000">
        <w:rPr>
          <w:rtl w:val="0"/>
        </w:rPr>
      </w:r>
    </w:p>
    <w:p w:rsidR="00000000" w:rsidDel="00000000" w:rsidP="00000000" w:rsidRDefault="00000000" w:rsidRPr="00000000" w14:paraId="0000007F">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r w:rsidDel="00000000" w:rsidR="00000000" w:rsidRPr="00000000">
        <w:rPr>
          <w:rtl w:val="0"/>
        </w:rPr>
      </w:r>
    </w:p>
    <w:p w:rsidR="00000000" w:rsidDel="00000000" w:rsidP="00000000" w:rsidRDefault="00000000" w:rsidRPr="00000000" w14:paraId="0000008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1">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84 del Reglamento Orgánico de la Administración Pública Municipal de Atizapán de Zaragoza refiere que la Coordinación Municipal de Protección Civil, Bomberos y Medio Ambiente tiene las siguientes atribuciones:</w:t>
      </w:r>
    </w:p>
    <w:p w:rsidR="00000000" w:rsidDel="00000000" w:rsidP="00000000" w:rsidRDefault="00000000" w:rsidRPr="00000000" w14:paraId="0000008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3">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84.- La Coordinación Municipal de Protección Civil, Bomberos y Medio Ambiente tendrá las siguientes atribuciones:</w:t>
      </w:r>
    </w:p>
    <w:p w:rsidR="00000000" w:rsidDel="00000000" w:rsidP="00000000" w:rsidRDefault="00000000" w:rsidRPr="00000000" w14:paraId="00000084">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8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El titular de la Coordinación Municipal de Protección Civil, Bomberos y Medio Ambiente deberá designar de entre los miembros de su personal, a un encargado con funciones de enlace entre su dependencia y la Unidad de Información, Planeación, Programación y Evaluación, con la Unidad de Transparencia y Acceso a la Información Pública, así como con la Coordinación General Municipal de Mejora Regulatoria;</w:t>
      </w:r>
    </w:p>
    <w:p w:rsidR="00000000" w:rsidDel="00000000" w:rsidP="00000000" w:rsidRDefault="00000000" w:rsidRPr="00000000" w14:paraId="0000008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Proponer la conformación e instalación del Consejo Municipal de Protección Civil en los términos señalados por el artículo 81 de la Ley Orgánica Municipal del Estado de México;</w:t>
      </w:r>
    </w:p>
    <w:p w:rsidR="00000000" w:rsidDel="00000000" w:rsidP="00000000" w:rsidRDefault="00000000" w:rsidRPr="00000000" w14:paraId="0000008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Proponer la conformación del Consejo de Honor y Justicia del Heroico Cuerpo de Bomberos de Atizapán de Zaragoza, así como su respectivo reglamento;</w:t>
      </w:r>
    </w:p>
    <w:p w:rsidR="00000000" w:rsidDel="00000000" w:rsidP="00000000" w:rsidRDefault="00000000" w:rsidRPr="00000000" w14:paraId="0000008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Proponer la integración del Consejo Municipal de Protección a Biodiversidad del Medio Ambiente;</w:t>
      </w:r>
    </w:p>
    <w:p w:rsidR="00000000" w:rsidDel="00000000" w:rsidP="00000000" w:rsidRDefault="00000000" w:rsidRPr="00000000" w14:paraId="00000089">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Identificar e integrar en el Atlas Municipal de Riesgos, los fenómenos perturbadores de origen natural o antropogénicos que puedan afectar a la población, la infraestructura y al medio ambiente y proponer su aprobación al Consejo Municipal de Protección Civil y demás autoridades a que haya lugar, para su posterior publicación en la gaceta municipal;</w:t>
      </w:r>
    </w:p>
    <w:p w:rsidR="00000000" w:rsidDel="00000000" w:rsidP="00000000" w:rsidRDefault="00000000" w:rsidRPr="00000000" w14:paraId="0000008A">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VI. Elaborar y proponer para su aprobación el Programa Municipal de Protección Civil y los Programas Especiales por factor de riesgo en los términos y lineamientos del Plan Nacional de Desarrollo, Plan Estatal de Desarrollo y Plan de Desarrollo Municipal; …”</w:t>
      </w:r>
      <w:r w:rsidDel="00000000" w:rsidR="00000000" w:rsidRPr="00000000">
        <w:rPr>
          <w:rtl w:val="0"/>
        </w:rPr>
      </w:r>
    </w:p>
    <w:p w:rsidR="00000000" w:rsidDel="00000000" w:rsidP="00000000" w:rsidRDefault="00000000" w:rsidRPr="00000000" w14:paraId="0000008B">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el Manual de Organización de la Coordinación Municipal de Protección Civil, Bomberos y Medio Ambiente establece que la Subdirección de Protección Civil tendrá las siguientes facultades: </w:t>
      </w:r>
    </w:p>
    <w:p w:rsidR="00000000" w:rsidDel="00000000" w:rsidP="00000000" w:rsidRDefault="00000000" w:rsidRPr="00000000" w14:paraId="0000008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E">
      <w:pPr>
        <w:spacing w:line="360" w:lineRule="auto"/>
        <w:ind w:right="49"/>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111734" cy="1806285"/>
            <wp:effectExtent b="0" l="0" r="0" t="0"/>
            <wp:docPr id="5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111734" cy="180628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391425</wp:posOffset>
                </wp:positionH>
                <wp:positionV relativeFrom="paragraph">
                  <wp:posOffset>47736</wp:posOffset>
                </wp:positionV>
                <wp:extent cx="3400425" cy="238125"/>
                <wp:effectExtent b="0" l="0" r="0" t="0"/>
                <wp:wrapNone/>
                <wp:docPr id="43" name=""/>
                <a:graphic>
                  <a:graphicData uri="http://schemas.microsoft.com/office/word/2010/wordprocessingShape">
                    <wps:wsp>
                      <wps:cNvSpPr/>
                      <wps:cNvPr id="2" name="Shape 2"/>
                      <wps:spPr>
                        <a:xfrm>
                          <a:off x="3655313" y="3670463"/>
                          <a:ext cx="3381375" cy="219075"/>
                        </a:xfrm>
                        <a:prstGeom prst="rect">
                          <a:avLst/>
                        </a:prstGeom>
                        <a:noFill/>
                        <a:ln cap="flat" cmpd="sng" w="19050">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391425</wp:posOffset>
                </wp:positionH>
                <wp:positionV relativeFrom="paragraph">
                  <wp:posOffset>47736</wp:posOffset>
                </wp:positionV>
                <wp:extent cx="3400425" cy="238125"/>
                <wp:effectExtent b="0" l="0" r="0" t="0"/>
                <wp:wrapNone/>
                <wp:docPr id="4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3400425" cy="238125"/>
                        </a:xfrm>
                        <a:prstGeom prst="rect"/>
                        <a:ln/>
                      </pic:spPr>
                    </pic:pic>
                  </a:graphicData>
                </a:graphic>
              </wp:anchor>
            </w:drawing>
          </mc:Fallback>
        </mc:AlternateContent>
      </w:r>
    </w:p>
    <w:p w:rsidR="00000000" w:rsidDel="00000000" w:rsidP="00000000" w:rsidRDefault="00000000" w:rsidRPr="00000000" w14:paraId="0000008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anteriormente expuesto, es evidente que la unidad administrativa que cuenta con atribuciones para conocer de la información relativa al Atlas de Riesgo Municipal, es la Coordinación Municipal de Protección Civil, Bomberos y Medio Ambiente.  </w:t>
      </w:r>
    </w:p>
    <w:p w:rsidR="00000000" w:rsidDel="00000000" w:rsidP="00000000" w:rsidRDefault="00000000" w:rsidRPr="00000000" w14:paraId="0000009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se advierte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turnó la solicitud de información a la unidad administrativa competente, de modo que, es necesario hacer referencia al procedimiento de búsqueda que deben de seguir los Sujetos Obligados para localizar la información, el cual se encuentra previsto en los artículos 160 y 162 de la Ley de Transparencia y Acceso a la Información Pública del Estado de México y Municipios, mismo que es el siguiente:</w:t>
      </w:r>
    </w:p>
    <w:p w:rsidR="00000000" w:rsidDel="00000000" w:rsidP="00000000" w:rsidRDefault="00000000" w:rsidRPr="00000000" w14:paraId="00000093">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4">
      <w:pPr>
        <w:numPr>
          <w:ilvl w:val="0"/>
          <w:numId w:val="3"/>
        </w:numPr>
        <w:pBdr>
          <w:top w:space="0" w:sz="0" w:val="nil"/>
          <w:left w:space="0" w:sz="0" w:val="nil"/>
          <w:bottom w:space="0" w:sz="0" w:val="nil"/>
          <w:right w:space="0" w:sz="0" w:val="nil"/>
          <w:between w:space="0" w:sz="0" w:val="nil"/>
        </w:pBdr>
        <w:spacing w:line="360"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Las Unidades de Transparencia garantizarán que las solicitudes de acceso a la información se turnen a todas las áreas competentes que cuenten con la información o deban tenerla -de acuerdo a las facultades, competencias y funciones-, con el objeto de que dichas áreas realicen una búsqueda exhaustiva y razonable de la información requerida, y</w:t>
      </w:r>
    </w:p>
    <w:p w:rsidR="00000000" w:rsidDel="00000000" w:rsidP="00000000" w:rsidRDefault="00000000" w:rsidRPr="00000000" w14:paraId="00000095">
      <w:pPr>
        <w:numPr>
          <w:ilvl w:val="0"/>
          <w:numId w:val="3"/>
        </w:numPr>
        <w:pBdr>
          <w:top w:space="0" w:sz="0" w:val="nil"/>
          <w:left w:space="0" w:sz="0" w:val="nil"/>
          <w:bottom w:space="0" w:sz="0" w:val="nil"/>
          <w:right w:space="0" w:sz="0" w:val="nil"/>
          <w:between w:space="0" w:sz="0" w:val="nil"/>
        </w:pBdr>
        <w:spacing w:line="360"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Los sujetos obligados otorgarán acceso a los documentos que se encuentren en sus archivos o que estén obligados a documentar de acuerdo con sus facultades, competencias o funciones, en el formato en que el solicitante manifieste, de entre aquellos formatos existentes.</w:t>
      </w:r>
    </w:p>
    <w:p w:rsidR="00000000" w:rsidDel="00000000" w:rsidP="00000000" w:rsidRDefault="00000000" w:rsidRPr="00000000" w14:paraId="00000096">
      <w:pPr>
        <w:tabs>
          <w:tab w:val="left" w:leader="none" w:pos="4962"/>
        </w:tabs>
        <w:spacing w:line="360" w:lineRule="auto"/>
        <w:ind w:right="-28"/>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tal circunstancia, se logra colegir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cumplió con el procedimiento de búsqueda establecido en el artículo 162 de la Ley de Transparencia y Acceso a la Información Pública del Estado de México y Municipios, toda vez que turnó la solicitud a la Dirección General de Administración, unidad administrativa que tiene a su cargo la Dirección de Recursos Humanos, encargada de regular las relaciones laborales de las y los servidores públicos y el Ayuntamiento, integrar su expediente personal y laboral; así como, autorizar la elaboración y distribución oportuna de la nómina al personal que labora en el Ayuntamiento. </w:t>
      </w:r>
    </w:p>
    <w:p w:rsidR="00000000" w:rsidDel="00000000" w:rsidP="00000000" w:rsidRDefault="00000000" w:rsidRPr="00000000" w14:paraId="0000009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9">
      <w:pPr>
        <w:widowControl w:val="0"/>
        <w:tabs>
          <w:tab w:val="left" w:leader="none" w:pos="1701"/>
          <w:tab w:val="left" w:leader="none" w:pos="1843"/>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Expuesto lo anterior, se procede al análisis de la naturaleza de la información solicitada, por ello resulta importante señalar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cuenta con el deber jurídico de generar, poseer y publicar el Atlas de Riesgo Municipal, en términos de los artículos 81 TER de la Ley Orgánica Municipal del Estado de México y 94, fracción I inciso j) de la Ley de Transparencia y Acceso a la Información Pública del Estado de México y Municipios, que por una parte, contemplan la obligación de generar y actualizar la información al menos durante el primer año de la gestión y la segunda legislación, de publicar la misma de manera oficiosa, en los siguientes términos: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42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center"/>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Ley Orgánica Municipal del Estado de México</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81 TER</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Cada Ayuntamiento constituirá un consejo municipal de protección civil que encabezará el presidente municipal, con funciones de órgano de consulta y participación de los sectores público, social y privado para la prevención y adopción de acuerdos, ejecución de acciones y en general, de todas las actividades necesarias para la atención inmediata y eficaz de los asuntos relacionados con situaciones de emergencia, desastre, o calamidad pública que afecten a la población.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Son atribuciones de los Consejos Municipales de Protección Civil:</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 Identificar en un Atlas de Riesgos Municipa</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single"/>
          <w:shd w:fill="auto" w:val="clear"/>
          <w:vertAlign w:val="baseline"/>
          <w:rtl w:val="0"/>
        </w:rPr>
        <w:t xml:space="preserve">l, que deberá actualizarse permanentemente y publicarse en la Gaceta Municipal durante el primer año de gestión de cada ayuntamiento,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sitios que por sus características específicas puedan ser escenarios de situaciones de emergencia, desastre o calamidad públicas;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center"/>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Ley de Transparencia y Acceso a la Información Pública del Estado de México y Municipios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94.</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Además de las obligaciones de transparencia común a que se refiere el Capítulo II de este Título, los sujetos obligados del Poder Ejecutivo Local y municipales, deberán poner a disposición del público y actualizar la siguiente información: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I. En el caso del Poder Ejecutivo y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los Municipios,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el ámbito de su competencia:</w:t>
        <w:br w:type="textWrapping"/>
        <w:t xml:space="preserve">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j) En materia de protección civil el atlas estatal de riesgos, por municipio; y</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616"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((Énfasis Añadido)</w:t>
      </w:r>
    </w:p>
    <w:p w:rsidR="00000000" w:rsidDel="00000000" w:rsidP="00000000" w:rsidRDefault="00000000" w:rsidRPr="00000000" w14:paraId="000000A8">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9">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se logra advertir,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cuenta con las competencias, facultades y atribuciones para conocer, administrar y generar la información relacionada con el Atlas de Riesgos Municipal actualizado, el cual será publicado durante el primer año de gestión de cada ayuntamiento en la Gaceta Municipal. Entonces,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tiene el deber de contar con el Atlas de Riesgo Municipal actualizado que desea obtener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AA">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cabe recordar que tanto en respuesta como en informe justificado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informó que la información se encuentra disponible en la siguiente liga:</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AD">
      <w:pPr>
        <w:spacing w:line="360" w:lineRule="auto"/>
        <w:ind w:right="49"/>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302895"/>
            <wp:effectExtent b="0" l="0" r="0" t="0"/>
            <wp:docPr id="49"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612130" cy="302895"/>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Liga que como puede advertirse se encuentra en formato cerrado, es decir, que no se puede copiar y pegar para tener acceso; sobre el tema, Trujillo, Humberto (2019), en el “Diccionario de Transparencia y Acceso a la Información Pública”, precisa que cuando un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proporciona información pública de manera electrónica es necesario garantizar su interoperabilidad, lo cual se traduce al hecho a que la información contenga datos en formatos y estándares abiertos para su reproducción y reutilización electrónica de manera libre y sin ninguna restricción.</w:t>
      </w:r>
    </w:p>
    <w:p w:rsidR="00000000" w:rsidDel="00000000" w:rsidP="00000000" w:rsidRDefault="00000000" w:rsidRPr="00000000" w14:paraId="000000B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establece que al proporcionar información pública es necesario que sea en un formato que no tenga ninguna restricción en el acceso o reutilización, por lo que, es necesario que los datos digitales (como ligas electrónicas), se proporcionen en un formato abierto. </w:t>
      </w:r>
    </w:p>
    <w:p w:rsidR="00000000" w:rsidDel="00000000" w:rsidP="00000000" w:rsidRDefault="00000000" w:rsidRPr="00000000" w14:paraId="000000B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contexto, el artículo 3°, fracción VI y X, de la Ley General de Transparencia y Acceso a la Información Pública, con relación, al diverso 3°, fracciones VIII y XVI de la Ley de Transparencia y Acceso a la Información Pública del Estado de México y Municipios, precisan lo siguiente:</w:t>
      </w:r>
    </w:p>
    <w:p w:rsidR="00000000" w:rsidDel="00000000" w:rsidP="00000000" w:rsidRDefault="00000000" w:rsidRPr="00000000" w14:paraId="000000B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Dato abierto: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Datos digitales de carácter público que son accesibles en línea que pueden ser usados, reutilizados y redistribuidos por cualquier persona, mismos que se conforman de diversas características, entre las cuales se encuentra que se encuentren en formatos abiertos.</w:t>
      </w:r>
    </w:p>
    <w:p w:rsidR="00000000" w:rsidDel="00000000" w:rsidP="00000000" w:rsidRDefault="00000000" w:rsidRPr="00000000" w14:paraId="000000B6">
      <w:pPr>
        <w:spacing w:line="360" w:lineRule="auto"/>
        <w:ind w:firstLine="6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Formato accesible: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Conjunto de características técnicas y de presentación de la información que corresponden a la estructura lógica usada para almacenar datos de forma integral y facilitan su procesamiento digital, cuyas especificaciones estás disponibles públicamente y que permite el acceso sin restricción de uso por parte de los usuarios.</w:t>
      </w:r>
    </w:p>
    <w:p w:rsidR="00000000" w:rsidDel="00000000" w:rsidP="00000000" w:rsidRDefault="00000000" w:rsidRPr="00000000" w14:paraId="000000B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Conforme a lo anterior, se considera que en el caso de que la información peticionada obre en ligas electrónicas,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privilegiar la entrega de estas, en datos abiertos, es decir, en un formato que permita la accesibilidad y facilidad a los Particulares, para obtener la información contenida en estas.</w:t>
      </w:r>
    </w:p>
    <w:p w:rsidR="00000000" w:rsidDel="00000000" w:rsidP="00000000" w:rsidRDefault="00000000" w:rsidRPr="00000000" w14:paraId="000000B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el artículo 161 de la Ley de Transparencia y Acceso a la Información Pública del Estado de México y Municipios, establece que cuando la documentación peticionada ya se encuentre disponible al público, entre otros, en formatos electrónicos disponibles en internet, los sujetos obligados cumplirán el derecho de acceso a la información, cuando le hagan saber de manera precisa a los solicitantes, la fuente, el lugar y la forma en que se puede obtener la información.</w:t>
      </w:r>
    </w:p>
    <w:p w:rsidR="00000000" w:rsidDel="00000000" w:rsidP="00000000" w:rsidRDefault="00000000" w:rsidRPr="00000000" w14:paraId="000000B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D">
      <w:pPr>
        <w:spacing w:line="360" w:lineRule="auto"/>
        <w:jc w:val="both"/>
        <w:rPr>
          <w:rFonts w:ascii="Palatino Linotype" w:cs="Palatino Linotype" w:eastAsia="Palatino Linotype" w:hAnsi="Palatino Linotype"/>
          <w:sz w:val="22"/>
          <w:szCs w:val="22"/>
        </w:rPr>
      </w:pPr>
      <w:bookmarkStart w:colFirst="0" w:colLast="0" w:name="_heading=h.1ve9jcubpuip" w:id="8"/>
      <w:bookmarkEnd w:id="8"/>
      <w:r w:rsidDel="00000000" w:rsidR="00000000" w:rsidRPr="00000000">
        <w:rPr>
          <w:rFonts w:ascii="Palatino Linotype" w:cs="Palatino Linotype" w:eastAsia="Palatino Linotype" w:hAnsi="Palatino Linotype"/>
          <w:sz w:val="22"/>
          <w:szCs w:val="22"/>
          <w:rtl w:val="0"/>
        </w:rPr>
        <w:t xml:space="preserve">Como se logra observar,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si bien señaló una página electrónica, omitió proporcionarla en formato abierto; lo cual implica la dificultad de acceder a la misma, pues se traduce al hecho de que el particular tendría que colocar cada dígito alfanumérico, y cuya equivocación implicaría no acceder a la información contenida en las mismas; aunado de que de los propios motivos de inconformidad se advierte que el particular no tuvo acceso a la información por encontrarse en formato cerrado; por lo que, este Organismo Garante considera oportuno ordenar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entrega, del Atlas de riesgo vigente al trece de mayo de dos mil veintiséis, en versión íntegra, pues del estudio de la naturaleza del atlas de riesgo, no se advierte que contenga datos personales. </w:t>
      </w:r>
    </w:p>
    <w:p w:rsidR="00000000" w:rsidDel="00000000" w:rsidP="00000000" w:rsidRDefault="00000000" w:rsidRPr="00000000" w14:paraId="000000B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y 186 fracción II de la Ley de Transparencia y Acceso a la Información Pública del Estado de México y Municipios, este Pleno:</w:t>
      </w:r>
    </w:p>
    <w:p w:rsidR="00000000" w:rsidDel="00000000" w:rsidP="00000000" w:rsidRDefault="00000000" w:rsidRPr="00000000" w14:paraId="000000C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p>
    <w:p w:rsidR="00000000" w:rsidDel="00000000" w:rsidP="00000000" w:rsidRDefault="00000000" w:rsidRPr="00000000" w14:paraId="000000C2">
      <w:pPr>
        <w:spacing w:line="360" w:lineRule="auto"/>
        <w:ind w:right="49"/>
        <w:jc w:val="both"/>
        <w:rPr>
          <w:rFonts w:ascii="Palatino Linotype" w:cs="Palatino Linotype" w:eastAsia="Palatino Linotype" w:hAnsi="Palatino Linotype"/>
          <w:b w:val="1"/>
          <w:bCs w:val="1"/>
          <w:sz w:val="22"/>
          <w:szCs w:val="22"/>
        </w:rPr>
      </w:pPr>
      <w:bookmarkStart w:colFirst="0" w:colLast="0" w:name="_heading=h.1t3h5sf" w:id="9"/>
      <w:bookmarkEnd w:id="9"/>
      <w:r w:rsidDel="00000000" w:rsidR="00000000" w:rsidRPr="00000000">
        <w:rPr>
          <w:rtl w:val="0"/>
        </w:rPr>
      </w:r>
    </w:p>
    <w:p w:rsidR="00000000" w:rsidDel="00000000" w:rsidP="00000000" w:rsidRDefault="00000000" w:rsidRPr="00000000" w14:paraId="000000C3">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fundados</w:t>
      </w:r>
      <w:r w:rsidDel="00000000" w:rsidR="00000000" w:rsidRPr="00000000">
        <w:rPr>
          <w:rFonts w:ascii="Palatino Linotype" w:cs="Palatino Linotype" w:eastAsia="Palatino Linotype" w:hAnsi="Palatino Linotype"/>
          <w:sz w:val="22"/>
          <w:szCs w:val="22"/>
          <w:rtl w:val="0"/>
        </w:rPr>
        <w:t xml:space="preserve"> los motivos de inconformidad de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en el recurso de revisión </w:t>
      </w:r>
      <w:r w:rsidDel="00000000" w:rsidR="00000000" w:rsidRPr="00000000">
        <w:rPr>
          <w:rFonts w:ascii="Palatino Linotype" w:cs="Palatino Linotype" w:eastAsia="Palatino Linotype" w:hAnsi="Palatino Linotype"/>
          <w:b w:val="1"/>
          <w:bCs w:val="1"/>
          <w:sz w:val="22"/>
          <w:szCs w:val="22"/>
          <w:rtl w:val="0"/>
        </w:rPr>
        <w:t xml:space="preserve">06419/INFOEM/IP/RR/2026</w:t>
      </w:r>
      <w:r w:rsidDel="00000000" w:rsidR="00000000" w:rsidRPr="00000000">
        <w:rPr>
          <w:rFonts w:ascii="Palatino Linotype" w:cs="Palatino Linotype" w:eastAsia="Palatino Linotype" w:hAnsi="Palatino Linotype"/>
          <w:sz w:val="22"/>
          <w:szCs w:val="22"/>
          <w:rtl w:val="0"/>
        </w:rPr>
        <w:t xml:space="preserve">; por lo que, en términos del Considerando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Revoca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 la solicitud de información.</w:t>
      </w:r>
    </w:p>
    <w:p w:rsidR="00000000" w:rsidDel="00000000" w:rsidP="00000000" w:rsidRDefault="00000000" w:rsidRPr="00000000" w14:paraId="000000C4">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w:t>
      </w:r>
      <w:r w:rsidDel="00000000" w:rsidR="00000000" w:rsidRPr="00000000">
        <w:rPr>
          <w:rFonts w:ascii="Palatino Linotype" w:cs="Palatino Linotype" w:eastAsia="Palatino Linotype" w:hAnsi="Palatino Linotype"/>
          <w:sz w:val="22"/>
          <w:szCs w:val="22"/>
          <w:rtl w:val="0"/>
        </w:rPr>
        <w:t xml:space="preserve">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los Considerandos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y </w:t>
      </w:r>
      <w:r w:rsidDel="00000000" w:rsidR="00000000" w:rsidRPr="00000000">
        <w:rPr>
          <w:rFonts w:ascii="Palatino Linotype" w:cs="Palatino Linotype" w:eastAsia="Palatino Linotype" w:hAnsi="Palatino Linotype"/>
          <w:b w:val="1"/>
          <w:bCs w:val="1"/>
          <w:sz w:val="22"/>
          <w:szCs w:val="22"/>
          <w:rtl w:val="0"/>
        </w:rPr>
        <w:t xml:space="preserve">Quinto </w:t>
      </w:r>
      <w:r w:rsidDel="00000000" w:rsidR="00000000" w:rsidRPr="00000000">
        <w:rPr>
          <w:rFonts w:ascii="Palatino Linotype" w:cs="Palatino Linotype" w:eastAsia="Palatino Linotype" w:hAnsi="Palatino Linotype"/>
          <w:sz w:val="22"/>
          <w:szCs w:val="22"/>
          <w:rtl w:val="0"/>
        </w:rPr>
        <w:t xml:space="preserve">de esta resolución, haga entrega, 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de lo siguiente:</w:t>
      </w:r>
    </w:p>
    <w:p w:rsidR="00000000" w:rsidDel="00000000" w:rsidP="00000000" w:rsidRDefault="00000000" w:rsidRPr="00000000" w14:paraId="000000C6">
      <w:pPr>
        <w:spacing w:line="360" w:lineRule="auto"/>
        <w:ind w:left="851" w:right="616" w:firstLine="0"/>
        <w:jc w:val="both"/>
        <w:rPr>
          <w:rFonts w:ascii="Palatino Linotype" w:cs="Palatino Linotype" w:eastAsia="Palatino Linotype" w:hAnsi="Palatino Linotype"/>
          <w:b w:val="1"/>
          <w:bCs w:val="1"/>
          <w:sz w:val="22"/>
          <w:szCs w:val="22"/>
          <w:u w:val="singl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851" w:right="616"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Atlas de riesgo vigente al trece de mayo de dos mil veintiséis.</w:t>
      </w:r>
    </w:p>
    <w:p w:rsidR="00000000" w:rsidDel="00000000" w:rsidP="00000000" w:rsidRDefault="00000000" w:rsidRPr="00000000" w14:paraId="000000C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C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0C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conformidad con el artículo 198 de la Ley de Transparencia y Acceso a la Información Pública del Estado de México y Municipios, de considerarlo procedente,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 manera fundada y motivada, podrá solicitar una ampliación de plazo para el cumplimiento de la presente resolución.</w:t>
      </w:r>
    </w:p>
    <w:p w:rsidR="00000000" w:rsidDel="00000000" w:rsidP="00000000" w:rsidRDefault="00000000" w:rsidRPr="00000000" w14:paraId="000000C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D">
      <w:pPr>
        <w:spacing w:line="360" w:lineRule="auto"/>
        <w:jc w:val="both"/>
        <w:rPr>
          <w:rFonts w:ascii="Palatino Linotype" w:cs="Palatino Linotype" w:eastAsia="Palatino Linotype" w:hAnsi="Palatino Linotype"/>
          <w:sz w:val="22"/>
          <w:szCs w:val="22"/>
        </w:rPr>
      </w:pPr>
      <w:bookmarkStart w:colFirst="0" w:colLast="0" w:name="_heading=h.17dp8vu" w:id="10"/>
      <w:bookmarkEnd w:id="10"/>
      <w:r w:rsidDel="00000000" w:rsidR="00000000" w:rsidRPr="00000000">
        <w:rPr>
          <w:rFonts w:ascii="Palatino Linotype" w:cs="Palatino Linotype" w:eastAsia="Palatino Linotype" w:hAnsi="Palatino Linotype"/>
          <w:b w:val="1"/>
          <w:bCs w:val="1"/>
          <w:sz w:val="22"/>
          <w:szCs w:val="22"/>
          <w:rtl w:val="0"/>
        </w:rPr>
        <w:t xml:space="preserve">Cuarto.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rsidR="00000000" w:rsidDel="00000000" w:rsidP="00000000" w:rsidRDefault="00000000" w:rsidRPr="00000000" w14:paraId="000000C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F">
      <w:pPr>
        <w:tabs>
          <w:tab w:val="left" w:leader="none" w:pos="8647"/>
        </w:tabs>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p>
    <w:p w:rsidR="00000000" w:rsidDel="00000000" w:rsidP="00000000" w:rsidRDefault="00000000" w:rsidRPr="00000000" w14:paraId="000000D0">
      <w:pPr>
        <w:spacing w:line="360" w:lineRule="auto"/>
        <w:jc w:val="both"/>
        <w:rPr>
          <w:rFonts w:ascii="Palatino Linotype" w:cs="Palatino Linotype" w:eastAsia="Palatino Linotype" w:hAnsi="Palatino Linotype"/>
          <w:sz w:val="22"/>
          <w:szCs w:val="22"/>
        </w:rPr>
      </w:pPr>
      <w:r w:rsidDel="00000000" w:rsidR="00000000" w:rsidRPr="00000000">
        <w:rPr>
          <w:rtl w:val="0"/>
        </w:rPr>
      </w:r>
    </w:p>
    <w:tbl>
      <w:tblPr>
        <w:tblStyle w:val="Table1"/>
        <w:tblW w:w="9284.0" w:type="dxa"/>
        <w:jc w:val="left"/>
        <w:tblLayout w:type="fixed"/>
        <w:tblLook w:val="0400"/>
      </w:tblPr>
      <w:tblGrid>
        <w:gridCol w:w="4282"/>
        <w:gridCol w:w="5002"/>
        <w:tblGridChange w:id="0">
          <w:tblGrid>
            <w:gridCol w:w="4282"/>
            <w:gridCol w:w="5002"/>
          </w:tblGrid>
        </w:tblGridChange>
      </w:tblGrid>
      <w:tr>
        <w:trPr>
          <w:cantSplit w:val="0"/>
          <w:trHeight w:val="2342" w:hRule="atLeast"/>
          <w:tblHeader w:val="0"/>
        </w:trPr>
        <w:tc>
          <w:tcPr>
            <w:gridSpan w:val="2"/>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c>
          <w:tcPr>
            <w:vAlign w:val="bottom"/>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317" w:hRule="atLeast"/>
          <w:tblHeader w:val="0"/>
        </w:trPr>
        <w:tc>
          <w:tcPr>
            <w:gridSpan w:val="2"/>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bl>
    <w:p w:rsidR="00000000" w:rsidDel="00000000" w:rsidP="00000000" w:rsidRDefault="00000000" w:rsidRPr="00000000" w14:paraId="000000D9">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rPr>
        <w:rFonts w:ascii="Cambria" w:cs="Cambria" w:eastAsia="Cambria" w:hAnsi="Cambria"/>
        <w:color w:val="000000"/>
      </w:rPr>
    </w:pPr>
    <w:r w:rsidDel="00000000" w:rsidR="00000000" w:rsidRPr="00000000">
      <w:rPr>
        <w:rtl w:val="0"/>
      </w:rPr>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0DB">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0DC">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06419/INFOEM/IP/RR/2026</w:t>
          </w:r>
          <w:r w:rsidDel="00000000" w:rsidR="00000000" w:rsidRPr="00000000">
            <w:drawing>
              <wp:anchor allowOverlap="1" behindDoc="1" distB="0" distT="0" distL="0" distR="0" hidden="0" layoutInCell="1" locked="0" relativeHeight="0" simplePos="0">
                <wp:simplePos x="0" y="0"/>
                <wp:positionH relativeFrom="column">
                  <wp:posOffset>-3720464</wp:posOffset>
                </wp:positionH>
                <wp:positionV relativeFrom="paragraph">
                  <wp:posOffset>-641984</wp:posOffset>
                </wp:positionV>
                <wp:extent cx="7809865" cy="10165715"/>
                <wp:effectExtent b="0" l="0" r="0" t="0"/>
                <wp:wrapNone/>
                <wp:docPr id="4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c>
    </w:tr>
    <w:tr>
      <w:trPr>
        <w:cantSplit w:val="0"/>
        <w:trHeight w:val="228" w:hRule="atLeast"/>
        <w:tblHeader w:val="0"/>
      </w:trPr>
      <w:tc>
        <w:tcPr>
          <w:vAlign w:val="center"/>
        </w:tcPr>
        <w:p w:rsidR="00000000" w:rsidDel="00000000" w:rsidP="00000000" w:rsidRDefault="00000000" w:rsidRPr="00000000" w14:paraId="000000DD">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0DE">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Atizapán de Zaragoza</w:t>
          </w:r>
        </w:p>
      </w:tc>
    </w:tr>
    <w:tr>
      <w:trPr>
        <w:cantSplit w:val="0"/>
        <w:tblHeader w:val="0"/>
      </w:trPr>
      <w:tc>
        <w:tcPr>
          <w:vAlign w:val="center"/>
        </w:tcPr>
        <w:p w:rsidR="00000000" w:rsidDel="00000000" w:rsidP="00000000" w:rsidRDefault="00000000" w:rsidRPr="00000000" w14:paraId="000000DF">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0E0">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E1">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-1080132</wp:posOffset>
          </wp:positionH>
          <wp:positionV relativeFrom="paragraph">
            <wp:posOffset>-369891</wp:posOffset>
          </wp:positionV>
          <wp:extent cx="7809865" cy="10165715"/>
          <wp:effectExtent b="0" l="0" r="0" t="0"/>
          <wp:wrapNone/>
          <wp:docPr id="4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3"/>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0E3">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0E4">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06419/INFOEM/IP/RR/2026</w:t>
          </w:r>
        </w:p>
      </w:tc>
    </w:tr>
    <w:tr>
      <w:trPr>
        <w:cantSplit w:val="0"/>
        <w:tblHeader w:val="0"/>
      </w:trPr>
      <w:tc>
        <w:tcPr/>
        <w:p w:rsidR="00000000" w:rsidDel="00000000" w:rsidP="00000000" w:rsidRDefault="00000000" w:rsidRPr="00000000" w14:paraId="000000E5">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vAlign w:val="center"/>
        </w:tcPr>
        <w:p w:rsidR="00000000" w:rsidDel="00000000" w:rsidP="00000000" w:rsidRDefault="00000000" w:rsidRPr="00000000" w14:paraId="000000E6">
          <w:pPr>
            <w:ind w:right="175"/>
            <w:jc w:val="both"/>
            <w:rPr>
              <w:rFonts w:ascii="Palatino Linotype" w:cs="Palatino Linotype" w:eastAsia="Palatino Linotype" w:hAnsi="Palatino Linotype"/>
              <w:b w:val="1"/>
              <w:bCs w:val="1"/>
              <w:sz w:val="22"/>
              <w:szCs w:val="22"/>
              <w:highlight w:val="yellow"/>
            </w:rPr>
          </w:pPr>
          <w:r w:rsidDel="00000000" w:rsidR="00000000" w:rsidRPr="00000000">
            <w:rPr>
              <w:rtl w:val="0"/>
            </w:rPr>
          </w:r>
        </w:p>
      </w:tc>
    </w:tr>
    <w:tr>
      <w:trPr>
        <w:cantSplit w:val="0"/>
        <w:trHeight w:val="228" w:hRule="atLeast"/>
        <w:tblHeader w:val="0"/>
      </w:trPr>
      <w:tc>
        <w:tcPr>
          <w:vAlign w:val="center"/>
        </w:tcPr>
        <w:p w:rsidR="00000000" w:rsidDel="00000000" w:rsidP="00000000" w:rsidRDefault="00000000" w:rsidRPr="00000000" w14:paraId="000000E7">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0E8">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Atizapán de Zaragoza</w:t>
          </w:r>
        </w:p>
      </w:tc>
    </w:tr>
    <w:tr>
      <w:trPr>
        <w:cantSplit w:val="0"/>
        <w:tblHeader w:val="0"/>
      </w:trPr>
      <w:tc>
        <w:tcPr>
          <w:vAlign w:val="center"/>
        </w:tcPr>
        <w:p w:rsidR="00000000" w:rsidDel="00000000" w:rsidP="00000000" w:rsidRDefault="00000000" w:rsidRPr="00000000" w14:paraId="000000E9">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0EA">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E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3652"/>
      <w:numFmt w:val="bullet"/>
      <w:lvlText w:val="-"/>
      <w:lvlJc w:val="left"/>
      <w:pPr>
        <w:ind w:left="720" w:hanging="360"/>
      </w:pPr>
      <w:rPr>
        <w:rFonts w:ascii="Palatino Linotype" w:cs="Palatino Linotype" w:eastAsia="Palatino Linotype" w:hAnsi="Palatino Linotyp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table" w:styleId="TableNormalc" w:customStyle="1">
    <w:name w:val="Table Normal"/>
    <w:tblPr>
      <w:tblCellMar>
        <w:top w:w="0.0" w:type="dxa"/>
        <w:left w:w="0.0" w:type="dxa"/>
        <w:bottom w:w="0.0" w:type="dxa"/>
        <w:right w:w="0.0" w:type="dxa"/>
      </w:tblCellMar>
    </w:tblPr>
  </w:style>
  <w:style w:type="table" w:styleId="TableNormald" w:customStyle="1">
    <w:name w:val="Table Normal"/>
    <w:tblPr>
      <w:tblCellMar>
        <w:top w:w="0.0" w:type="dxa"/>
        <w:left w:w="0.0" w:type="dxa"/>
        <w:bottom w:w="0.0" w:type="dxa"/>
        <w:right w:w="0.0" w:type="dxa"/>
      </w:tblCellMar>
    </w:tblPr>
  </w:style>
  <w:style w:type="table" w:styleId="TableNormale" w:customStyle="1">
    <w:name w:val="Table Normal"/>
    <w:tblPr>
      <w:tblCellMar>
        <w:top w:w="0.0" w:type="dxa"/>
        <w:left w:w="0.0" w:type="dxa"/>
        <w:bottom w:w="0.0" w:type="dxa"/>
        <w:right w:w="0.0" w:type="dxa"/>
      </w:tblCellMar>
    </w:tblPr>
  </w:style>
  <w:style w:type="table" w:styleId="TableNormalf" w:customStyle="1">
    <w:name w:val="Table Normal"/>
    <w:tblPr>
      <w:tblCellMar>
        <w:top w:w="0.0" w:type="dxa"/>
        <w:left w:w="0.0" w:type="dxa"/>
        <w:bottom w:w="0.0" w:type="dxa"/>
        <w:right w:w="0.0" w:type="dxa"/>
      </w:tblCellMar>
    </w:tblPr>
  </w:style>
  <w:style w:type="table" w:styleId="TableNormalf0" w:customStyle="1">
    <w:name w:val="Table Normal"/>
    <w:tblPr>
      <w:tblCellMar>
        <w:top w:w="0.0" w:type="dxa"/>
        <w:left w:w="0.0" w:type="dxa"/>
        <w:bottom w:w="0.0" w:type="dxa"/>
        <w:right w:w="0.0" w:type="dxa"/>
      </w:tblCellMar>
    </w:tblPr>
  </w:style>
  <w:style w:type="table" w:styleId="TableNormalf1" w:customStyle="1">
    <w:name w:val="Table Normal"/>
    <w:tblPr>
      <w:tblCellMar>
        <w:top w:w="0.0" w:type="dxa"/>
        <w:left w:w="0.0" w:type="dxa"/>
        <w:bottom w:w="0.0" w:type="dxa"/>
        <w:right w:w="0.0" w:type="dxa"/>
      </w:tblCellMar>
    </w:tblPr>
  </w:style>
  <w:style w:type="table" w:styleId="a" w:customStyle="1">
    <w:basedOn w:val="TableNormalf1"/>
    <w:tblPr>
      <w:tblStyleRowBandSize w:val="1"/>
      <w:tblStyleColBandSize w:val="1"/>
      <w:tblCellMar>
        <w:left w:w="115.0" w:type="dxa"/>
        <w:right w:w="115.0" w:type="dxa"/>
      </w:tblCellMar>
    </w:tblPr>
  </w:style>
  <w:style w:type="table" w:styleId="a0" w:customStyle="1">
    <w:basedOn w:val="TableNormalf1"/>
    <w:tblPr>
      <w:tblStyleRowBandSize w:val="1"/>
      <w:tblStyleColBandSize w:val="1"/>
      <w:tblCellMar>
        <w:left w:w="115.0" w:type="dxa"/>
        <w:right w:w="115.0" w:type="dxa"/>
      </w:tblCellMar>
    </w:tblPr>
  </w:style>
  <w:style w:type="paragraph" w:styleId="Encabezado">
    <w:name w:val="header"/>
    <w:basedOn w:val="Normal"/>
    <w:link w:val="EncabezadoCar"/>
    <w:uiPriority w:val="99"/>
    <w:unhideWhenUsed w:val="1"/>
    <w:rsid w:val="000D197B"/>
    <w:pPr>
      <w:tabs>
        <w:tab w:val="center" w:pos="4419"/>
        <w:tab w:val="right" w:pos="8838"/>
      </w:tabs>
    </w:pPr>
  </w:style>
  <w:style w:type="character" w:styleId="EncabezadoCar" w:customStyle="1">
    <w:name w:val="Encabezado Car"/>
    <w:basedOn w:val="Fuentedeprrafopredeter"/>
    <w:link w:val="Encabezado"/>
    <w:uiPriority w:val="99"/>
    <w:rsid w:val="000D197B"/>
  </w:style>
  <w:style w:type="paragraph" w:styleId="Piedepgina">
    <w:name w:val="footer"/>
    <w:basedOn w:val="Normal"/>
    <w:link w:val="PiedepginaCar"/>
    <w:uiPriority w:val="99"/>
    <w:unhideWhenUsed w:val="1"/>
    <w:rsid w:val="000D197B"/>
    <w:pPr>
      <w:tabs>
        <w:tab w:val="center" w:pos="4419"/>
        <w:tab w:val="right" w:pos="8838"/>
      </w:tabs>
    </w:pPr>
  </w:style>
  <w:style w:type="character" w:styleId="PiedepginaCar" w:customStyle="1">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C43334"/>
    <w:pPr>
      <w:ind w:left="720"/>
      <w:contextualSpacing w:val="1"/>
    </w:pPr>
  </w:style>
  <w:style w:type="paragraph" w:styleId="NormalWeb">
    <w:name w:val="Normal (Web)"/>
    <w:basedOn w:val="Normal"/>
    <w:uiPriority w:val="99"/>
    <w:unhideWhenUsed w:val="1"/>
    <w:rsid w:val="00476335"/>
    <w:pPr>
      <w:spacing w:after="100" w:afterAutospacing="1" w:before="100" w:before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806B5C"/>
    <w:rPr>
      <w:rFonts w:asciiTheme="minorHAnsi" w:cstheme="minorBidi" w:eastAsiaTheme="minorHAnsi" w:hAnsi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val="1"/>
    <w:rsid w:val="00806B5C"/>
    <w:rPr>
      <w:rFonts w:asciiTheme="minorHAnsi" w:cstheme="minorBidi" w:eastAsiaTheme="minorHAnsi" w:hAnsiTheme="minorHAns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val="1"/>
    <w:qFormat w:val="1"/>
    <w:rsid w:val="00806B5C"/>
    <w:rPr>
      <w:vertAlign w:val="superscript"/>
    </w:rPr>
  </w:style>
  <w:style w:type="table" w:styleId="a1" w:customStyle="1">
    <w:basedOn w:val="TableNormalf1"/>
    <w:tblPr>
      <w:tblStyleRowBandSize w:val="1"/>
      <w:tblStyleColBandSize w:val="1"/>
      <w:tblCellMar>
        <w:left w:w="115.0" w:type="dxa"/>
        <w:right w:w="115.0" w:type="dxa"/>
      </w:tblCellMar>
    </w:tblPr>
  </w:style>
  <w:style w:type="table" w:styleId="a2" w:customStyle="1">
    <w:basedOn w:val="TableNormalf1"/>
    <w:tblPr>
      <w:tblStyleRowBandSize w:val="1"/>
      <w:tblStyleColBandSize w:val="1"/>
      <w:tblCellMar>
        <w:left w:w="115.0" w:type="dxa"/>
        <w:right w:w="115.0" w:type="dxa"/>
      </w:tblCellMar>
    </w:tblPr>
  </w:style>
  <w:style w:type="character" w:styleId="Hipervnculo">
    <w:name w:val="Hyperlink"/>
    <w:basedOn w:val="Fuentedeprrafopredeter"/>
    <w:uiPriority w:val="99"/>
    <w:unhideWhenUsed w:val="1"/>
    <w:rsid w:val="00504D6C"/>
    <w:rPr>
      <w:color w:val="0000ff" w:themeColor="hyperlink"/>
      <w:u w:val="single"/>
    </w:rPr>
  </w:style>
  <w:style w:type="character" w:styleId="Hipervnculovisitado">
    <w:name w:val="FollowedHyperlink"/>
    <w:basedOn w:val="Fuentedeprrafopredeter"/>
    <w:uiPriority w:val="99"/>
    <w:semiHidden w:val="1"/>
    <w:unhideWhenUsed w:val="1"/>
    <w:rsid w:val="00504D6C"/>
    <w:rPr>
      <w:color w:val="800080" w:themeColor="followedHyperlink"/>
      <w:u w:val="single"/>
    </w:rPr>
  </w:style>
  <w:style w:type="table" w:styleId="Tablaconcuadrcula">
    <w:name w:val="Table Grid"/>
    <w:basedOn w:val="Tablanormal"/>
    <w:uiPriority w:val="39"/>
    <w:rsid w:val="00134AD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3" w:customStyle="1">
    <w:basedOn w:val="TableNormalf0"/>
    <w:tblPr>
      <w:tblStyleRowBandSize w:val="1"/>
      <w:tblStyleColBandSize w:val="1"/>
      <w:tblCellMar>
        <w:left w:w="115.0" w:type="dxa"/>
        <w:right w:w="115.0" w:type="dxa"/>
      </w:tblCellMar>
    </w:tblPr>
  </w:style>
  <w:style w:type="table" w:styleId="a4" w:customStyle="1">
    <w:basedOn w:val="TableNormalf0"/>
    <w:tblPr>
      <w:tblStyleRowBandSize w:val="1"/>
      <w:tblStyleColBandSize w:val="1"/>
      <w:tblCellMar>
        <w:left w:w="115.0" w:type="dxa"/>
        <w:right w:w="115.0" w:type="dxa"/>
      </w:tblCellMar>
    </w:tblPr>
  </w:style>
  <w:style w:type="paragraph" w:styleId="Listaconvietas3">
    <w:name w:val="List Bullet 3"/>
    <w:basedOn w:val="Normal"/>
    <w:uiPriority w:val="99"/>
    <w:unhideWhenUsed w:val="1"/>
    <w:rsid w:val="005E017B"/>
    <w:pPr>
      <w:numPr>
        <w:numId w:val="1"/>
      </w:numPr>
      <w:contextualSpacing w:val="1"/>
    </w:pPr>
  </w:style>
  <w:style w:type="character" w:styleId="yt-core-attributed-string--link-inherit-color" w:customStyle="1">
    <w:name w:val="yt-core-attributed-string--link-inherit-color"/>
    <w:basedOn w:val="Fuentedeprrafopredeter"/>
    <w:rsid w:val="00EA0BEF"/>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val="1"/>
    <w:locked w:val="1"/>
    <w:rsid w:val="00452086"/>
  </w:style>
  <w:style w:type="character" w:styleId="Mencinsinresolver1" w:customStyle="1">
    <w:name w:val="Mención sin resolver1"/>
    <w:basedOn w:val="Fuentedeprrafopredeter"/>
    <w:uiPriority w:val="99"/>
    <w:semiHidden w:val="1"/>
    <w:unhideWhenUsed w:val="1"/>
    <w:rsid w:val="00C64B15"/>
    <w:rPr>
      <w:color w:val="605e5c"/>
      <w:shd w:color="auto" w:fill="e1dfdd" w:val="clear"/>
    </w:rPr>
  </w:style>
  <w:style w:type="paragraph" w:styleId="Default" w:customStyle="1">
    <w:name w:val="Default"/>
    <w:rsid w:val="00B92077"/>
    <w:pPr>
      <w:autoSpaceDE w:val="0"/>
      <w:autoSpaceDN w:val="0"/>
      <w:adjustRightInd w:val="0"/>
    </w:pPr>
    <w:rPr>
      <w:rFonts w:ascii="Arial" w:cs="Arial" w:hAnsi="Arial"/>
      <w:color w:val="000000"/>
    </w:rPr>
  </w:style>
  <w:style w:type="character" w:styleId="Mencinsinresolver2" w:customStyle="1">
    <w:name w:val="Mención sin resolver2"/>
    <w:basedOn w:val="Fuentedeprrafopredeter"/>
    <w:uiPriority w:val="99"/>
    <w:semiHidden w:val="1"/>
    <w:unhideWhenUsed w:val="1"/>
    <w:rsid w:val="00251B93"/>
    <w:rPr>
      <w:color w:val="605e5c"/>
      <w:shd w:color="auto" w:fill="e1dfdd" w:val="clear"/>
    </w:rPr>
  </w:style>
  <w:style w:type="paragraph" w:styleId="Textodeglobo">
    <w:name w:val="Balloon Text"/>
    <w:basedOn w:val="Normal"/>
    <w:link w:val="TextodegloboCar"/>
    <w:uiPriority w:val="99"/>
    <w:semiHidden w:val="1"/>
    <w:unhideWhenUsed w:val="1"/>
    <w:rsid w:val="00DD0D64"/>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DD0D64"/>
    <w:rPr>
      <w:rFonts w:ascii="Segoe UI" w:cs="Segoe UI" w:hAnsi="Segoe UI"/>
      <w:sz w:val="18"/>
      <w:szCs w:val="18"/>
    </w:rPr>
  </w:style>
  <w:style w:type="paragraph" w:styleId="Sinespaciado">
    <w:name w:val="No Spacing"/>
    <w:aliases w:val="Francesa"/>
    <w:link w:val="SinespaciadoCar"/>
    <w:uiPriority w:val="1"/>
    <w:qFormat w:val="1"/>
    <w:rsid w:val="000D0148"/>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0D0148"/>
    <w:rPr>
      <w:rFonts w:asciiTheme="minorHAnsi" w:cstheme="minorBidi" w:eastAsiaTheme="minorHAnsi" w:hAnsiTheme="minorHAnsi"/>
      <w:sz w:val="22"/>
      <w:szCs w:val="22"/>
      <w:lang w:eastAsia="en-US"/>
    </w:rPr>
  </w:style>
  <w:style w:type="paragraph" w:styleId="rtejustify" w:customStyle="1">
    <w:name w:val="rtejustify"/>
    <w:basedOn w:val="Normal"/>
    <w:rsid w:val="00876EB7"/>
    <w:pPr>
      <w:spacing w:after="100" w:afterAutospacing="1" w:before="100" w:beforeAutospacing="1"/>
    </w:pPr>
  </w:style>
  <w:style w:type="table" w:styleId="a5" w:customStyle="1">
    <w:basedOn w:val="TableNormalf"/>
    <w:tblPr>
      <w:tblStyleRowBandSize w:val="1"/>
      <w:tblStyleColBandSize w:val="1"/>
      <w:tblCellMar>
        <w:left w:w="108.0" w:type="dxa"/>
        <w:right w:w="108.0" w:type="dxa"/>
      </w:tblCellMar>
    </w:tblPr>
  </w:style>
  <w:style w:type="table" w:styleId="a6" w:customStyle="1">
    <w:basedOn w:val="TableNormalf"/>
    <w:tblPr>
      <w:tblStyleRowBandSize w:val="1"/>
      <w:tblStyleColBandSize w:val="1"/>
      <w:tblCellMar>
        <w:left w:w="108.0" w:type="dxa"/>
        <w:right w:w="108.0" w:type="dxa"/>
      </w:tblCellMar>
    </w:tblPr>
  </w:style>
  <w:style w:type="table" w:styleId="a7" w:customStyle="1">
    <w:basedOn w:val="TableNormalf"/>
    <w:tblPr>
      <w:tblStyleRowBandSize w:val="1"/>
      <w:tblStyleColBandSize w:val="1"/>
      <w:tblCellMar>
        <w:left w:w="108.0" w:type="dxa"/>
        <w:right w:w="108.0" w:type="dxa"/>
      </w:tblCellMar>
    </w:tblPr>
  </w:style>
  <w:style w:type="table" w:styleId="a8" w:customStyle="1">
    <w:basedOn w:val="TableNormalf"/>
    <w:tblPr>
      <w:tblStyleRowBandSize w:val="1"/>
      <w:tblStyleColBandSize w:val="1"/>
      <w:tblCellMar>
        <w:left w:w="108.0" w:type="dxa"/>
        <w:right w:w="108.0" w:type="dxa"/>
      </w:tblCellMar>
    </w:tblPr>
  </w:style>
  <w:style w:type="table" w:styleId="a9" w:customStyle="1">
    <w:basedOn w:val="TableNormalf"/>
    <w:tblPr>
      <w:tblStyleRowBandSize w:val="1"/>
      <w:tblStyleColBandSize w:val="1"/>
      <w:tblCellMar>
        <w:left w:w="108.0" w:type="dxa"/>
        <w:right w:w="108.0" w:type="dxa"/>
      </w:tblCellMar>
    </w:tblPr>
  </w:style>
  <w:style w:type="table" w:styleId="aa" w:customStyle="1">
    <w:basedOn w:val="TableNormalf"/>
    <w:tblPr>
      <w:tblStyleRowBandSize w:val="1"/>
      <w:tblStyleColBandSize w:val="1"/>
      <w:tblCellMar>
        <w:left w:w="115.0" w:type="dxa"/>
        <w:right w:w="115.0" w:type="dxa"/>
      </w:tblCellMar>
    </w:tblPr>
  </w:style>
  <w:style w:type="table" w:styleId="ab" w:customStyle="1">
    <w:basedOn w:val="TableNormalf"/>
    <w:tblPr>
      <w:tblStyleRowBandSize w:val="1"/>
      <w:tblStyleColBandSize w:val="1"/>
      <w:tblCellMar>
        <w:left w:w="115.0" w:type="dxa"/>
        <w:right w:w="115.0" w:type="dxa"/>
      </w:tblCellMar>
    </w:tblPr>
  </w:style>
  <w:style w:type="table" w:styleId="ac" w:customStyle="1">
    <w:basedOn w:val="TableNormale"/>
    <w:tblPr>
      <w:tblStyleRowBandSize w:val="1"/>
      <w:tblStyleColBandSize w:val="1"/>
      <w:tblCellMar>
        <w:left w:w="108.0" w:type="dxa"/>
        <w:right w:w="108.0" w:type="dxa"/>
      </w:tblCellMar>
    </w:tblPr>
  </w:style>
  <w:style w:type="table" w:styleId="ad" w:customStyle="1">
    <w:basedOn w:val="TableNormale"/>
    <w:tblPr>
      <w:tblStyleRowBandSize w:val="1"/>
      <w:tblStyleColBandSize w:val="1"/>
      <w:tblCellMar>
        <w:left w:w="115.0" w:type="dxa"/>
        <w:right w:w="115.0" w:type="dxa"/>
      </w:tblCellMar>
    </w:tblPr>
  </w:style>
  <w:style w:type="table" w:styleId="ae" w:customStyle="1">
    <w:basedOn w:val="TableNormale"/>
    <w:tblPr>
      <w:tblStyleRowBandSize w:val="1"/>
      <w:tblStyleColBandSize w:val="1"/>
      <w:tblCellMar>
        <w:left w:w="115.0" w:type="dxa"/>
        <w:right w:w="115.0" w:type="dxa"/>
      </w:tblCellMar>
    </w:tblPr>
  </w:style>
  <w:style w:type="table" w:styleId="af" w:customStyle="1">
    <w:basedOn w:val="TableNormald"/>
    <w:tblPr>
      <w:tblStyleRowBandSize w:val="1"/>
      <w:tblStyleColBandSize w:val="1"/>
      <w:tblCellMar>
        <w:left w:w="115.0" w:type="dxa"/>
        <w:right w:w="115.0" w:type="dxa"/>
      </w:tblCellMar>
    </w:tblPr>
  </w:style>
  <w:style w:type="table" w:styleId="af0" w:customStyle="1">
    <w:basedOn w:val="TableNormald"/>
    <w:tblPr>
      <w:tblStyleRowBandSize w:val="1"/>
      <w:tblStyleColBandSize w:val="1"/>
      <w:tblCellMar>
        <w:left w:w="115.0" w:type="dxa"/>
        <w:right w:w="115.0" w:type="dxa"/>
      </w:tblCellMar>
    </w:tblPr>
  </w:style>
  <w:style w:type="table" w:styleId="af1" w:customStyle="1">
    <w:basedOn w:val="TableNormald"/>
    <w:tblPr>
      <w:tblStyleRowBandSize w:val="1"/>
      <w:tblStyleColBandSize w:val="1"/>
      <w:tblCellMar>
        <w:left w:w="115.0" w:type="dxa"/>
        <w:right w:w="115.0" w:type="dxa"/>
      </w:tblCellMar>
    </w:tblPr>
  </w:style>
  <w:style w:type="table" w:styleId="af2" w:customStyle="1">
    <w:basedOn w:val="TableNormalc"/>
    <w:tblPr>
      <w:tblStyleRowBandSize w:val="1"/>
      <w:tblStyleColBandSize w:val="1"/>
      <w:tblCellMar>
        <w:left w:w="115.0" w:type="dxa"/>
        <w:right w:w="115.0" w:type="dxa"/>
      </w:tblCellMar>
    </w:tblPr>
  </w:style>
  <w:style w:type="table" w:styleId="af3" w:customStyle="1">
    <w:basedOn w:val="TableNormalc"/>
    <w:tblPr>
      <w:tblStyleRowBandSize w:val="1"/>
      <w:tblStyleColBandSize w:val="1"/>
      <w:tblCellMar>
        <w:left w:w="115.0" w:type="dxa"/>
        <w:right w:w="115.0" w:type="dxa"/>
      </w:tblCellMar>
    </w:tblPr>
  </w:style>
  <w:style w:type="table" w:styleId="af4" w:customStyle="1">
    <w:basedOn w:val="TableNormalb"/>
    <w:tblPr>
      <w:tblStyleRowBandSize w:val="1"/>
      <w:tblStyleColBandSize w:val="1"/>
      <w:tblCellMar>
        <w:left w:w="115.0" w:type="dxa"/>
        <w:right w:w="115.0" w:type="dxa"/>
      </w:tblCellMar>
    </w:tblPr>
  </w:style>
  <w:style w:type="table" w:styleId="af5" w:customStyle="1">
    <w:basedOn w:val="TableNormalb"/>
    <w:tblPr>
      <w:tblStyleRowBandSize w:val="1"/>
      <w:tblStyleColBandSize w:val="1"/>
      <w:tblCellMar>
        <w:left w:w="115.0" w:type="dxa"/>
        <w:right w:w="115.0" w:type="dxa"/>
      </w:tblCellMar>
    </w:tblPr>
  </w:style>
  <w:style w:type="table" w:styleId="af6" w:customStyle="1">
    <w:basedOn w:val="TableNormala"/>
    <w:tblPr>
      <w:tblStyleRowBandSize w:val="1"/>
      <w:tblStyleColBandSize w:val="1"/>
      <w:tblCellMar>
        <w:left w:w="115.0" w:type="dxa"/>
        <w:right w:w="115.0" w:type="dxa"/>
      </w:tblCellMar>
    </w:tblPr>
  </w:style>
  <w:style w:type="table" w:styleId="af7" w:customStyle="1">
    <w:basedOn w:val="TableNormala"/>
    <w:tblPr>
      <w:tblStyleRowBandSize w:val="1"/>
      <w:tblStyleColBandSize w:val="1"/>
      <w:tblCellMar>
        <w:left w:w="115.0" w:type="dxa"/>
        <w:right w:w="115.0" w:type="dxa"/>
      </w:tblCellMar>
    </w:tblPr>
  </w:style>
  <w:style w:type="character" w:styleId="Textoennegrita">
    <w:name w:val="Strong"/>
    <w:basedOn w:val="Fuentedeprrafopredeter"/>
    <w:uiPriority w:val="22"/>
    <w:qFormat w:val="1"/>
    <w:rsid w:val="002C02D7"/>
    <w:rPr>
      <w:b w:val="1"/>
      <w:bCs w:val="1"/>
    </w:rPr>
  </w:style>
  <w:style w:type="character" w:styleId="object" w:customStyle="1">
    <w:name w:val="object"/>
    <w:basedOn w:val="Fuentedeprrafopredeter"/>
    <w:rsid w:val="002C02D7"/>
  </w:style>
  <w:style w:type="table" w:styleId="af8" w:customStyle="1">
    <w:basedOn w:val="TableNormal9"/>
    <w:tblPr>
      <w:tblStyleRowBandSize w:val="1"/>
      <w:tblStyleColBandSize w:val="1"/>
      <w:tblCellMar>
        <w:left w:w="115.0" w:type="dxa"/>
        <w:right w:w="115.0" w:type="dxa"/>
      </w:tblCellMar>
    </w:tblPr>
  </w:style>
  <w:style w:type="table" w:styleId="af9" w:customStyle="1">
    <w:basedOn w:val="TableNormal9"/>
    <w:tblPr>
      <w:tblStyleRowBandSize w:val="1"/>
      <w:tblStyleColBandSize w:val="1"/>
      <w:tblCellMar>
        <w:left w:w="115.0" w:type="dxa"/>
        <w:right w:w="115.0" w:type="dxa"/>
      </w:tblCellMar>
    </w:tblPr>
  </w:style>
  <w:style w:type="table" w:styleId="afa" w:customStyle="1">
    <w:basedOn w:val="TableNormal8"/>
    <w:tblPr>
      <w:tblStyleRowBandSize w:val="1"/>
      <w:tblStyleColBandSize w:val="1"/>
      <w:tblCellMar>
        <w:left w:w="115.0" w:type="dxa"/>
        <w:right w:w="115.0" w:type="dxa"/>
      </w:tblCellMar>
    </w:tblPr>
  </w:style>
  <w:style w:type="table" w:styleId="afb" w:customStyle="1">
    <w:basedOn w:val="TableNormal8"/>
    <w:tblPr>
      <w:tblStyleRowBandSize w:val="1"/>
      <w:tblStyleColBandSize w:val="1"/>
      <w:tblCellMar>
        <w:left w:w="115.0" w:type="dxa"/>
        <w:right w:w="115.0" w:type="dxa"/>
      </w:tblCellMar>
    </w:tblPr>
  </w:style>
  <w:style w:type="table" w:styleId="afc" w:customStyle="1">
    <w:basedOn w:val="TableNormal7"/>
    <w:tblPr>
      <w:tblStyleRowBandSize w:val="1"/>
      <w:tblStyleColBandSize w:val="1"/>
      <w:tblCellMar>
        <w:left w:w="115.0" w:type="dxa"/>
        <w:right w:w="115.0" w:type="dxa"/>
      </w:tblCellMar>
    </w:tblPr>
  </w:style>
  <w:style w:type="table" w:styleId="afd" w:customStyle="1">
    <w:basedOn w:val="TableNormal7"/>
    <w:tblPr>
      <w:tblStyleRowBandSize w:val="1"/>
      <w:tblStyleColBandSize w:val="1"/>
      <w:tblCellMar>
        <w:left w:w="115.0" w:type="dxa"/>
        <w:right w:w="115.0" w:type="dxa"/>
      </w:tblCellMar>
    </w:tblPr>
  </w:style>
  <w:style w:type="table" w:styleId="afe" w:customStyle="1">
    <w:basedOn w:val="TableNormal6"/>
    <w:tblPr>
      <w:tblStyleRowBandSize w:val="1"/>
      <w:tblStyleColBandSize w:val="1"/>
      <w:tblCellMar>
        <w:left w:w="115.0" w:type="dxa"/>
        <w:right w:w="115.0" w:type="dxa"/>
      </w:tblCellMar>
    </w:tblPr>
  </w:style>
  <w:style w:type="table" w:styleId="aff" w:customStyle="1">
    <w:basedOn w:val="TableNormal6"/>
    <w:tblPr>
      <w:tblStyleRowBandSize w:val="1"/>
      <w:tblStyleColBandSize w:val="1"/>
      <w:tblCellMar>
        <w:left w:w="115.0" w:type="dxa"/>
        <w:right w:w="115.0" w:type="dxa"/>
      </w:tblCellMar>
    </w:tblPr>
  </w:style>
  <w:style w:type="table" w:styleId="aff0" w:customStyle="1">
    <w:basedOn w:val="TableNormal5"/>
    <w:tblPr>
      <w:tblStyleRowBandSize w:val="1"/>
      <w:tblStyleColBandSize w:val="1"/>
      <w:tblCellMar>
        <w:left w:w="115.0" w:type="dxa"/>
        <w:right w:w="115.0" w:type="dxa"/>
      </w:tblCellMar>
    </w:tblPr>
  </w:style>
  <w:style w:type="table" w:styleId="aff1" w:customStyle="1">
    <w:basedOn w:val="TableNormal5"/>
    <w:tblPr>
      <w:tblStyleRowBandSize w:val="1"/>
      <w:tblStyleColBandSize w:val="1"/>
      <w:tblCellMar>
        <w:left w:w="115.0" w:type="dxa"/>
        <w:right w:w="115.0" w:type="dxa"/>
      </w:tblCellMar>
    </w:tblPr>
  </w:style>
  <w:style w:type="table" w:styleId="aff2" w:customStyle="1">
    <w:basedOn w:val="TableNormal4"/>
    <w:tblPr>
      <w:tblStyleRowBandSize w:val="1"/>
      <w:tblStyleColBandSize w:val="1"/>
      <w:tblCellMar>
        <w:left w:w="115.0" w:type="dxa"/>
        <w:right w:w="115.0" w:type="dxa"/>
      </w:tblCellMar>
    </w:tblPr>
  </w:style>
  <w:style w:type="table" w:styleId="aff3" w:customStyle="1">
    <w:basedOn w:val="TableNormal4"/>
    <w:tblPr>
      <w:tblStyleRowBandSize w:val="1"/>
      <w:tblStyleColBandSize w:val="1"/>
      <w:tblCellMar>
        <w:left w:w="115.0" w:type="dxa"/>
        <w:right w:w="115.0" w:type="dxa"/>
      </w:tblCellMar>
    </w:tblPr>
  </w:style>
  <w:style w:type="table" w:styleId="aff4" w:customStyle="1">
    <w:basedOn w:val="TableNormal3"/>
    <w:tblPr>
      <w:tblStyleRowBandSize w:val="1"/>
      <w:tblStyleColBandSize w:val="1"/>
      <w:tblCellMar>
        <w:left w:w="115.0" w:type="dxa"/>
        <w:right w:w="115.0" w:type="dxa"/>
      </w:tblCellMar>
    </w:tblPr>
  </w:style>
  <w:style w:type="table" w:styleId="aff5" w:customStyle="1">
    <w:basedOn w:val="TableNormal3"/>
    <w:tblPr>
      <w:tblStyleRowBandSize w:val="1"/>
      <w:tblStyleColBandSize w:val="1"/>
      <w:tblCellMar>
        <w:left w:w="115.0" w:type="dxa"/>
        <w:right w:w="115.0" w:type="dxa"/>
      </w:tblCellMar>
    </w:tblPr>
  </w:style>
  <w:style w:type="table" w:styleId="aff6" w:customStyle="1">
    <w:basedOn w:val="TableNormal2"/>
    <w:tblPr>
      <w:tblStyleRowBandSize w:val="1"/>
      <w:tblStyleColBandSize w:val="1"/>
      <w:tblCellMar>
        <w:left w:w="115.0" w:type="dxa"/>
        <w:right w:w="115.0" w:type="dxa"/>
      </w:tblCellMar>
    </w:tblPr>
  </w:style>
  <w:style w:type="table" w:styleId="aff7" w:customStyle="1">
    <w:basedOn w:val="TableNormal2"/>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1"/>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character" w:styleId="Mencinsinresolver3" w:customStyle="1">
    <w:name w:val="Mención sin resolver3"/>
    <w:basedOn w:val="Fuentedeprrafopredeter"/>
    <w:uiPriority w:val="99"/>
    <w:semiHidden w:val="1"/>
    <w:unhideWhenUsed w:val="1"/>
    <w:rsid w:val="009E7E7A"/>
    <w:rPr>
      <w:color w:val="605e5c"/>
      <w:shd w:color="auto" w:fill="e1dfdd" w:val="clear"/>
    </w:rPr>
  </w:style>
  <w:style w:type="character" w:styleId="Mencinsinresolver4" w:customStyle="1">
    <w:name w:val="Mención sin resolver4"/>
    <w:basedOn w:val="Fuentedeprrafopredeter"/>
    <w:uiPriority w:val="99"/>
    <w:semiHidden w:val="1"/>
    <w:unhideWhenUsed w:val="1"/>
    <w:rsid w:val="008F2BA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6.png"/><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ySAUZHQBMb3/c1vluBijlhaU+g==">CgMxLjAyCWguM3JkY3JqbjIOaC5kYWozajJ4bzZxNjYyCGguZ2pkZ3hzMgloLjNkeTZ2a20yCWguMzBqMHpsbDIJaC4yczhleW8xMgloLjN6bnlzaDcyCWguMmV0OTJwMDIOaC4xdmU5amN1YnB1aXAyCWguMXQzaDVzZjIJaC4xN2RwOHZ1OAByITE4YzNoalNPTzZKbmpvUkp5WGUwTU9WSmxKRktOY0ZXaw==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2026-09-03T22:50:00Z</dcterms:created>
  <dc:creator>USUARIO</dc:creator>
</cp:coreProperties>
</file>