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FF3" w:rsidRPr="001C21CA" w:rsidRDefault="00887FF3" w:rsidP="00887FF3">
      <w:pPr>
        <w:spacing w:line="360" w:lineRule="auto"/>
        <w:jc w:val="both"/>
        <w:rPr>
          <w:rFonts w:ascii="Palatino Linotype" w:eastAsia="Palatino Linotype" w:hAnsi="Palatino Linotype" w:cs="Palatino Linotype"/>
          <w:b/>
          <w:color w:val="000000"/>
        </w:rPr>
      </w:pPr>
      <w:r w:rsidRPr="001C21CA">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a </w:t>
      </w:r>
      <w:r w:rsidR="00F46A06" w:rsidRPr="001C21CA">
        <w:rPr>
          <w:rFonts w:ascii="Palatino Linotype" w:eastAsia="Palatino Linotype" w:hAnsi="Palatino Linotype" w:cs="Palatino Linotype"/>
          <w:b/>
        </w:rPr>
        <w:t>diecinueve de agosto</w:t>
      </w:r>
      <w:r w:rsidRPr="001C21CA">
        <w:rPr>
          <w:rFonts w:ascii="Palatino Linotype" w:eastAsia="Palatino Linotype" w:hAnsi="Palatino Linotype" w:cs="Palatino Linotype"/>
          <w:b/>
        </w:rPr>
        <w:t xml:space="preserve"> de dos mil veintiséis.</w:t>
      </w:r>
    </w:p>
    <w:p w:rsidR="00887FF3" w:rsidRPr="001C21CA" w:rsidRDefault="00887FF3" w:rsidP="00887FF3">
      <w:pP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 xml:space="preserve"> </w:t>
      </w:r>
    </w:p>
    <w:p w:rsidR="00887FF3" w:rsidRPr="001C21CA" w:rsidRDefault="00887FF3" w:rsidP="00887FF3">
      <w:pP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b/>
          <w:color w:val="000000"/>
        </w:rPr>
        <w:t>VISTO</w:t>
      </w:r>
      <w:r w:rsidRPr="001C21CA">
        <w:rPr>
          <w:rFonts w:ascii="Palatino Linotype" w:eastAsia="Palatino Linotype" w:hAnsi="Palatino Linotype" w:cs="Palatino Linotype"/>
          <w:color w:val="000000"/>
        </w:rPr>
        <w:t xml:space="preserve"> el expediente electrónico formado con motivo del recurso de revisión número </w:t>
      </w:r>
      <w:bookmarkStart w:id="0" w:name="_GoBack"/>
      <w:r w:rsidRPr="001C21CA">
        <w:rPr>
          <w:rFonts w:ascii="Palatino Linotype" w:eastAsia="Palatino Linotype" w:hAnsi="Palatino Linotype" w:cs="Palatino Linotype"/>
          <w:b/>
          <w:color w:val="000000"/>
        </w:rPr>
        <w:t>06600/INFOEM/IP/RR/2026</w:t>
      </w:r>
      <w:bookmarkEnd w:id="0"/>
      <w:r w:rsidRPr="001C21CA">
        <w:rPr>
          <w:rFonts w:ascii="Palatino Linotype" w:eastAsia="Palatino Linotype" w:hAnsi="Palatino Linotype" w:cs="Palatino Linotype"/>
          <w:color w:val="000000"/>
        </w:rPr>
        <w:t>, interpuesto por</w:t>
      </w:r>
      <w:r w:rsidRPr="001C21CA">
        <w:rPr>
          <w:rFonts w:ascii="Palatino Linotype" w:eastAsia="Palatino Linotype" w:hAnsi="Palatino Linotype" w:cs="Palatino Linotype"/>
          <w:b/>
        </w:rPr>
        <w:t xml:space="preserve"> </w:t>
      </w:r>
      <w:r w:rsidR="00F6643B">
        <w:rPr>
          <w:rFonts w:ascii="Palatino Linotype" w:eastAsia="Palatino Linotype" w:hAnsi="Palatino Linotype" w:cs="Palatino Linotype"/>
          <w:b/>
        </w:rPr>
        <w:t>XXXXXXXXXX</w:t>
      </w:r>
      <w:r w:rsidRPr="001C21CA">
        <w:rPr>
          <w:rFonts w:ascii="Palatino Linotype" w:eastAsia="Palatino Linotype" w:hAnsi="Palatino Linotype" w:cs="Palatino Linotype"/>
          <w:b/>
        </w:rPr>
        <w:t xml:space="preserve"> </w:t>
      </w:r>
      <w:r w:rsidRPr="001C21CA">
        <w:rPr>
          <w:rFonts w:ascii="Palatino Linotype" w:eastAsia="Palatino Linotype" w:hAnsi="Palatino Linotype" w:cs="Palatino Linotype"/>
          <w:color w:val="000000"/>
        </w:rPr>
        <w:t xml:space="preserve">en lo sucesivo el </w:t>
      </w:r>
      <w:r w:rsidRPr="001C21CA">
        <w:rPr>
          <w:rFonts w:ascii="Palatino Linotype" w:eastAsia="Palatino Linotype" w:hAnsi="Palatino Linotype" w:cs="Palatino Linotype"/>
          <w:b/>
          <w:color w:val="000000"/>
        </w:rPr>
        <w:t>Recurrente</w:t>
      </w:r>
      <w:r w:rsidRPr="001C21CA">
        <w:rPr>
          <w:rFonts w:ascii="Palatino Linotype" w:eastAsia="Palatino Linotype" w:hAnsi="Palatino Linotype" w:cs="Palatino Linotype"/>
          <w:color w:val="000000"/>
        </w:rPr>
        <w:t>, en contra de la respuesta del</w:t>
      </w:r>
      <w:r w:rsidRPr="001C21CA">
        <w:rPr>
          <w:rFonts w:ascii="Palatino Linotype" w:eastAsia="Palatino Linotype" w:hAnsi="Palatino Linotype" w:cs="Palatino Linotype"/>
          <w:b/>
          <w:color w:val="000000"/>
        </w:rPr>
        <w:t xml:space="preserve"> </w:t>
      </w:r>
      <w:r w:rsidRPr="001C21CA">
        <w:rPr>
          <w:rFonts w:ascii="Palatino Linotype" w:hAnsi="Palatino Linotype"/>
          <w:b/>
          <w:bCs/>
          <w:color w:val="000000"/>
        </w:rPr>
        <w:t>Ayuntamiento de Juchitepec</w:t>
      </w:r>
      <w:r w:rsidRPr="001C21CA">
        <w:rPr>
          <w:rFonts w:ascii="Palatino Linotype" w:eastAsia="Palatino Linotype" w:hAnsi="Palatino Linotype" w:cs="Palatino Linotype"/>
          <w:color w:val="000000"/>
        </w:rPr>
        <w:t>, en lo subsecuente</w:t>
      </w:r>
      <w:r w:rsidRPr="001C21CA">
        <w:rPr>
          <w:rFonts w:ascii="Palatino Linotype" w:eastAsia="Palatino Linotype" w:hAnsi="Palatino Linotype" w:cs="Palatino Linotype"/>
          <w:b/>
          <w:color w:val="000000"/>
        </w:rPr>
        <w:t xml:space="preserve"> </w:t>
      </w:r>
      <w:r w:rsidRPr="001C21CA">
        <w:rPr>
          <w:rFonts w:ascii="Palatino Linotype" w:eastAsia="Palatino Linotype" w:hAnsi="Palatino Linotype" w:cs="Palatino Linotype"/>
          <w:color w:val="000000"/>
        </w:rPr>
        <w:t>el</w:t>
      </w:r>
      <w:r w:rsidRPr="001C21CA">
        <w:rPr>
          <w:rFonts w:ascii="Palatino Linotype" w:eastAsia="Palatino Linotype" w:hAnsi="Palatino Linotype" w:cs="Palatino Linotype"/>
          <w:b/>
          <w:color w:val="000000"/>
        </w:rPr>
        <w:t xml:space="preserve"> Sujeto Obligado, </w:t>
      </w:r>
      <w:r w:rsidRPr="001C21CA">
        <w:rPr>
          <w:rFonts w:ascii="Palatino Linotype" w:eastAsia="Palatino Linotype" w:hAnsi="Palatino Linotype" w:cs="Palatino Linotype"/>
          <w:color w:val="000000"/>
        </w:rPr>
        <w:t>se procede a dictar la presente resolución.</w:t>
      </w: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keepNext/>
        <w:keepLines/>
        <w:spacing w:line="360" w:lineRule="auto"/>
        <w:jc w:val="center"/>
        <w:rPr>
          <w:rFonts w:ascii="Palatino Linotype" w:eastAsia="Palatino Linotype" w:hAnsi="Palatino Linotype" w:cs="Palatino Linotype"/>
          <w:b/>
          <w:color w:val="000000"/>
          <w:sz w:val="28"/>
          <w:szCs w:val="28"/>
        </w:rPr>
      </w:pPr>
      <w:r w:rsidRPr="001C21CA">
        <w:rPr>
          <w:rFonts w:ascii="Palatino Linotype" w:eastAsia="Palatino Linotype" w:hAnsi="Palatino Linotype" w:cs="Palatino Linotype"/>
          <w:b/>
          <w:color w:val="000000"/>
          <w:sz w:val="28"/>
          <w:szCs w:val="28"/>
        </w:rPr>
        <w:t>A N T E C E D E N T E S</w:t>
      </w:r>
    </w:p>
    <w:p w:rsidR="00887FF3" w:rsidRPr="001C21CA" w:rsidRDefault="00887FF3" w:rsidP="00887FF3">
      <w:pPr>
        <w:keepNext/>
        <w:keepLines/>
        <w:spacing w:line="360" w:lineRule="auto"/>
        <w:jc w:val="center"/>
        <w:rPr>
          <w:rFonts w:ascii="Palatino Linotype" w:eastAsia="Palatino Linotype" w:hAnsi="Palatino Linotype" w:cs="Palatino Linotype"/>
          <w:b/>
          <w:color w:val="000000"/>
          <w:sz w:val="28"/>
          <w:szCs w:val="28"/>
        </w:rPr>
      </w:pP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keepNext/>
        <w:keepLines/>
        <w:spacing w:line="360" w:lineRule="auto"/>
        <w:jc w:val="both"/>
        <w:rPr>
          <w:rFonts w:ascii="Palatino Linotype" w:eastAsia="Palatino Linotype" w:hAnsi="Palatino Linotype" w:cs="Palatino Linotype"/>
          <w:b/>
          <w:color w:val="000000"/>
          <w:sz w:val="26"/>
          <w:szCs w:val="26"/>
        </w:rPr>
      </w:pPr>
      <w:r w:rsidRPr="001C21CA">
        <w:rPr>
          <w:rFonts w:ascii="Palatino Linotype" w:eastAsia="Palatino Linotype" w:hAnsi="Palatino Linotype" w:cs="Palatino Linotype"/>
          <w:b/>
          <w:color w:val="000000"/>
          <w:sz w:val="26"/>
          <w:szCs w:val="26"/>
        </w:rPr>
        <w:t>PRIMERO. De la Solicitud de Información.</w:t>
      </w:r>
    </w:p>
    <w:p w:rsidR="00887FF3" w:rsidRPr="001C21CA" w:rsidRDefault="00887FF3" w:rsidP="00887FF3">
      <w:pP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 xml:space="preserve">Con fecha trece de mayo de dos mil veintiséis, el Recurrente presentó mediante el Sistema de Acceso a la Información Mexiquense (SAIMEX), solicitud de información registrada con el número de </w:t>
      </w:r>
      <w:r w:rsidRPr="001C21CA">
        <w:rPr>
          <w:rFonts w:ascii="Palatino Linotype" w:eastAsia="Palatino Linotype" w:hAnsi="Palatino Linotype" w:cs="Palatino Linotype"/>
        </w:rPr>
        <w:t>expediente</w:t>
      </w:r>
      <w:r w:rsidRPr="001C21CA">
        <w:rPr>
          <w:rFonts w:ascii="Verdana" w:eastAsia="Verdana" w:hAnsi="Verdana" w:cs="Verdana"/>
          <w:b/>
          <w:color w:val="FF0000"/>
        </w:rPr>
        <w:t xml:space="preserve"> </w:t>
      </w:r>
      <w:r w:rsidRPr="001C21CA">
        <w:rPr>
          <w:rFonts w:ascii="Palatino Linotype" w:hAnsi="Palatino Linotype"/>
          <w:b/>
          <w:bCs/>
        </w:rPr>
        <w:t>00621/JUCHITE/IP/2026</w:t>
      </w:r>
      <w:r w:rsidRPr="001C21CA">
        <w:rPr>
          <w:rFonts w:ascii="Palatino Linotype" w:eastAsia="Palatino Linotype" w:hAnsi="Palatino Linotype" w:cs="Palatino Linotype"/>
        </w:rPr>
        <w:t>,</w:t>
      </w:r>
      <w:r w:rsidRPr="001C21CA">
        <w:rPr>
          <w:rFonts w:ascii="Palatino Linotype" w:eastAsia="Palatino Linotype" w:hAnsi="Palatino Linotype" w:cs="Palatino Linotype"/>
          <w:b/>
        </w:rPr>
        <w:t xml:space="preserve"> </w:t>
      </w:r>
      <w:r w:rsidRPr="001C21CA">
        <w:rPr>
          <w:rFonts w:ascii="Palatino Linotype" w:eastAsia="Palatino Linotype" w:hAnsi="Palatino Linotype" w:cs="Palatino Linotype"/>
          <w:color w:val="000000"/>
        </w:rPr>
        <w:t>mediante la cual solicitó información en el tenor siguiente:</w:t>
      </w:r>
    </w:p>
    <w:p w:rsidR="00887FF3" w:rsidRPr="001C21CA" w:rsidRDefault="00887FF3" w:rsidP="00887FF3">
      <w:pPr>
        <w:spacing w:line="360" w:lineRule="auto"/>
        <w:ind w:left="567" w:right="567"/>
        <w:jc w:val="both"/>
        <w:rPr>
          <w:rFonts w:ascii="Palatino Linotype" w:hAnsi="Palatino Linotype"/>
          <w:i/>
          <w:color w:val="000000"/>
        </w:rPr>
      </w:pPr>
      <w:r w:rsidRPr="001C21CA">
        <w:rPr>
          <w:rFonts w:ascii="Palatino Linotype" w:eastAsia="Palatino Linotype" w:hAnsi="Palatino Linotype" w:cs="Palatino Linotype"/>
          <w:i/>
          <w:color w:val="000000"/>
        </w:rPr>
        <w:t>“</w:t>
      </w:r>
      <w:r w:rsidRPr="001C21CA">
        <w:rPr>
          <w:rFonts w:ascii="Palatino Linotype" w:hAnsi="Palatino Linotype"/>
          <w:i/>
          <w:color w:val="000000"/>
        </w:rPr>
        <w:t xml:space="preserve">Solicito copia simple en formato electrónico de los recibos de nómina de todo el personal adscrito a la Administración Pública Municipal de Juchitepec 2025-2027 correspondientes al periodo comprendido de abril de 2026 a la fecha. Solicito que la información sea entregada en el formato digital disponible (PDF, XML, CFDI o cualquier otro formato electrónico existente), a través de la Plataforma SAIMEX. </w:t>
      </w:r>
      <w:r w:rsidRPr="001C21CA">
        <w:rPr>
          <w:rFonts w:ascii="Palatino Linotype" w:hAnsi="Palatino Linotype"/>
          <w:i/>
          <w:color w:val="000000"/>
        </w:rPr>
        <w:lastRenderedPageBreak/>
        <w:t>Asimismo, solicito que únicamente se testen los datos estrictamente considerados confidenciales conforme a la Ley de Transparencia y Acceso a la Información Pública del Estado de México y Municipios, privilegiando el principio de máxima publicidad</w:t>
      </w:r>
      <w:r w:rsidRPr="001C21CA">
        <w:rPr>
          <w:rFonts w:ascii="Palatino Linotype" w:eastAsia="Palatino Linotype" w:hAnsi="Palatino Linotype" w:cs="Palatino Linotype"/>
          <w:i/>
          <w:color w:val="000000"/>
        </w:rPr>
        <w:t>” (Sic)</w:t>
      </w: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spacing w:line="360" w:lineRule="auto"/>
        <w:jc w:val="both"/>
        <w:rPr>
          <w:rFonts w:ascii="Palatino Linotype" w:eastAsia="Palatino Linotype" w:hAnsi="Palatino Linotype" w:cs="Palatino Linotype"/>
          <w:b/>
          <w:color w:val="000000"/>
        </w:rPr>
      </w:pPr>
      <w:r w:rsidRPr="001C21CA">
        <w:rPr>
          <w:rFonts w:ascii="Palatino Linotype" w:eastAsia="Palatino Linotype" w:hAnsi="Palatino Linotype" w:cs="Palatino Linotype"/>
          <w:color w:val="000000"/>
        </w:rPr>
        <w:t xml:space="preserve">Modalidad de entrega: </w:t>
      </w:r>
      <w:r w:rsidRPr="001C21CA">
        <w:rPr>
          <w:rFonts w:ascii="Palatino Linotype" w:eastAsia="Palatino Linotype" w:hAnsi="Palatino Linotype" w:cs="Palatino Linotype"/>
          <w:b/>
          <w:color w:val="000000"/>
        </w:rPr>
        <w:t>A través del SAIMEX</w:t>
      </w:r>
      <w:r w:rsidRPr="001C21CA">
        <w:rPr>
          <w:rFonts w:ascii="Palatino Linotype" w:eastAsia="Palatino Linotype" w:hAnsi="Palatino Linotype" w:cs="Palatino Linotype"/>
          <w:color w:val="000000"/>
        </w:rPr>
        <w:t>.</w:t>
      </w: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keepNext/>
        <w:keepLines/>
        <w:spacing w:line="360" w:lineRule="auto"/>
        <w:jc w:val="both"/>
        <w:rPr>
          <w:rFonts w:ascii="Palatino Linotype" w:eastAsia="Palatino Linotype" w:hAnsi="Palatino Linotype" w:cs="Palatino Linotype"/>
          <w:b/>
          <w:color w:val="000000"/>
          <w:sz w:val="26"/>
          <w:szCs w:val="26"/>
        </w:rPr>
      </w:pPr>
      <w:r w:rsidRPr="001C21CA">
        <w:rPr>
          <w:rFonts w:ascii="Palatino Linotype" w:eastAsia="Palatino Linotype" w:hAnsi="Palatino Linotype" w:cs="Palatino Linotype"/>
          <w:b/>
          <w:color w:val="000000"/>
          <w:sz w:val="26"/>
          <w:szCs w:val="26"/>
        </w:rPr>
        <w:t>SEGUNDO. De la Prórroga y la Respuesta del Sujeto Obligado.</w:t>
      </w:r>
    </w:p>
    <w:p w:rsidR="00887FF3" w:rsidRPr="001C21CA" w:rsidRDefault="00887FF3" w:rsidP="00887FF3">
      <w:pP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 xml:space="preserve">De las constancias que obran en el expediente electrónico, se observa que el tres de junio de dos mil veintiséis, el Sujeto Obligado emitió una prórroga a efecto de dar respuesta al ejercicio del derecho de acceso a la información de la Recurrente por lo que el Sujeto Obligado sin embargo no pasa por desapercibido por este Instituto que </w:t>
      </w:r>
      <w:r w:rsidRPr="001C21CA">
        <w:rPr>
          <w:rFonts w:ascii="Palatino Linotype" w:eastAsia="Palatino Linotype" w:hAnsi="Palatino Linotype" w:cs="Palatino Linotype"/>
          <w:b/>
          <w:color w:val="000000"/>
        </w:rPr>
        <w:t xml:space="preserve">NO CUMPLE </w:t>
      </w:r>
      <w:r w:rsidRPr="001C21CA">
        <w:rPr>
          <w:rFonts w:ascii="Palatino Linotype" w:eastAsia="Palatino Linotype" w:hAnsi="Palatino Linotype" w:cs="Palatino Linotype"/>
          <w:color w:val="000000"/>
        </w:rPr>
        <w:t xml:space="preserve"> con los requeriditos establecidos por  la Ley de Transparencia Local.</w:t>
      </w: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spacing w:line="360" w:lineRule="auto"/>
        <w:jc w:val="both"/>
        <w:rPr>
          <w:rFonts w:ascii="Palatino Linotype" w:hAnsi="Palatino Linotype" w:cs="Arial"/>
          <w:b/>
          <w:bCs/>
          <w:i/>
        </w:rPr>
      </w:pPr>
      <w:r w:rsidRPr="001C21CA">
        <w:rPr>
          <w:rFonts w:ascii="Palatino Linotype" w:eastAsia="Palatino Linotype" w:hAnsi="Palatino Linotype" w:cs="Palatino Linotype"/>
          <w:color w:val="000000"/>
        </w:rPr>
        <w:t>De las constancias que obran en el expediente electrónico, se observa que el catorce de junio de dos mil veintiséis, el Sujeto Obligado dio respuesta a la solicitud de información, adjuntando a su respuesta el documento denominado “</w:t>
      </w:r>
      <w:r w:rsidRPr="001C21CA">
        <w:rPr>
          <w:rFonts w:ascii="Palatino Linotype" w:hAnsi="Palatino Linotype" w:cs="Arial"/>
          <w:b/>
          <w:bCs/>
          <w:i/>
        </w:rPr>
        <w:t>RESPUESTA 621.pdf”</w:t>
      </w:r>
      <w:r w:rsidRPr="001C21CA">
        <w:rPr>
          <w:rFonts w:ascii="Palatino Linotype" w:eastAsia="Palatino Linotype" w:hAnsi="Palatino Linotype" w:cs="Palatino Linotype"/>
          <w:color w:val="000000"/>
        </w:rPr>
        <w:t>, el cual no se reproduce por ser del conocimiento de las partes; no obstante, su contenido será motivo de análisis en el estudio correspondiente.</w:t>
      </w:r>
    </w:p>
    <w:p w:rsidR="00887FF3" w:rsidRPr="001C21CA" w:rsidRDefault="00887FF3" w:rsidP="00887FF3">
      <w:pPr>
        <w:spacing w:line="360" w:lineRule="auto"/>
        <w:jc w:val="both"/>
        <w:rPr>
          <w:rFonts w:ascii="Palatino Linotype" w:eastAsia="Palatino Linotype" w:hAnsi="Palatino Linotype" w:cs="Palatino Linotype"/>
        </w:rPr>
      </w:pPr>
    </w:p>
    <w:p w:rsidR="00887FF3" w:rsidRPr="001C21CA" w:rsidRDefault="00887FF3" w:rsidP="00887FF3">
      <w:pPr>
        <w:keepNext/>
        <w:keepLines/>
        <w:spacing w:line="360" w:lineRule="auto"/>
        <w:jc w:val="both"/>
        <w:rPr>
          <w:rFonts w:ascii="Palatino Linotype" w:eastAsia="Palatino Linotype" w:hAnsi="Palatino Linotype" w:cs="Palatino Linotype"/>
          <w:b/>
          <w:color w:val="000000"/>
          <w:sz w:val="26"/>
          <w:szCs w:val="26"/>
        </w:rPr>
      </w:pPr>
      <w:r w:rsidRPr="001C21CA">
        <w:rPr>
          <w:rFonts w:ascii="Palatino Linotype" w:eastAsia="Palatino Linotype" w:hAnsi="Palatino Linotype" w:cs="Palatino Linotype"/>
          <w:b/>
          <w:color w:val="000000"/>
          <w:sz w:val="26"/>
          <w:szCs w:val="26"/>
        </w:rPr>
        <w:t>TERCERO. Del recurso de revisión.</w:t>
      </w:r>
    </w:p>
    <w:p w:rsidR="00887FF3" w:rsidRPr="001C21CA" w:rsidRDefault="00887FF3" w:rsidP="00887FF3">
      <w:pP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 xml:space="preserve">Inconforme con la respuesta emitida por el Sujeto Obligado, el Recurrente interpuso el presente recurso de revisión el día </w:t>
      </w:r>
      <w:r w:rsidRPr="001C21CA">
        <w:rPr>
          <w:rFonts w:ascii="Palatino Linotype" w:eastAsia="Palatino Linotype" w:hAnsi="Palatino Linotype" w:cs="Palatino Linotype"/>
          <w:b/>
          <w:color w:val="000000"/>
        </w:rPr>
        <w:t>veintidós de junio de dos mil veintiséis</w:t>
      </w:r>
      <w:r w:rsidRPr="001C21CA">
        <w:rPr>
          <w:rFonts w:ascii="Palatino Linotype" w:eastAsia="Palatino Linotype" w:hAnsi="Palatino Linotype" w:cs="Palatino Linotype"/>
          <w:color w:val="000000"/>
        </w:rPr>
        <w:t xml:space="preserve">, el cual se </w:t>
      </w:r>
      <w:r w:rsidRPr="001C21CA">
        <w:rPr>
          <w:rFonts w:ascii="Palatino Linotype" w:eastAsia="Palatino Linotype" w:hAnsi="Palatino Linotype" w:cs="Palatino Linotype"/>
          <w:color w:val="000000"/>
        </w:rPr>
        <w:lastRenderedPageBreak/>
        <w:t xml:space="preserve">registró con el expediente número </w:t>
      </w:r>
      <w:r w:rsidRPr="001C21CA">
        <w:rPr>
          <w:rFonts w:ascii="Palatino Linotype" w:eastAsia="Palatino Linotype" w:hAnsi="Palatino Linotype" w:cs="Palatino Linotype"/>
          <w:b/>
          <w:color w:val="000000"/>
        </w:rPr>
        <w:t>006600/INFOEM/IP/RR/2026</w:t>
      </w:r>
      <w:r w:rsidRPr="001C21CA">
        <w:rPr>
          <w:rFonts w:ascii="Palatino Linotype" w:eastAsia="Palatino Linotype" w:hAnsi="Palatino Linotype" w:cs="Palatino Linotype"/>
          <w:color w:val="000000"/>
        </w:rPr>
        <w:t>, manifestando lo siguiente:</w:t>
      </w:r>
    </w:p>
    <w:p w:rsidR="00887FF3" w:rsidRPr="001C21CA" w:rsidRDefault="00887FF3" w:rsidP="00887FF3">
      <w:pPr>
        <w:ind w:left="567" w:right="567"/>
        <w:jc w:val="both"/>
        <w:rPr>
          <w:rFonts w:ascii="Palatino Linotype" w:eastAsia="Palatino Linotype" w:hAnsi="Palatino Linotype" w:cs="Palatino Linotype"/>
          <w:b/>
        </w:rPr>
      </w:pPr>
      <w:r w:rsidRPr="001C21CA">
        <w:rPr>
          <w:rFonts w:ascii="Palatino Linotype" w:eastAsia="Palatino Linotype" w:hAnsi="Palatino Linotype" w:cs="Palatino Linotype"/>
          <w:b/>
        </w:rPr>
        <w:t xml:space="preserve">Acto Impugnado </w:t>
      </w:r>
    </w:p>
    <w:p w:rsidR="00887FF3" w:rsidRPr="001C21CA" w:rsidRDefault="00887FF3" w:rsidP="00887FF3">
      <w:pPr>
        <w:ind w:left="567"/>
        <w:jc w:val="both"/>
        <w:rPr>
          <w:rFonts w:ascii="Palatino Linotype" w:hAnsi="Palatino Linotype"/>
          <w:i/>
        </w:rPr>
      </w:pPr>
      <w:r w:rsidRPr="001C21CA">
        <w:rPr>
          <w:rFonts w:ascii="Palatino Linotype" w:eastAsia="Palatino Linotype" w:hAnsi="Palatino Linotype" w:cs="Palatino Linotype"/>
          <w:i/>
          <w:color w:val="000000"/>
        </w:rPr>
        <w:t>“</w:t>
      </w:r>
      <w:r w:rsidRPr="001C21CA">
        <w:rPr>
          <w:rFonts w:ascii="Palatino Linotype" w:hAnsi="Palatino Linotype"/>
          <w:i/>
          <w:color w:val="000000"/>
        </w:rPr>
        <w:t>Se impugna la respuesta emitida por la Unidad de Transparencia del Ayuntamiento de Juchitepec, correspondiente a la solicitud de información con folio 00621/JUCHITE/IP/2026, mediante la cual se determinó que la información solicitada únicamente sería proporcionada previo pago de $2,059.03 por concepto de copias simples. La respuesta modifica injustificadamente la modalidad de entrega solicitada, ya que desde el escrito inicial se requirió expresamente que la información fuera proporcionada en formato electrónico (PDF, XML, CFDI o cualquier otro formato digital existente), a través de la Plataforma SAIMEX, sin que el sujeto obligado acreditara la inexistencia de dichos archivos electrónicos o justificara técnica y jurídicamente la imposibilidad de entregarlos en esa modalidad</w:t>
      </w:r>
      <w:r w:rsidRPr="001C21CA">
        <w:rPr>
          <w:rFonts w:ascii="Palatino Linotype" w:eastAsia="Palatino Linotype" w:hAnsi="Palatino Linotype" w:cs="Palatino Linotype"/>
          <w:i/>
          <w:color w:val="000000"/>
        </w:rPr>
        <w:t>.”(Sic)</w:t>
      </w:r>
    </w:p>
    <w:p w:rsidR="00887FF3" w:rsidRPr="001C21CA" w:rsidRDefault="00887FF3" w:rsidP="00887FF3">
      <w:pPr>
        <w:ind w:left="567" w:right="567"/>
        <w:jc w:val="both"/>
        <w:rPr>
          <w:rFonts w:ascii="Palatino Linotype" w:eastAsia="Palatino Linotype" w:hAnsi="Palatino Linotype" w:cs="Palatino Linotype"/>
          <w:b/>
        </w:rPr>
      </w:pPr>
    </w:p>
    <w:p w:rsidR="00887FF3" w:rsidRPr="001C21CA" w:rsidRDefault="00887FF3" w:rsidP="00887FF3">
      <w:pPr>
        <w:ind w:left="567" w:right="567"/>
        <w:jc w:val="both"/>
        <w:rPr>
          <w:rFonts w:ascii="Palatino Linotype" w:eastAsia="Palatino Linotype" w:hAnsi="Palatino Linotype" w:cs="Palatino Linotype"/>
          <w:b/>
        </w:rPr>
      </w:pPr>
      <w:r w:rsidRPr="001C21CA">
        <w:rPr>
          <w:rFonts w:ascii="Palatino Linotype" w:eastAsia="Palatino Linotype" w:hAnsi="Palatino Linotype" w:cs="Palatino Linotype"/>
          <w:b/>
        </w:rPr>
        <w:t>Razones o Motivos de Inconformidad</w:t>
      </w:r>
    </w:p>
    <w:p w:rsidR="00887FF3" w:rsidRPr="001C21CA" w:rsidRDefault="00887FF3" w:rsidP="00887FF3">
      <w:pPr>
        <w:ind w:left="567" w:right="567"/>
        <w:jc w:val="both"/>
        <w:rPr>
          <w:rFonts w:ascii="Palatino Linotype" w:eastAsia="Palatino Linotype" w:hAnsi="Palatino Linotype" w:cs="Palatino Linotype"/>
          <w:b/>
        </w:rPr>
      </w:pPr>
    </w:p>
    <w:p w:rsidR="00887FF3" w:rsidRPr="001C21CA" w:rsidRDefault="00887FF3" w:rsidP="00887FF3">
      <w:pPr>
        <w:ind w:left="567" w:right="567"/>
        <w:jc w:val="both"/>
        <w:rPr>
          <w:rFonts w:ascii="Palatino Linotype" w:hAnsi="Palatino Linotype"/>
          <w:i/>
          <w:color w:val="000000"/>
        </w:rPr>
      </w:pPr>
      <w:r w:rsidRPr="001C21CA">
        <w:rPr>
          <w:rFonts w:ascii="Palatino Linotype" w:eastAsia="Palatino Linotype" w:hAnsi="Palatino Linotype" w:cs="Palatino Linotype"/>
          <w:i/>
          <w:color w:val="000000"/>
        </w:rPr>
        <w:t>“</w:t>
      </w:r>
      <w:r w:rsidRPr="001C21CA">
        <w:rPr>
          <w:rFonts w:ascii="Palatino Linotype" w:hAnsi="Palatino Linotype"/>
          <w:i/>
          <w:color w:val="000000"/>
        </w:rPr>
        <w:t xml:space="preserve">La respuesta emitida por el sujeto obligado vulnera mi derecho humano de acceso a la información pública por las siguientes razones: Primero. El sujeto obligado incumplió con el principio de máxima publicidad al negar la entrega de la información en el formato electrónico solicitado, sin fundar ni motivar las razones que justificaran el cambio de modalidad. Segundo. Desde la presentación de la solicitud señalé expresamente que la información debía entregarse en formato electrónico (PDF, XML, CFDI o cualquier otro formato digital existente), privilegiando únicamente el testado de los datos personales considerados confidenciales. Tercero. Los recibos de nómina corresponden a documentos que ordinariamente son generados mediante sistemas electrónicos de administración de personal y timbrado fiscal, por lo que resulta razonable que existan en archivos digitales. El sujeto obligado no acreditó que dichos documentos únicamente obren en formato físico ni que exista imposibilidad material o técnica para su reproducción electrónica. Cuarto. La imposición del pago por copias simples constituye una restricción indebida al derecho de acceso a la información, pues dicho costo deriva de una modalidad distinta a la solicitada por la suscrita y no de la reproducción de la información en el formato requerido. Quinto. La respuesta carece de una debida fundamentación y motivación respecto de la necesidad de cambiar la modalidad de entrega, incumpliendo con los principios de legalidad, certeza, máxima publicidad y gratuidad que rigen el derecho de acceso a la información pública. El presente recurso de revisión se interpone porque la respuesta emitida por el sujeto </w:t>
      </w:r>
      <w:r w:rsidRPr="001C21CA">
        <w:rPr>
          <w:rFonts w:ascii="Palatino Linotype" w:hAnsi="Palatino Linotype"/>
          <w:i/>
          <w:color w:val="000000"/>
        </w:rPr>
        <w:lastRenderedPageBreak/>
        <w:t>obligado actualiza la causal consistente en la entrega de la información en una modalidad distinta a la solicitada, así como la restricción injustificada del acceso a la información pública, al imponer el pago de copias simples sin acreditar la imposibilidad de proporcionar la información en el formato electrónico requerido. En consecuencia, solicito que el Instituto de Transparencia, Acceso a la Información Pública y Protección de Datos Personales del Estado de México y Municipios (INFOEM) revoque la respuesta impugnada y ordene al Ayuntamiento de Juchitepec entregar la información solicitada en versión pública y en formato electrónico, testando únicamente los datos clasificados como confidenciales conforme a la legislación aplicable.</w:t>
      </w:r>
      <w:r w:rsidRPr="001C21CA">
        <w:rPr>
          <w:rFonts w:ascii="Palatino Linotype" w:eastAsia="Palatino Linotype" w:hAnsi="Palatino Linotype" w:cs="Palatino Linotype"/>
          <w:i/>
          <w:color w:val="000000"/>
        </w:rPr>
        <w:t>”  (Sic)</w:t>
      </w:r>
      <w:r w:rsidRPr="001C21CA">
        <w:rPr>
          <w:rFonts w:ascii="Palatino Linotype" w:eastAsia="Palatino Linotype" w:hAnsi="Palatino Linotype" w:cs="Palatino Linotype"/>
          <w:b/>
        </w:rPr>
        <w:t xml:space="preserve"> </w:t>
      </w:r>
    </w:p>
    <w:p w:rsidR="00887FF3" w:rsidRPr="001C21CA" w:rsidRDefault="00887FF3" w:rsidP="00887FF3">
      <w:pPr>
        <w:ind w:right="567"/>
        <w:jc w:val="both"/>
        <w:rPr>
          <w:rFonts w:ascii="Palatino Linotype" w:eastAsia="Palatino Linotype" w:hAnsi="Palatino Linotype" w:cs="Palatino Linotype"/>
          <w:b/>
          <w:i/>
          <w:color w:val="000000"/>
        </w:rPr>
      </w:pPr>
    </w:p>
    <w:p w:rsidR="00887FF3" w:rsidRPr="001C21CA" w:rsidRDefault="00887FF3" w:rsidP="00887FF3">
      <w:pPr>
        <w:keepNext/>
        <w:keepLines/>
        <w:spacing w:line="360" w:lineRule="auto"/>
        <w:jc w:val="both"/>
        <w:rPr>
          <w:rFonts w:ascii="Palatino Linotype" w:eastAsia="Palatino Linotype" w:hAnsi="Palatino Linotype" w:cs="Palatino Linotype"/>
          <w:color w:val="000000"/>
        </w:rPr>
      </w:pPr>
    </w:p>
    <w:p w:rsidR="00887FF3" w:rsidRPr="001C21CA" w:rsidRDefault="00887FF3" w:rsidP="00887FF3">
      <w:pPr>
        <w:keepNext/>
        <w:keepLines/>
        <w:spacing w:line="360" w:lineRule="auto"/>
        <w:jc w:val="both"/>
        <w:rPr>
          <w:rFonts w:ascii="Palatino Linotype" w:eastAsia="Palatino Linotype" w:hAnsi="Palatino Linotype" w:cs="Palatino Linotype"/>
          <w:b/>
          <w:color w:val="000000"/>
          <w:sz w:val="26"/>
          <w:szCs w:val="26"/>
        </w:rPr>
      </w:pPr>
      <w:r w:rsidRPr="001C21CA">
        <w:rPr>
          <w:rFonts w:ascii="Palatino Linotype" w:eastAsia="Palatino Linotype" w:hAnsi="Palatino Linotype" w:cs="Palatino Linotype"/>
          <w:b/>
          <w:color w:val="000000"/>
          <w:sz w:val="26"/>
          <w:szCs w:val="26"/>
        </w:rPr>
        <w:t>CUARTO. Del turno y admisión del recurso de revisión.</w:t>
      </w:r>
    </w:p>
    <w:p w:rsidR="00887FF3" w:rsidRPr="001C21CA" w:rsidRDefault="00887FF3" w:rsidP="00887FF3">
      <w:pP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 xml:space="preserve">Medio de impugnación que le fue turnado al </w:t>
      </w:r>
      <w:r w:rsidRPr="001C21CA">
        <w:rPr>
          <w:rFonts w:ascii="Palatino Linotype" w:eastAsia="Palatino Linotype" w:hAnsi="Palatino Linotype" w:cs="Palatino Linotype"/>
          <w:b/>
          <w:color w:val="000000"/>
        </w:rPr>
        <w:t>Comisionado Presidente José Martínez Vilchis</w:t>
      </w:r>
      <w:r w:rsidRPr="001C21CA">
        <w:rPr>
          <w:rFonts w:ascii="Palatino Linotype" w:eastAsia="Palatino Linotype" w:hAnsi="Palatino Linotype" w:cs="Palatino Linotype"/>
          <w:color w:val="000000"/>
        </w:rPr>
        <w:t>, por medio del sistema electrónico en términos del numeral 185 fracción I de la Ley de Transparencia y Acceso a la información Pública del Estado de México y Municipios, al cual recayó acuerdo de admisión de fecha</w:t>
      </w:r>
      <w:r w:rsidRPr="001C21CA">
        <w:rPr>
          <w:rFonts w:ascii="Palatino Linotype" w:eastAsia="Palatino Linotype" w:hAnsi="Palatino Linotype" w:cs="Palatino Linotype"/>
          <w:b/>
          <w:color w:val="000000"/>
        </w:rPr>
        <w:t xml:space="preserve"> veinticinco de junio de dos mil veintiséis</w:t>
      </w:r>
      <w:r w:rsidRPr="001C21CA">
        <w:rPr>
          <w:rFonts w:ascii="Palatino Linotype" w:eastAsia="Palatino Linotype" w:hAnsi="Palatino Linotype" w:cs="Palatino Linotype"/>
          <w:color w:val="000000"/>
        </w:rPr>
        <w:t xml:space="preserve">, </w:t>
      </w:r>
      <w:r w:rsidRPr="001C21CA">
        <w:rPr>
          <w:rFonts w:ascii="Palatino Linotype" w:eastAsia="Palatino Linotype" w:hAnsi="Palatino Linotype" w:cs="Palatino Linotype"/>
        </w:rPr>
        <w:t>otorgándose</w:t>
      </w:r>
      <w:r w:rsidRPr="001C21CA">
        <w:rPr>
          <w:rFonts w:ascii="Palatino Linotype" w:eastAsia="Palatino Linotype" w:hAnsi="Palatino Linotype" w:cs="Palatino Linotype"/>
          <w:color w:val="000000"/>
        </w:rPr>
        <w:t xml:space="preserve"> en él un plazo de siete días para que las partes manifestaran lo que a su derecho corresponda en términos del numeral ya citado.</w:t>
      </w: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keepNext/>
        <w:keepLines/>
        <w:spacing w:line="360" w:lineRule="auto"/>
        <w:jc w:val="both"/>
        <w:rPr>
          <w:rFonts w:ascii="Palatino Linotype" w:eastAsia="Palatino Linotype" w:hAnsi="Palatino Linotype" w:cs="Palatino Linotype"/>
          <w:b/>
          <w:color w:val="000000"/>
          <w:sz w:val="26"/>
          <w:szCs w:val="26"/>
        </w:rPr>
      </w:pPr>
      <w:r w:rsidRPr="001C21CA">
        <w:rPr>
          <w:rFonts w:ascii="Palatino Linotype" w:eastAsia="Palatino Linotype" w:hAnsi="Palatino Linotype" w:cs="Palatino Linotype"/>
          <w:b/>
          <w:color w:val="000000"/>
          <w:sz w:val="26"/>
          <w:szCs w:val="26"/>
        </w:rPr>
        <w:t>QUINTO. De la etapa de instrucción.</w:t>
      </w:r>
    </w:p>
    <w:p w:rsidR="00887FF3" w:rsidRPr="001C21CA" w:rsidRDefault="00887FF3" w:rsidP="00887FF3">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color w:val="000000"/>
        </w:rPr>
        <w:t xml:space="preserve">Una vez abierta la etapa de instrucción, el Sujeto Obligado </w:t>
      </w:r>
      <w:r w:rsidRPr="001C21CA">
        <w:rPr>
          <w:rFonts w:ascii="Palatino Linotype" w:eastAsia="Palatino Linotype" w:hAnsi="Palatino Linotype" w:cs="Palatino Linotype"/>
          <w:b/>
          <w:color w:val="000000"/>
        </w:rPr>
        <w:t xml:space="preserve">fue omiso en rendir </w:t>
      </w:r>
      <w:r w:rsidRPr="001C21CA">
        <w:rPr>
          <w:rFonts w:ascii="Palatino Linotype" w:eastAsia="Palatino Linotype" w:hAnsi="Palatino Linotype" w:cs="Palatino Linotype"/>
          <w:color w:val="000000"/>
        </w:rPr>
        <w:t xml:space="preserve">su informe justificado. Por su parte, el Recurrente no realizó manifestaciones, vertió alegatos ni presentó pruebas que a su derecho convinieran. </w:t>
      </w: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keepNext/>
        <w:keepLines/>
        <w:spacing w:line="360" w:lineRule="auto"/>
        <w:jc w:val="both"/>
        <w:rPr>
          <w:rFonts w:ascii="Palatino Linotype" w:eastAsia="Palatino Linotype" w:hAnsi="Palatino Linotype" w:cs="Palatino Linotype"/>
          <w:b/>
          <w:color w:val="000000"/>
          <w:sz w:val="26"/>
          <w:szCs w:val="26"/>
        </w:rPr>
      </w:pPr>
      <w:r w:rsidRPr="001C21CA">
        <w:rPr>
          <w:rFonts w:ascii="Palatino Linotype" w:eastAsia="Palatino Linotype" w:hAnsi="Palatino Linotype" w:cs="Palatino Linotype"/>
          <w:b/>
          <w:color w:val="000000"/>
          <w:sz w:val="26"/>
          <w:szCs w:val="26"/>
        </w:rPr>
        <w:lastRenderedPageBreak/>
        <w:t>SEXTO. Del cierre de instrucción.</w:t>
      </w:r>
    </w:p>
    <w:p w:rsidR="00887FF3" w:rsidRPr="001C21CA" w:rsidRDefault="00887FF3" w:rsidP="00887FF3">
      <w:pP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Así, una vez transcurrido el término legal, se decretó el cierre de instrucción en fecha</w:t>
      </w:r>
      <w:r w:rsidRPr="001C21CA">
        <w:rPr>
          <w:rFonts w:ascii="Palatino Linotype" w:eastAsia="Palatino Linotype" w:hAnsi="Palatino Linotype" w:cs="Palatino Linotype"/>
          <w:b/>
          <w:color w:val="000000"/>
        </w:rPr>
        <w:t xml:space="preserve"> seis de agosto de dos mil veintiséis</w:t>
      </w:r>
      <w:r w:rsidRPr="001C21CA">
        <w:rPr>
          <w:rFonts w:ascii="Palatino Linotype" w:eastAsia="Palatino Linotype" w:hAnsi="Palatino Linotype" w:cs="Palatino Linotype"/>
          <w:color w:val="000000"/>
        </w:rPr>
        <w:t>, en términos del artículo 185 fracción VI de la Ley de Transparencia y Acceso a la Información Pública del Estado de México y Municipios, iniciando el término legal para dictar resolución definitiva del asunto.</w:t>
      </w: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spacing w:line="360" w:lineRule="auto"/>
        <w:jc w:val="both"/>
        <w:rPr>
          <w:rFonts w:ascii="Palatino Linotype" w:eastAsia="Palatino Linotype" w:hAnsi="Palatino Linotype" w:cs="Palatino Linotype"/>
        </w:rPr>
      </w:pPr>
    </w:p>
    <w:p w:rsidR="00887FF3" w:rsidRPr="001C21CA" w:rsidRDefault="00887FF3" w:rsidP="00887FF3">
      <w:pPr>
        <w:keepNext/>
        <w:keepLines/>
        <w:spacing w:line="360" w:lineRule="auto"/>
        <w:jc w:val="center"/>
        <w:rPr>
          <w:rFonts w:ascii="Palatino Linotype" w:eastAsia="Palatino Linotype" w:hAnsi="Palatino Linotype" w:cs="Palatino Linotype"/>
          <w:b/>
          <w:color w:val="000000"/>
          <w:sz w:val="28"/>
          <w:szCs w:val="28"/>
        </w:rPr>
      </w:pPr>
      <w:r w:rsidRPr="001C21CA">
        <w:rPr>
          <w:rFonts w:ascii="Palatino Linotype" w:eastAsia="Palatino Linotype" w:hAnsi="Palatino Linotype" w:cs="Palatino Linotype"/>
          <w:b/>
          <w:color w:val="000000"/>
          <w:sz w:val="28"/>
          <w:szCs w:val="28"/>
        </w:rPr>
        <w:t>C O N S I D E R A N D O</w:t>
      </w:r>
    </w:p>
    <w:p w:rsidR="00887FF3" w:rsidRPr="001C21CA" w:rsidRDefault="00887FF3" w:rsidP="00887FF3">
      <w:pPr>
        <w:keepNext/>
        <w:keepLines/>
        <w:spacing w:line="360" w:lineRule="auto"/>
        <w:jc w:val="center"/>
        <w:rPr>
          <w:rFonts w:ascii="Palatino Linotype" w:eastAsia="Palatino Linotype" w:hAnsi="Palatino Linotype" w:cs="Palatino Linotype"/>
          <w:b/>
          <w:color w:val="000000"/>
          <w:sz w:val="28"/>
          <w:szCs w:val="28"/>
        </w:rPr>
      </w:pPr>
    </w:p>
    <w:p w:rsidR="00887FF3" w:rsidRPr="001C21CA" w:rsidRDefault="00887FF3" w:rsidP="00887FF3">
      <w:pPr>
        <w:keepNext/>
        <w:keepLines/>
        <w:spacing w:line="360" w:lineRule="auto"/>
        <w:jc w:val="center"/>
        <w:rPr>
          <w:rFonts w:ascii="Palatino Linotype" w:eastAsia="Palatino Linotype" w:hAnsi="Palatino Linotype" w:cs="Palatino Linotype"/>
          <w:b/>
          <w:color w:val="000000"/>
          <w:sz w:val="28"/>
          <w:szCs w:val="28"/>
        </w:rPr>
      </w:pP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keepNext/>
        <w:keepLines/>
        <w:spacing w:line="360" w:lineRule="auto"/>
        <w:jc w:val="both"/>
        <w:rPr>
          <w:rFonts w:ascii="Palatino Linotype" w:eastAsia="Palatino Linotype" w:hAnsi="Palatino Linotype" w:cs="Palatino Linotype"/>
          <w:b/>
          <w:color w:val="000000"/>
          <w:sz w:val="26"/>
          <w:szCs w:val="26"/>
        </w:rPr>
      </w:pPr>
      <w:r w:rsidRPr="001C21CA">
        <w:rPr>
          <w:rFonts w:ascii="Palatino Linotype" w:eastAsia="Palatino Linotype" w:hAnsi="Palatino Linotype" w:cs="Palatino Linotype"/>
          <w:b/>
          <w:color w:val="000000"/>
          <w:sz w:val="26"/>
          <w:szCs w:val="26"/>
        </w:rPr>
        <w:t>PRIMERO. De la competencia.</w:t>
      </w:r>
    </w:p>
    <w:p w:rsidR="00887FF3" w:rsidRPr="001C21CA" w:rsidRDefault="00887FF3" w:rsidP="00887FF3">
      <w:pPr>
        <w:tabs>
          <w:tab w:val="left" w:pos="3402"/>
        </w:tabs>
        <w:spacing w:line="360" w:lineRule="auto"/>
        <w:jc w:val="both"/>
        <w:rPr>
          <w:rFonts w:ascii="Palatino Linotype" w:hAnsi="Palatino Linotype"/>
        </w:rPr>
      </w:pPr>
      <w:r w:rsidRPr="001C21CA">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w:t>
      </w:r>
      <w:r w:rsidRPr="001C21CA">
        <w:rPr>
          <w:rFonts w:ascii="Palatino Linotype" w:hAnsi="Palatino Linotype"/>
        </w:rPr>
        <w:lastRenderedPageBreak/>
        <w:t>11 y 14, fracción I del Reglamento Interior del Instituto de Transparencia, Acceso a la Información Pública y Protección de Datos Personales del Estado de México y Municipios.</w:t>
      </w: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keepNext/>
        <w:keepLines/>
        <w:spacing w:line="360" w:lineRule="auto"/>
        <w:jc w:val="both"/>
        <w:rPr>
          <w:rFonts w:ascii="Palatino Linotype" w:eastAsia="Palatino Linotype" w:hAnsi="Palatino Linotype" w:cs="Palatino Linotype"/>
          <w:b/>
          <w:color w:val="000000"/>
          <w:sz w:val="26"/>
          <w:szCs w:val="26"/>
        </w:rPr>
      </w:pPr>
      <w:r w:rsidRPr="001C21CA">
        <w:rPr>
          <w:rFonts w:ascii="Palatino Linotype" w:eastAsia="Palatino Linotype" w:hAnsi="Palatino Linotype" w:cs="Palatino Linotype"/>
          <w:b/>
          <w:color w:val="000000"/>
          <w:sz w:val="26"/>
          <w:szCs w:val="26"/>
        </w:rPr>
        <w:t xml:space="preserve">SEGUNDO. Sobre los alcances del recurso de revisión. </w:t>
      </w:r>
    </w:p>
    <w:p w:rsidR="00887FF3" w:rsidRPr="001C21CA" w:rsidRDefault="00887FF3" w:rsidP="00887FF3">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887FF3" w:rsidRPr="001C21CA" w:rsidRDefault="00887FF3" w:rsidP="00887FF3">
      <w:pPr>
        <w:spacing w:line="360" w:lineRule="auto"/>
        <w:jc w:val="both"/>
        <w:rPr>
          <w:rFonts w:ascii="Palatino Linotype" w:eastAsia="Palatino Linotype" w:hAnsi="Palatino Linotype" w:cs="Palatino Linotype"/>
        </w:rPr>
      </w:pPr>
    </w:p>
    <w:p w:rsidR="00887FF3" w:rsidRPr="001C21CA" w:rsidRDefault="00887FF3" w:rsidP="00887FF3">
      <w:pPr>
        <w:autoSpaceDE w:val="0"/>
        <w:autoSpaceDN w:val="0"/>
        <w:adjustRightInd w:val="0"/>
        <w:spacing w:before="240"/>
        <w:rPr>
          <w:rFonts w:ascii="Palatino Linotype" w:hAnsi="Palatino Linotype" w:cs="Arial"/>
          <w:b/>
        </w:rPr>
      </w:pPr>
      <w:r w:rsidRPr="001C21CA">
        <w:rPr>
          <w:rFonts w:ascii="Palatino Linotype" w:eastAsia="Palatino Linotype" w:hAnsi="Palatino Linotype" w:cs="Palatino Linotype"/>
          <w:b/>
          <w:color w:val="000000"/>
          <w:sz w:val="26"/>
          <w:szCs w:val="26"/>
        </w:rPr>
        <w:t xml:space="preserve">TERCERO. </w:t>
      </w:r>
      <w:r w:rsidRPr="001C21CA">
        <w:rPr>
          <w:rFonts w:ascii="Palatino Linotype" w:hAnsi="Palatino Linotype" w:cs="Arial"/>
          <w:b/>
          <w:sz w:val="28"/>
          <w:szCs w:val="28"/>
        </w:rPr>
        <w:t>Cuestiones de previo y especial pronunciamiento</w:t>
      </w:r>
    </w:p>
    <w:p w:rsidR="00887FF3" w:rsidRPr="001C21CA" w:rsidRDefault="00887FF3" w:rsidP="00887FF3">
      <w:pPr>
        <w:autoSpaceDE w:val="0"/>
        <w:autoSpaceDN w:val="0"/>
        <w:adjustRightInd w:val="0"/>
        <w:spacing w:before="240" w:line="360" w:lineRule="auto"/>
        <w:jc w:val="both"/>
        <w:rPr>
          <w:rFonts w:ascii="Palatino Linotype" w:hAnsi="Palatino Linotype"/>
        </w:rPr>
      </w:pPr>
      <w:r w:rsidRPr="001C21CA">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rsidR="00887FF3" w:rsidRPr="001C21CA" w:rsidRDefault="00887FF3" w:rsidP="00887FF3">
      <w:pPr>
        <w:autoSpaceDE w:val="0"/>
        <w:autoSpaceDN w:val="0"/>
        <w:adjustRightInd w:val="0"/>
        <w:spacing w:before="240" w:line="360" w:lineRule="auto"/>
        <w:ind w:left="360" w:firstLine="348"/>
        <w:jc w:val="both"/>
        <w:rPr>
          <w:rFonts w:ascii="Palatino Linotype" w:hAnsi="Palatino Linotype"/>
          <w:i/>
          <w:sz w:val="22"/>
          <w:szCs w:val="22"/>
        </w:rPr>
      </w:pPr>
      <w:r w:rsidRPr="001C21CA">
        <w:rPr>
          <w:rFonts w:ascii="Palatino Linotype" w:hAnsi="Palatino Linotype"/>
          <w:i/>
          <w:sz w:val="22"/>
          <w:szCs w:val="22"/>
        </w:rPr>
        <w:t>“Artículo 180. El recurso de revisión contendrá:</w:t>
      </w:r>
    </w:p>
    <w:p w:rsidR="00887FF3" w:rsidRPr="001C21CA" w:rsidRDefault="00887FF3" w:rsidP="00887FF3">
      <w:pPr>
        <w:numPr>
          <w:ilvl w:val="0"/>
          <w:numId w:val="2"/>
        </w:numPr>
        <w:autoSpaceDE w:val="0"/>
        <w:autoSpaceDN w:val="0"/>
        <w:adjustRightInd w:val="0"/>
        <w:spacing w:before="240" w:line="360" w:lineRule="auto"/>
        <w:jc w:val="both"/>
        <w:rPr>
          <w:rFonts w:ascii="Palatino Linotype" w:hAnsi="Palatino Linotype"/>
          <w:i/>
          <w:sz w:val="22"/>
          <w:szCs w:val="22"/>
        </w:rPr>
      </w:pPr>
      <w:r w:rsidRPr="001C21CA">
        <w:rPr>
          <w:rFonts w:ascii="Palatino Linotype" w:hAnsi="Palatino Linotype"/>
          <w:i/>
          <w:sz w:val="22"/>
          <w:szCs w:val="22"/>
        </w:rPr>
        <w:t>EL sujeto obligado ante la cual se presentó la solicitud;</w:t>
      </w:r>
    </w:p>
    <w:p w:rsidR="00887FF3" w:rsidRPr="001C21CA" w:rsidRDefault="00887FF3" w:rsidP="00887FF3">
      <w:pPr>
        <w:numPr>
          <w:ilvl w:val="0"/>
          <w:numId w:val="2"/>
        </w:numPr>
        <w:autoSpaceDE w:val="0"/>
        <w:autoSpaceDN w:val="0"/>
        <w:adjustRightInd w:val="0"/>
        <w:spacing w:before="240" w:line="360" w:lineRule="auto"/>
        <w:jc w:val="both"/>
        <w:rPr>
          <w:rFonts w:ascii="Palatino Linotype" w:hAnsi="Palatino Linotype"/>
          <w:i/>
          <w:sz w:val="22"/>
          <w:szCs w:val="22"/>
        </w:rPr>
      </w:pPr>
      <w:r w:rsidRPr="001C21CA">
        <w:rPr>
          <w:rFonts w:ascii="Palatino Linotype" w:hAnsi="Palatino Linotype"/>
          <w:i/>
          <w:sz w:val="22"/>
          <w:szCs w:val="22"/>
        </w:rPr>
        <w:t>El nombre del solicitante que recurre o de su representante y, en su caso, del tercero interesado, así como la dirección o medio que señale para recibir notificaciones;</w:t>
      </w:r>
    </w:p>
    <w:p w:rsidR="00887FF3" w:rsidRPr="001C21CA" w:rsidRDefault="00887FF3" w:rsidP="00887FF3">
      <w:pPr>
        <w:numPr>
          <w:ilvl w:val="0"/>
          <w:numId w:val="2"/>
        </w:numPr>
        <w:autoSpaceDE w:val="0"/>
        <w:autoSpaceDN w:val="0"/>
        <w:adjustRightInd w:val="0"/>
        <w:spacing w:before="240" w:line="360" w:lineRule="auto"/>
        <w:jc w:val="both"/>
        <w:rPr>
          <w:rFonts w:ascii="Palatino Linotype" w:hAnsi="Palatino Linotype"/>
          <w:i/>
          <w:sz w:val="22"/>
          <w:szCs w:val="22"/>
        </w:rPr>
      </w:pPr>
      <w:r w:rsidRPr="001C21CA">
        <w:rPr>
          <w:rFonts w:ascii="Palatino Linotype" w:hAnsi="Palatino Linotype"/>
          <w:i/>
          <w:sz w:val="22"/>
          <w:szCs w:val="22"/>
        </w:rPr>
        <w:lastRenderedPageBreak/>
        <w:t>El número de folio de respuesta de la solicitud de acceso;</w:t>
      </w:r>
    </w:p>
    <w:p w:rsidR="00887FF3" w:rsidRPr="001C21CA" w:rsidRDefault="00887FF3" w:rsidP="00887FF3">
      <w:pPr>
        <w:autoSpaceDE w:val="0"/>
        <w:autoSpaceDN w:val="0"/>
        <w:adjustRightInd w:val="0"/>
        <w:spacing w:before="240" w:line="360" w:lineRule="auto"/>
        <w:ind w:left="1080"/>
        <w:jc w:val="both"/>
        <w:rPr>
          <w:rFonts w:ascii="Palatino Linotype" w:hAnsi="Palatino Linotype"/>
          <w:i/>
          <w:sz w:val="22"/>
          <w:szCs w:val="22"/>
        </w:rPr>
      </w:pPr>
      <w:r w:rsidRPr="001C21CA">
        <w:rPr>
          <w:rFonts w:ascii="Palatino Linotype" w:hAnsi="Palatino Linotype"/>
          <w:i/>
          <w:sz w:val="22"/>
          <w:szCs w:val="22"/>
        </w:rPr>
        <w:t>IV. La fecha en que fue notificada la respuesta al solicitante o tuvo conocimiento del acto reclamado, o de presentación de la solicitud, en caso de falta de respuesta;</w:t>
      </w:r>
    </w:p>
    <w:p w:rsidR="00887FF3" w:rsidRPr="001C21CA" w:rsidRDefault="00887FF3" w:rsidP="00887FF3">
      <w:pPr>
        <w:autoSpaceDE w:val="0"/>
        <w:autoSpaceDN w:val="0"/>
        <w:adjustRightInd w:val="0"/>
        <w:spacing w:before="240" w:line="360" w:lineRule="auto"/>
        <w:ind w:left="732" w:firstLine="348"/>
        <w:jc w:val="both"/>
        <w:rPr>
          <w:rFonts w:ascii="Palatino Linotype" w:hAnsi="Palatino Linotype"/>
          <w:i/>
          <w:sz w:val="22"/>
          <w:szCs w:val="22"/>
        </w:rPr>
      </w:pPr>
      <w:r w:rsidRPr="001C21CA">
        <w:rPr>
          <w:rFonts w:ascii="Palatino Linotype" w:hAnsi="Palatino Linotype"/>
          <w:i/>
          <w:sz w:val="22"/>
          <w:szCs w:val="22"/>
        </w:rPr>
        <w:t>V. El acto que se recurre;</w:t>
      </w:r>
    </w:p>
    <w:p w:rsidR="00887FF3" w:rsidRPr="001C21CA" w:rsidRDefault="00887FF3" w:rsidP="00887FF3">
      <w:pPr>
        <w:autoSpaceDE w:val="0"/>
        <w:autoSpaceDN w:val="0"/>
        <w:adjustRightInd w:val="0"/>
        <w:spacing w:before="240" w:line="360" w:lineRule="auto"/>
        <w:ind w:left="732" w:firstLine="348"/>
        <w:jc w:val="both"/>
        <w:rPr>
          <w:rFonts w:ascii="Palatino Linotype" w:hAnsi="Palatino Linotype"/>
          <w:i/>
          <w:sz w:val="22"/>
          <w:szCs w:val="22"/>
        </w:rPr>
      </w:pPr>
      <w:r w:rsidRPr="001C21CA">
        <w:rPr>
          <w:rFonts w:ascii="Palatino Linotype" w:hAnsi="Palatino Linotype"/>
          <w:i/>
          <w:sz w:val="22"/>
          <w:szCs w:val="22"/>
        </w:rPr>
        <w:t>VI. Las razones o motivos de inconformidad;</w:t>
      </w:r>
    </w:p>
    <w:p w:rsidR="00887FF3" w:rsidRPr="001C21CA" w:rsidRDefault="00887FF3" w:rsidP="00887FF3">
      <w:pPr>
        <w:autoSpaceDE w:val="0"/>
        <w:autoSpaceDN w:val="0"/>
        <w:adjustRightInd w:val="0"/>
        <w:spacing w:before="240" w:line="360" w:lineRule="auto"/>
        <w:ind w:left="1080"/>
        <w:jc w:val="both"/>
        <w:rPr>
          <w:rFonts w:ascii="Palatino Linotype" w:hAnsi="Palatino Linotype"/>
          <w:i/>
          <w:sz w:val="22"/>
          <w:szCs w:val="22"/>
        </w:rPr>
      </w:pPr>
      <w:r w:rsidRPr="001C21CA">
        <w:rPr>
          <w:rFonts w:ascii="Palatino Linotype" w:hAnsi="Palatino Linotype"/>
          <w:i/>
          <w:sz w:val="22"/>
          <w:szCs w:val="22"/>
        </w:rPr>
        <w:t>VII. La copia de la respuesta que se impugna y, en su caso, de la notificación correspondiente, en el caso de respuesta de la solicitud; y</w:t>
      </w:r>
    </w:p>
    <w:p w:rsidR="00887FF3" w:rsidRPr="001C21CA" w:rsidRDefault="00887FF3" w:rsidP="00887FF3">
      <w:pPr>
        <w:autoSpaceDE w:val="0"/>
        <w:autoSpaceDN w:val="0"/>
        <w:adjustRightInd w:val="0"/>
        <w:spacing w:before="240" w:line="360" w:lineRule="auto"/>
        <w:ind w:left="732" w:firstLine="348"/>
        <w:jc w:val="both"/>
        <w:rPr>
          <w:rFonts w:ascii="Palatino Linotype" w:hAnsi="Palatino Linotype"/>
          <w:i/>
          <w:sz w:val="22"/>
          <w:szCs w:val="22"/>
        </w:rPr>
      </w:pPr>
      <w:r w:rsidRPr="001C21CA">
        <w:rPr>
          <w:rFonts w:ascii="Palatino Linotype" w:hAnsi="Palatino Linotype"/>
          <w:i/>
          <w:sz w:val="22"/>
          <w:szCs w:val="22"/>
        </w:rPr>
        <w:t>VIII. Firma del recurrente, en su caso, cuando se presente por escrito, requisito sin el cual se dará trámite al recurso.</w:t>
      </w:r>
    </w:p>
    <w:p w:rsidR="00887FF3" w:rsidRPr="001C21CA" w:rsidRDefault="00887FF3" w:rsidP="00887FF3">
      <w:pPr>
        <w:autoSpaceDE w:val="0"/>
        <w:autoSpaceDN w:val="0"/>
        <w:adjustRightInd w:val="0"/>
        <w:spacing w:before="240" w:line="360" w:lineRule="auto"/>
        <w:ind w:left="1080"/>
        <w:jc w:val="both"/>
        <w:rPr>
          <w:rFonts w:ascii="Palatino Linotype" w:hAnsi="Palatino Linotype"/>
          <w:i/>
          <w:sz w:val="22"/>
          <w:szCs w:val="22"/>
        </w:rPr>
      </w:pPr>
      <w:r w:rsidRPr="001C21CA">
        <w:rPr>
          <w:rFonts w:ascii="Palatino Linotype" w:hAnsi="Palatino Linotype"/>
          <w:i/>
          <w:sz w:val="22"/>
          <w:szCs w:val="22"/>
        </w:rPr>
        <w:t>Adicionalmente, se podrán anexar las pruebas y demás elementos que considere procedentes someter a juicio del Instituto.</w:t>
      </w:r>
    </w:p>
    <w:p w:rsidR="00887FF3" w:rsidRPr="001C21CA" w:rsidRDefault="00887FF3" w:rsidP="00887FF3">
      <w:pPr>
        <w:autoSpaceDE w:val="0"/>
        <w:autoSpaceDN w:val="0"/>
        <w:adjustRightInd w:val="0"/>
        <w:spacing w:before="240" w:line="360" w:lineRule="auto"/>
        <w:ind w:left="732" w:firstLine="348"/>
        <w:jc w:val="both"/>
        <w:rPr>
          <w:rFonts w:ascii="Palatino Linotype" w:hAnsi="Palatino Linotype"/>
          <w:i/>
          <w:sz w:val="22"/>
          <w:szCs w:val="22"/>
        </w:rPr>
      </w:pPr>
      <w:r w:rsidRPr="001C21CA">
        <w:rPr>
          <w:rFonts w:ascii="Palatino Linotype" w:hAnsi="Palatino Linotype"/>
          <w:i/>
          <w:sz w:val="22"/>
          <w:szCs w:val="22"/>
        </w:rPr>
        <w:t>En ningún caso será necesario que el particular ratifique el recurso de revisión interpuesto.</w:t>
      </w:r>
    </w:p>
    <w:p w:rsidR="00887FF3" w:rsidRPr="001C21CA" w:rsidRDefault="00887FF3" w:rsidP="00887FF3">
      <w:pPr>
        <w:autoSpaceDE w:val="0"/>
        <w:autoSpaceDN w:val="0"/>
        <w:adjustRightInd w:val="0"/>
        <w:spacing w:before="240" w:line="360" w:lineRule="auto"/>
        <w:ind w:left="1080"/>
        <w:jc w:val="both"/>
        <w:rPr>
          <w:rFonts w:ascii="Palatino Linotype" w:hAnsi="Palatino Linotype"/>
          <w:b/>
          <w:i/>
          <w:sz w:val="22"/>
          <w:szCs w:val="22"/>
          <w:u w:val="single"/>
        </w:rPr>
      </w:pPr>
      <w:r w:rsidRPr="001C21CA">
        <w:rPr>
          <w:rFonts w:ascii="Palatino Linotype" w:hAnsi="Palatino Linotype"/>
          <w:b/>
          <w:i/>
          <w:sz w:val="22"/>
          <w:szCs w:val="22"/>
          <w:u w:val="single"/>
        </w:rPr>
        <w:t>En caso de que el recurso se interponga de manera electrónica no será indispensable que contengan los requisitos establecidos en las fracciones II, IV, VII y VIII.” [Sic]</w:t>
      </w:r>
    </w:p>
    <w:p w:rsidR="00887FF3" w:rsidRPr="001C21CA" w:rsidRDefault="00887FF3" w:rsidP="00887FF3">
      <w:pPr>
        <w:autoSpaceDE w:val="0"/>
        <w:autoSpaceDN w:val="0"/>
        <w:adjustRightInd w:val="0"/>
        <w:spacing w:before="240" w:line="360" w:lineRule="auto"/>
        <w:ind w:left="1080"/>
        <w:jc w:val="both"/>
        <w:rPr>
          <w:rFonts w:ascii="Palatino Linotype" w:hAnsi="Palatino Linotype"/>
          <w:b/>
          <w:i/>
          <w:u w:val="single"/>
        </w:rPr>
      </w:pPr>
    </w:p>
    <w:p w:rsidR="00887FF3" w:rsidRPr="001C21CA" w:rsidRDefault="00887FF3" w:rsidP="00887FF3">
      <w:pPr>
        <w:spacing w:line="360" w:lineRule="auto"/>
        <w:jc w:val="both"/>
        <w:rPr>
          <w:rFonts w:ascii="Palatino Linotype" w:hAnsi="Palatino Linotype" w:cs="Arial"/>
        </w:rPr>
      </w:pPr>
      <w:r w:rsidRPr="001C21CA">
        <w:rPr>
          <w:rFonts w:ascii="Palatino Linotype" w:hAnsi="Palatino Linotype" w:cs="Segoe UI"/>
        </w:rPr>
        <w:t xml:space="preserve">Cabe señalar que </w:t>
      </w:r>
      <w:r w:rsidRPr="001C21CA">
        <w:rPr>
          <w:rFonts w:ascii="Palatino Linotype" w:hAnsi="Palatino Linotype" w:cs="Segoe UI"/>
          <w:b/>
        </w:rPr>
        <w:t>El Recurrente</w:t>
      </w:r>
      <w:r w:rsidRPr="001C21CA">
        <w:rPr>
          <w:rFonts w:ascii="Palatino Linotype" w:hAnsi="Palatino Linotype" w:cs="Segoe UI"/>
        </w:rPr>
        <w:t xml:space="preserve"> </w:t>
      </w:r>
      <w:r w:rsidRPr="001C21CA">
        <w:rPr>
          <w:rFonts w:ascii="Palatino Linotype" w:hAnsi="Palatino Linotype" w:cs="Segoe UI"/>
          <w:u w:val="single"/>
        </w:rPr>
        <w:t>ejerció su derecho mediante su nombre sin embargo de haberlo ejercido de manera anónima</w:t>
      </w:r>
      <w:r w:rsidRPr="001C21CA">
        <w:rPr>
          <w:rFonts w:ascii="Palatino Linotype" w:hAnsi="Palatino Linotype"/>
        </w:rPr>
        <w:t xml:space="preserve">, no es motivo para desechar las </w:t>
      </w:r>
      <w:r w:rsidRPr="001C21CA">
        <w:rPr>
          <w:rFonts w:ascii="Palatino Linotype" w:hAnsi="Palatino Linotype" w:cs="Arial"/>
        </w:rPr>
        <w:t>solicitudes de acceso a la información pública conforme a lo previsto en el artículo 155, penúltimo párrafo de la Ley de Transparencia y Acceso a la Información Pública del Estado de México y Municipios que señala lo siguiente:</w:t>
      </w:r>
    </w:p>
    <w:p w:rsidR="00887FF3" w:rsidRPr="001C21CA" w:rsidRDefault="00887FF3" w:rsidP="00887FF3">
      <w:pPr>
        <w:spacing w:before="240" w:line="360" w:lineRule="auto"/>
        <w:ind w:left="851" w:right="851"/>
        <w:jc w:val="both"/>
        <w:rPr>
          <w:rFonts w:ascii="Palatino Linotype" w:hAnsi="Palatino Linotype" w:cs="Arial"/>
          <w:b/>
          <w:i/>
          <w:sz w:val="22"/>
          <w:szCs w:val="22"/>
        </w:rPr>
      </w:pPr>
      <w:r w:rsidRPr="001C21CA">
        <w:rPr>
          <w:rFonts w:ascii="Palatino Linotype" w:hAnsi="Palatino Linotype" w:cs="Arial"/>
          <w:i/>
          <w:sz w:val="22"/>
          <w:szCs w:val="22"/>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1C21CA">
        <w:rPr>
          <w:rFonts w:ascii="Palatino Linotype" w:hAnsi="Palatino Linotype" w:cs="Arial"/>
          <w:b/>
          <w:i/>
          <w:sz w:val="22"/>
          <w:szCs w:val="22"/>
        </w:rPr>
        <w:t>[Sic]</w:t>
      </w:r>
    </w:p>
    <w:p w:rsidR="00887FF3" w:rsidRPr="001C21CA" w:rsidRDefault="00887FF3" w:rsidP="00887FF3">
      <w:pPr>
        <w:spacing w:before="240" w:line="360" w:lineRule="auto"/>
        <w:ind w:left="851" w:right="851"/>
        <w:jc w:val="both"/>
        <w:rPr>
          <w:rFonts w:ascii="Palatino Linotype" w:hAnsi="Palatino Linotype" w:cs="Arial"/>
          <w:b/>
          <w:i/>
        </w:rPr>
      </w:pPr>
    </w:p>
    <w:p w:rsidR="00887FF3" w:rsidRPr="001C21CA" w:rsidRDefault="00887FF3" w:rsidP="00887FF3">
      <w:pPr>
        <w:spacing w:line="360" w:lineRule="auto"/>
        <w:jc w:val="both"/>
        <w:rPr>
          <w:rFonts w:ascii="Palatino Linotype" w:hAnsi="Palatino Linotype"/>
        </w:rPr>
      </w:pPr>
      <w:r w:rsidRPr="001C21CA">
        <w:rPr>
          <w:rFonts w:ascii="Palatino Linotype" w:hAnsi="Palatino Linotype"/>
        </w:rPr>
        <w:t xml:space="preserve">Robustece lo anterior se encuentra lo dispuesto en el artículo 5 párrafos </w:t>
      </w:r>
      <w:r w:rsidRPr="001C21CA">
        <w:rPr>
          <w:rFonts w:ascii="Palatino Linotype" w:hAnsi="Palatino Linotype" w:cs="Arial"/>
        </w:rPr>
        <w:t>vigésimo, vigésimo primero y vigésimo segundo</w:t>
      </w:r>
      <w:r w:rsidRPr="001C21CA">
        <w:rPr>
          <w:rFonts w:ascii="Palatino Linotype" w:hAnsi="Palatino Linotype"/>
        </w:rPr>
        <w:t>, de la Constitución Política del Estado Libre y Soberano de México, se establece lo siguiente:</w:t>
      </w:r>
    </w:p>
    <w:p w:rsidR="00887FF3" w:rsidRPr="001C21CA" w:rsidRDefault="00887FF3" w:rsidP="00887FF3">
      <w:pPr>
        <w:spacing w:before="240" w:line="360" w:lineRule="auto"/>
        <w:ind w:left="851" w:right="851"/>
        <w:jc w:val="both"/>
        <w:rPr>
          <w:rFonts w:ascii="Palatino Linotype" w:hAnsi="Palatino Linotype"/>
          <w:b/>
          <w:i/>
          <w:sz w:val="22"/>
          <w:szCs w:val="22"/>
          <w:u w:val="single"/>
        </w:rPr>
      </w:pPr>
      <w:r w:rsidRPr="001C21CA">
        <w:rPr>
          <w:rFonts w:ascii="Palatino Linotype" w:hAnsi="Palatino Linotype"/>
          <w:b/>
          <w:i/>
          <w:sz w:val="22"/>
          <w:szCs w:val="22"/>
          <w:u w:val="single"/>
        </w:rPr>
        <w:t>Constitución Política del Estado Libre y Soberano de México</w:t>
      </w:r>
    </w:p>
    <w:p w:rsidR="00887FF3" w:rsidRPr="001C21CA" w:rsidRDefault="00887FF3" w:rsidP="00887FF3">
      <w:pPr>
        <w:spacing w:before="240" w:line="360" w:lineRule="auto"/>
        <w:ind w:left="851" w:right="851"/>
        <w:jc w:val="both"/>
        <w:rPr>
          <w:rFonts w:ascii="Palatino Linotype" w:hAnsi="Palatino Linotype"/>
          <w:i/>
          <w:sz w:val="22"/>
          <w:szCs w:val="22"/>
        </w:rPr>
      </w:pPr>
      <w:r w:rsidRPr="001C21CA">
        <w:rPr>
          <w:rFonts w:ascii="Palatino Linotype" w:hAnsi="Palatino Linotype"/>
          <w:i/>
          <w:sz w:val="22"/>
          <w:szCs w:val="22"/>
        </w:rPr>
        <w:t>“</w:t>
      </w:r>
      <w:r w:rsidRPr="001C21CA">
        <w:rPr>
          <w:rFonts w:ascii="Palatino Linotype" w:hAnsi="Palatino Linotype"/>
          <w:b/>
          <w:i/>
          <w:sz w:val="22"/>
          <w:szCs w:val="22"/>
        </w:rPr>
        <w:t>Artículo 5</w:t>
      </w:r>
      <w:r w:rsidRPr="001C21CA">
        <w:rPr>
          <w:rFonts w:ascii="Palatino Linotype" w:hAnsi="Palatino Linotype"/>
          <w:i/>
          <w:sz w:val="22"/>
          <w:szCs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887FF3" w:rsidRPr="001C21CA" w:rsidRDefault="00887FF3" w:rsidP="00887FF3">
      <w:pPr>
        <w:spacing w:before="240" w:line="360" w:lineRule="auto"/>
        <w:ind w:left="851" w:right="851"/>
        <w:jc w:val="both"/>
        <w:rPr>
          <w:rFonts w:ascii="Palatino Linotype" w:hAnsi="Palatino Linotype"/>
          <w:i/>
          <w:sz w:val="22"/>
          <w:szCs w:val="22"/>
        </w:rPr>
      </w:pPr>
      <w:r w:rsidRPr="001C21CA">
        <w:rPr>
          <w:rFonts w:ascii="Palatino Linotype" w:hAnsi="Palatino Linotype"/>
          <w:i/>
          <w:sz w:val="22"/>
          <w:szCs w:val="22"/>
        </w:rPr>
        <w:t>(…)</w:t>
      </w:r>
    </w:p>
    <w:p w:rsidR="00887FF3" w:rsidRPr="001C21CA" w:rsidRDefault="00887FF3" w:rsidP="00887FF3">
      <w:pPr>
        <w:spacing w:before="240" w:line="360" w:lineRule="auto"/>
        <w:ind w:left="851" w:right="851"/>
        <w:jc w:val="both"/>
        <w:rPr>
          <w:rFonts w:ascii="Palatino Linotype" w:hAnsi="Palatino Linotype"/>
          <w:b/>
          <w:i/>
          <w:sz w:val="22"/>
          <w:szCs w:val="22"/>
        </w:rPr>
      </w:pPr>
      <w:r w:rsidRPr="001C21CA">
        <w:rPr>
          <w:rFonts w:ascii="Palatino Linotype" w:hAnsi="Palatino Linotype"/>
          <w:i/>
          <w:sz w:val="22"/>
          <w:szCs w:val="22"/>
        </w:rPr>
        <w:t xml:space="preserve">transparencia, acceso a la información pública y a la protección de datos personales en posesión de los sujetos obligados en los términos que establezca la ley. (…)” </w:t>
      </w:r>
      <w:r w:rsidRPr="001C21CA">
        <w:rPr>
          <w:rFonts w:ascii="Palatino Linotype" w:hAnsi="Palatino Linotype"/>
          <w:b/>
          <w:i/>
          <w:sz w:val="22"/>
          <w:szCs w:val="22"/>
        </w:rPr>
        <w:t>[Sic]</w:t>
      </w:r>
    </w:p>
    <w:p w:rsidR="00887FF3" w:rsidRPr="001C21CA" w:rsidRDefault="00887FF3" w:rsidP="00887FF3">
      <w:pPr>
        <w:autoSpaceDE w:val="0"/>
        <w:autoSpaceDN w:val="0"/>
        <w:adjustRightInd w:val="0"/>
        <w:spacing w:before="240" w:line="360" w:lineRule="auto"/>
        <w:jc w:val="both"/>
        <w:rPr>
          <w:rFonts w:ascii="Palatino Linotype" w:hAnsi="Palatino Linotype"/>
          <w:sz w:val="22"/>
          <w:szCs w:val="22"/>
        </w:rPr>
      </w:pPr>
    </w:p>
    <w:p w:rsidR="00887FF3" w:rsidRPr="001C21CA" w:rsidRDefault="00887FF3" w:rsidP="00887FF3">
      <w:pPr>
        <w:autoSpaceDE w:val="0"/>
        <w:autoSpaceDN w:val="0"/>
        <w:adjustRightInd w:val="0"/>
        <w:spacing w:before="240" w:line="360" w:lineRule="auto"/>
        <w:jc w:val="both"/>
        <w:rPr>
          <w:rFonts w:ascii="Palatino Linotype" w:hAnsi="Palatino Linotype" w:cs="Arial"/>
        </w:rPr>
      </w:pPr>
      <w:r w:rsidRPr="001C21CA">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w:t>
      </w:r>
      <w:r w:rsidRPr="001C21CA">
        <w:rPr>
          <w:rFonts w:ascii="Palatino Linotype" w:hAnsi="Palatino Linotype"/>
        </w:rPr>
        <w:lastRenderedPageBreak/>
        <w:t xml:space="preserve">legitimación en la causa o su interés en el asunto, lo que permite la posibilidad de que, </w:t>
      </w:r>
      <w:r w:rsidRPr="001C21CA">
        <w:rPr>
          <w:rFonts w:ascii="Palatino Linotype" w:hAnsi="Palatino Linotype"/>
          <w:b/>
          <w:u w:val="single"/>
        </w:rPr>
        <w:t>incluso, la solicitud de acceso a la información pueda ser anónima</w:t>
      </w:r>
      <w:r w:rsidRPr="001C21CA">
        <w:rPr>
          <w:rFonts w:ascii="Palatino Linotype" w:hAnsi="Palatino Linotype"/>
        </w:rPr>
        <w:t xml:space="preserve"> o no contener un nombre que identifique al solicitante o que permita tener certeza sobre su identidad. </w:t>
      </w:r>
      <w:r w:rsidRPr="001C21CA">
        <w:rPr>
          <w:rFonts w:ascii="Palatino Linotype" w:hAnsi="Palatino Linotype" w:cs="Arial"/>
        </w:rPr>
        <w:t>En conclusión, se cubrieron los requisitos de procedencia y procedibilidad y conforme a las constancias que obran en el expediente.</w:t>
      </w:r>
    </w:p>
    <w:p w:rsidR="00887FF3" w:rsidRPr="001C21CA" w:rsidRDefault="00887FF3" w:rsidP="00887FF3">
      <w:pPr>
        <w:autoSpaceDE w:val="0"/>
        <w:autoSpaceDN w:val="0"/>
        <w:adjustRightInd w:val="0"/>
        <w:spacing w:before="240" w:line="360" w:lineRule="auto"/>
        <w:jc w:val="both"/>
        <w:rPr>
          <w:rFonts w:cs="Arial"/>
          <w:b/>
        </w:rPr>
      </w:pPr>
    </w:p>
    <w:p w:rsidR="00887FF3" w:rsidRPr="001C21CA" w:rsidRDefault="00887FF3" w:rsidP="00887FF3">
      <w:pPr>
        <w:keepNext/>
        <w:keepLines/>
        <w:spacing w:line="360" w:lineRule="auto"/>
        <w:jc w:val="both"/>
        <w:outlineLvl w:val="1"/>
        <w:rPr>
          <w:rFonts w:ascii="Palatino Linotype" w:hAnsi="Palatino Linotype"/>
          <w:b/>
          <w:color w:val="000000" w:themeColor="text1"/>
          <w:sz w:val="26"/>
          <w:szCs w:val="26"/>
          <w:lang w:val="es-ES_tradnl"/>
        </w:rPr>
      </w:pPr>
      <w:r w:rsidRPr="001C21CA">
        <w:rPr>
          <w:rFonts w:ascii="Palatino Linotype" w:hAnsi="Palatino Linotype"/>
          <w:b/>
          <w:color w:val="000000" w:themeColor="text1"/>
          <w:sz w:val="26"/>
          <w:szCs w:val="26"/>
          <w:lang w:val="es-ES_tradnl"/>
        </w:rPr>
        <w:t>CUARTO. De las causas de improcedencia.</w:t>
      </w:r>
    </w:p>
    <w:p w:rsidR="00887FF3" w:rsidRPr="001C21CA" w:rsidRDefault="00887FF3" w:rsidP="00887FF3">
      <w:pPr>
        <w:spacing w:line="360" w:lineRule="auto"/>
        <w:contextualSpacing/>
        <w:jc w:val="both"/>
        <w:rPr>
          <w:rFonts w:ascii="Palatino Linotype" w:hAnsi="Palatino Linotype" w:cs="Palatino Linotype"/>
          <w:color w:val="000000"/>
          <w:lang w:val="es-ES_tradnl"/>
        </w:rPr>
      </w:pPr>
      <w:r w:rsidRPr="001C21CA">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887FF3" w:rsidRPr="001C21CA" w:rsidRDefault="00887FF3" w:rsidP="00887FF3">
      <w:pPr>
        <w:spacing w:line="360" w:lineRule="auto"/>
        <w:contextualSpacing/>
        <w:jc w:val="both"/>
        <w:rPr>
          <w:rFonts w:ascii="Palatino Linotype" w:hAnsi="Palatino Linotype" w:cs="Palatino Linotype"/>
          <w:color w:val="000000"/>
          <w:lang w:val="es-ES_tradnl"/>
        </w:rPr>
      </w:pPr>
    </w:p>
    <w:p w:rsidR="00887FF3" w:rsidRPr="001C21CA" w:rsidRDefault="00887FF3" w:rsidP="00887FF3">
      <w:pPr>
        <w:spacing w:line="360" w:lineRule="auto"/>
        <w:contextualSpacing/>
        <w:jc w:val="both"/>
        <w:rPr>
          <w:rFonts w:ascii="Palatino Linotype" w:hAnsi="Palatino Linotype" w:cs="Palatino Linotype"/>
          <w:color w:val="000000"/>
          <w:lang w:val="es-ES_tradnl"/>
        </w:rPr>
      </w:pPr>
      <w:r w:rsidRPr="001C21CA">
        <w:rPr>
          <w:rFonts w:ascii="Palatino Linotype" w:hAnsi="Palatino Linotype" w:cs="Palatino Linotype"/>
          <w:color w:val="000000"/>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1C21CA">
        <w:rPr>
          <w:rFonts w:ascii="Palatino Linotype" w:hAnsi="Palatino Linotype" w:cs="Palatino Linotype"/>
          <w:color w:val="000000"/>
          <w:vertAlign w:val="superscript"/>
          <w:lang w:val="es-ES_tradnl"/>
        </w:rPr>
        <w:footnoteReference w:id="1"/>
      </w:r>
      <w:r w:rsidRPr="001C21CA">
        <w:rPr>
          <w:rFonts w:ascii="Palatino Linotype" w:hAnsi="Palatino Linotype" w:cs="Palatino Linotype"/>
          <w:color w:val="000000"/>
          <w:lang w:val="es-ES_tradnl"/>
        </w:rPr>
        <w:t xml:space="preserve">, la cual permite dilucidar alguna </w:t>
      </w:r>
      <w:r w:rsidRPr="001C21CA">
        <w:rPr>
          <w:rFonts w:ascii="Palatino Linotype" w:hAnsi="Palatino Linotype" w:cs="Palatino Linotype"/>
          <w:color w:val="000000"/>
          <w:lang w:val="es-ES_tradnl"/>
        </w:rPr>
        <w:lastRenderedPageBreak/>
        <w:t>causal que impida el estudio y resolución, cuando una vez admitido el recurso de revisión se advierta una causa de improcedencia que permita sobreseerlo, sin estudiar el fondo del asunto.</w:t>
      </w:r>
    </w:p>
    <w:p w:rsidR="00887FF3" w:rsidRPr="001C21CA" w:rsidRDefault="00887FF3" w:rsidP="00887FF3">
      <w:pPr>
        <w:spacing w:line="360" w:lineRule="auto"/>
        <w:contextualSpacing/>
        <w:jc w:val="both"/>
        <w:rPr>
          <w:rFonts w:ascii="Palatino Linotype" w:hAnsi="Palatino Linotype" w:cs="Palatino Linotype"/>
          <w:color w:val="000000"/>
          <w:lang w:val="es-ES_tradnl"/>
        </w:rPr>
      </w:pPr>
    </w:p>
    <w:p w:rsidR="00887FF3" w:rsidRPr="001C21CA" w:rsidRDefault="00887FF3" w:rsidP="00887FF3">
      <w:pPr>
        <w:spacing w:line="360" w:lineRule="auto"/>
        <w:contextualSpacing/>
        <w:jc w:val="both"/>
        <w:rPr>
          <w:rFonts w:ascii="Palatino Linotype" w:hAnsi="Palatino Linotype" w:cs="Palatino Linotype"/>
          <w:color w:val="000000"/>
          <w:lang w:val="es-ES_tradnl"/>
        </w:rPr>
      </w:pPr>
      <w:r w:rsidRPr="001C21CA">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rsidR="00887FF3" w:rsidRPr="001C21CA" w:rsidRDefault="00887FF3" w:rsidP="00887FF3">
      <w:pPr>
        <w:spacing w:line="360" w:lineRule="auto"/>
        <w:jc w:val="both"/>
        <w:rPr>
          <w:rFonts w:ascii="Palatino Linotype" w:eastAsia="Palatino Linotype" w:hAnsi="Palatino Linotype" w:cs="Palatino Linotype"/>
        </w:rPr>
      </w:pPr>
    </w:p>
    <w:p w:rsidR="00887FF3" w:rsidRPr="001C21CA" w:rsidRDefault="00887FF3" w:rsidP="00887FF3">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b/>
          <w:sz w:val="28"/>
          <w:szCs w:val="28"/>
        </w:rPr>
        <w:t>QUIN</w:t>
      </w:r>
      <w:r w:rsidRPr="001C21CA">
        <w:rPr>
          <w:rFonts w:ascii="Palatino Linotype" w:eastAsia="Palatino Linotype" w:hAnsi="Palatino Linotype" w:cs="Palatino Linotype"/>
          <w:b/>
          <w:color w:val="000000"/>
          <w:sz w:val="28"/>
          <w:szCs w:val="28"/>
        </w:rPr>
        <w:t>TO. Estudio y resolución del asunto</w:t>
      </w:r>
    </w:p>
    <w:p w:rsidR="00887FF3" w:rsidRPr="001C21CA" w:rsidRDefault="00887FF3" w:rsidP="00887FF3">
      <w:pP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w:t>
      </w:r>
      <w:r w:rsidRPr="001C21CA">
        <w:rPr>
          <w:rFonts w:ascii="Palatino Linotype" w:eastAsia="Palatino Linotype" w:hAnsi="Palatino Linotype" w:cs="Palatino Linotype"/>
          <w:color w:val="000000"/>
        </w:rPr>
        <w:lastRenderedPageBreak/>
        <w:t>demás leyes aplicables en la materia, así como en los tratados internacionales en los que el Estado Mexicano sea parte, en concordancia con el párrafo tercero del artículo 1 de la Constitución Federal y el diverso 8 de la Ley de Transparencia local.</w:t>
      </w:r>
    </w:p>
    <w:p w:rsidR="00887FF3" w:rsidRPr="001C21CA" w:rsidRDefault="00887FF3" w:rsidP="00887FF3">
      <w:pPr>
        <w:spacing w:line="360" w:lineRule="auto"/>
        <w:jc w:val="both"/>
        <w:rPr>
          <w:rFonts w:ascii="Palatino Linotype" w:eastAsia="Palatino Linotype" w:hAnsi="Palatino Linotype" w:cs="Palatino Linotype"/>
          <w:color w:val="000000"/>
        </w:rPr>
      </w:pPr>
    </w:p>
    <w:p w:rsidR="00887FF3" w:rsidRPr="001C21CA" w:rsidRDefault="00887FF3" w:rsidP="00887FF3">
      <w:pP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Por tanto, es conveniente recordar que el hoy Recurrente requirió del Sujeto Obligado, de la actual administración, lo siguiente:</w:t>
      </w:r>
    </w:p>
    <w:p w:rsidR="00887FF3" w:rsidRPr="001C21CA" w:rsidRDefault="00887FF3" w:rsidP="00887FF3">
      <w:pPr>
        <w:pBdr>
          <w:top w:val="nil"/>
          <w:left w:val="nil"/>
          <w:bottom w:val="nil"/>
          <w:right w:val="nil"/>
          <w:between w:val="nil"/>
        </w:pBdr>
        <w:spacing w:line="360" w:lineRule="auto"/>
        <w:jc w:val="both"/>
        <w:rPr>
          <w:rFonts w:ascii="Verdana" w:hAnsi="Verdana"/>
          <w:color w:val="000000"/>
          <w:sz w:val="14"/>
          <w:szCs w:val="14"/>
        </w:rPr>
      </w:pPr>
    </w:p>
    <w:p w:rsidR="00887FF3" w:rsidRPr="001C21CA" w:rsidRDefault="008743BC" w:rsidP="00887FF3">
      <w:pPr>
        <w:pStyle w:val="Prrafodelista"/>
        <w:numPr>
          <w:ilvl w:val="0"/>
          <w:numId w:val="1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21CA">
        <w:rPr>
          <w:rFonts w:ascii="Palatino Linotype" w:hAnsi="Palatino Linotype"/>
          <w:color w:val="000000"/>
        </w:rPr>
        <w:t>R</w:t>
      </w:r>
      <w:r w:rsidR="00887FF3" w:rsidRPr="001C21CA">
        <w:rPr>
          <w:rFonts w:ascii="Palatino Linotype" w:hAnsi="Palatino Linotype"/>
          <w:color w:val="000000"/>
        </w:rPr>
        <w:t>ecibos de nómina de todo el personal adscrito a la Administración Pública de abril de 2026 a</w:t>
      </w:r>
      <w:r w:rsidRPr="001C21CA">
        <w:rPr>
          <w:rFonts w:ascii="Palatino Linotype" w:hAnsi="Palatino Linotype"/>
          <w:color w:val="000000"/>
        </w:rPr>
        <w:t>l trece de mayo de dos mil veintiséis</w:t>
      </w:r>
      <w:r w:rsidR="00887FF3" w:rsidRPr="001C21CA">
        <w:rPr>
          <w:rFonts w:ascii="Palatino Linotype" w:hAnsi="Palatino Linotype"/>
          <w:color w:val="000000"/>
        </w:rPr>
        <w:t xml:space="preserve">. </w:t>
      </w: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 xml:space="preserve">Por lo que atento a la solicitud de información el Sujeto Obligado hizo entrega del </w:t>
      </w:r>
      <w:r w:rsidR="008743BC" w:rsidRPr="001C21CA">
        <w:rPr>
          <w:rFonts w:ascii="Palatino Linotype" w:eastAsia="Palatino Linotype" w:hAnsi="Palatino Linotype" w:cs="Palatino Linotype"/>
          <w:color w:val="000000"/>
        </w:rPr>
        <w:t>siguiente archivo electrónico:</w:t>
      </w:r>
    </w:p>
    <w:p w:rsidR="008743BC" w:rsidRPr="001C21CA" w:rsidRDefault="008743BC" w:rsidP="008743BC">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rPr>
      </w:pPr>
      <w:r w:rsidRPr="001C21CA">
        <w:rPr>
          <w:rFonts w:ascii="Palatino Linotype" w:hAnsi="Palatino Linotype" w:cs="Arial"/>
          <w:b/>
          <w:bCs/>
        </w:rPr>
        <w:t xml:space="preserve">RESPUESTA 621.pdf: </w:t>
      </w:r>
      <w:r w:rsidRPr="001C21CA">
        <w:rPr>
          <w:rFonts w:ascii="Palatino Linotype" w:hAnsi="Palatino Linotype" w:cs="Arial"/>
          <w:bCs/>
        </w:rPr>
        <w:t xml:space="preserve">Soporte documental que consta de dos fojas en formato PDF por medio del cual la Subdirectora de Administración </w:t>
      </w:r>
      <w:r w:rsidRPr="001C21CA">
        <w:rPr>
          <w:rFonts w:ascii="Palatino Linotype" w:hAnsi="Palatino Linotype" w:cs="Arial"/>
          <w:b/>
          <w:bCs/>
        </w:rPr>
        <w:t>manifiesta que para hacer entrega de la información la Recurrente deberá acreditar un pago.</w:t>
      </w:r>
    </w:p>
    <w:p w:rsidR="008743BC" w:rsidRPr="001C21CA" w:rsidRDefault="008743BC" w:rsidP="00887FF3">
      <w:pPr>
        <w:pBdr>
          <w:top w:val="nil"/>
          <w:left w:val="nil"/>
          <w:bottom w:val="nil"/>
          <w:right w:val="nil"/>
          <w:between w:val="nil"/>
        </w:pBdr>
        <w:spacing w:line="360" w:lineRule="auto"/>
        <w:jc w:val="both"/>
        <w:rPr>
          <w:rFonts w:ascii="Palatino Linotype" w:eastAsia="Palatino Linotype" w:hAnsi="Palatino Linotype" w:cs="Palatino Linotype"/>
        </w:rPr>
      </w:pPr>
    </w:p>
    <w:p w:rsidR="00887FF3" w:rsidRPr="001C21CA" w:rsidRDefault="00887FF3" w:rsidP="00887FF3">
      <w:pPr>
        <w:spacing w:line="360" w:lineRule="auto"/>
        <w:jc w:val="both"/>
        <w:rPr>
          <w:rFonts w:ascii="Palatino Linotype" w:hAnsi="Palatino Linotype"/>
          <w:i/>
          <w:color w:val="000000"/>
        </w:rPr>
      </w:pPr>
      <w:r w:rsidRPr="001C21CA">
        <w:rPr>
          <w:rFonts w:ascii="Palatino Linotype" w:eastAsia="Palatino Linotype" w:hAnsi="Palatino Linotype" w:cs="Palatino Linotype"/>
          <w:color w:val="000000"/>
        </w:rPr>
        <w:t xml:space="preserve">Ante la respuesta emitida por el Sujeto Obligado, el Recurrente consideró que su derecho a la información pública había sido conculcado, por lo que interpuso el recurso de revisión al rubro citado, señalando como acto impugnado </w:t>
      </w:r>
      <w:r w:rsidRPr="001C21CA">
        <w:rPr>
          <w:rFonts w:ascii="Palatino Linotype" w:eastAsia="Palatino Linotype" w:hAnsi="Palatino Linotype" w:cs="Palatino Linotype"/>
          <w:b/>
          <w:i/>
          <w:color w:val="000000"/>
        </w:rPr>
        <w:t>“</w:t>
      </w:r>
      <w:r w:rsidR="007242CD" w:rsidRPr="001C21CA">
        <w:rPr>
          <w:rFonts w:ascii="Palatino Linotype" w:hAnsi="Palatino Linotype"/>
          <w:i/>
          <w:color w:val="000000"/>
          <w:sz w:val="20"/>
          <w:szCs w:val="20"/>
        </w:rPr>
        <w:t xml:space="preserve">Se impugna la respuesta emitida por la Unidad de Transparencia del Ayuntamiento de Juchitepec, correspondiente a la solicitud de información con folio 00621/JUCHITE/IP/2026, mediante la cual se determinó que la información solicitada únicamente sería proporcionada previo pago de $2,059.03 por concepto de copias simples. La respuesta modifica injustificadamente la modalidad de entrega solicitada, ya que desde el escrito inicial se requirió expresamente que la información fuera proporcionada en formato electrónico (PDF, XML, CFDI o cualquier otro formato digital existente), a través de la Plataforma SAIMEX, sin que el sujeto obligado acreditara la inexistencia de dichos archivos electrónicos o justificara </w:t>
      </w:r>
      <w:r w:rsidR="007242CD" w:rsidRPr="001C21CA">
        <w:rPr>
          <w:rFonts w:ascii="Palatino Linotype" w:hAnsi="Palatino Linotype"/>
          <w:i/>
          <w:color w:val="000000"/>
          <w:sz w:val="20"/>
          <w:szCs w:val="20"/>
        </w:rPr>
        <w:lastRenderedPageBreak/>
        <w:t>técnica y jurídicamente la imposibilidad de entregarlos en esa modalidad.</w:t>
      </w:r>
      <w:r w:rsidRPr="001C21CA">
        <w:rPr>
          <w:rFonts w:ascii="Palatino Linotype" w:eastAsia="Palatino Linotype" w:hAnsi="Palatino Linotype" w:cs="Palatino Linotype"/>
          <w:b/>
          <w:i/>
          <w:color w:val="000000"/>
        </w:rPr>
        <w:t>”</w:t>
      </w:r>
      <w:r w:rsidRPr="001C21CA">
        <w:rPr>
          <w:rFonts w:ascii="Palatino Linotype" w:eastAsia="Palatino Linotype" w:hAnsi="Palatino Linotype" w:cs="Palatino Linotype"/>
          <w:i/>
          <w:color w:val="000000"/>
        </w:rPr>
        <w:t xml:space="preserve"> </w:t>
      </w:r>
      <w:r w:rsidRPr="001C21CA">
        <w:rPr>
          <w:rFonts w:ascii="Palatino Linotype" w:eastAsia="Palatino Linotype" w:hAnsi="Palatino Linotype" w:cs="Palatino Linotype"/>
          <w:color w:val="000000"/>
        </w:rPr>
        <w:t xml:space="preserve">y motivos de inconformidad </w:t>
      </w:r>
      <w:r w:rsidRPr="001C21CA">
        <w:rPr>
          <w:rFonts w:ascii="Palatino Linotype" w:eastAsia="Palatino Linotype" w:hAnsi="Palatino Linotype" w:cs="Palatino Linotype"/>
          <w:i/>
          <w:color w:val="000000"/>
        </w:rPr>
        <w:t>“</w:t>
      </w:r>
      <w:r w:rsidR="007242CD" w:rsidRPr="001C21CA">
        <w:rPr>
          <w:rFonts w:ascii="Palatino Linotype" w:hAnsi="Palatino Linotype"/>
          <w:i/>
          <w:color w:val="000000"/>
          <w:sz w:val="22"/>
          <w:szCs w:val="22"/>
        </w:rPr>
        <w:t>La respuesta emitida por el sujeto obligado vulnera mi derecho humano de acceso a la información pública por las siguientes razones: Primero. El sujeto obligado incumplió con el principio de máxima publicidad al negar la entrega de la información en el formato electrónico solicitado, sin fundar ni motivar las razones que justificaran el cambio de modalidad. Segundo. Desde la presentación de la solicitud señalé expresamente que la información debía entregarse en formato electrónico (PDF, XML, CFDI o cualquier otro formato digital existente), privilegiando únicamente el testado de los datos personales considerados confidenciales. Tercero. Los recibos de nómina corresponden a documentos que ordinariamente son generados mediante sistemas electrónicos de administración de personal y timbrado fiscal, por lo que resulta razonable que existan en archivos digitales. El sujeto obligado no acreditó que dichos documentos únicamente obren en formato físico ni que exista imposibilidad material o técnica para su reproducción electrónica. Cuarto. La imposición del pago por copias simples constituye una restricción indebida al derecho de acceso a la información, pues dicho costo deriva de una modalidad distinta a la solicitada por la suscrita y no de la reproducción de la información en el formato requerido. Quinto. La respuesta carece de una debida fundamentación y motivación respecto de la necesidad de cambiar la modalidad de entrega, incumpliendo con los principios de legalidad, certeza, máxima publicidad y gratuidad que rigen el derecho de acceso a la información pública. El presente recurso de revisión se interpone porque la respuesta emitida por el sujeto obligado actualiza la causal consistente en la entrega de la información en una modalidad distinta a la solicitada, así como la restricción injustificada del acceso a la información pública, al imponer el pago de copias simples sin acreditar la imposibilidad de proporcionar la información en el formato electrónico requerido. En consecuencia, solicito que el Instituto de Transparencia, Acceso a la Información Pública y Protección de Datos Personales del Estado de México y Municipios (INFOEM) revoque la respuesta impugnada y ordene al Ayuntamiento de Juchitepec entregar la información solicitada en versión pública y en formato electrónico, testando únicamente los datos clasificados como confidenciales conforme a la legislación aplicable.</w:t>
      </w:r>
      <w:r w:rsidRPr="001C21CA">
        <w:rPr>
          <w:rFonts w:ascii="Palatino Linotype" w:eastAsia="Palatino Linotype" w:hAnsi="Palatino Linotype" w:cs="Palatino Linotype"/>
          <w:i/>
          <w:color w:val="000000"/>
        </w:rPr>
        <w:t>”,</w:t>
      </w:r>
      <w:r w:rsidRPr="001C21CA">
        <w:rPr>
          <w:rFonts w:ascii="Palatino Linotype" w:eastAsia="Palatino Linotype" w:hAnsi="Palatino Linotype" w:cs="Palatino Linotype"/>
          <w:color w:val="000000"/>
        </w:rPr>
        <w:t xml:space="preserve"> en este sentido el Recurrente considero que el Sujeto Obligado no le dio cuenta de lo requerido. </w:t>
      </w:r>
    </w:p>
    <w:p w:rsidR="00887FF3" w:rsidRPr="001C21CA" w:rsidRDefault="00887FF3" w:rsidP="00887FF3">
      <w:pPr>
        <w:tabs>
          <w:tab w:val="left" w:pos="709"/>
        </w:tabs>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lastRenderedPageBreak/>
        <w:t>De lo anterior se debe señalar que el artículo 4, párrafo segundo de la Ley de Transparencia y Acceso a la Información Pública del Estado de México y Municipios, dispone:</w:t>
      </w:r>
    </w:p>
    <w:p w:rsidR="00887FF3" w:rsidRPr="001C21CA" w:rsidRDefault="00887FF3" w:rsidP="00887FF3">
      <w:pPr>
        <w:spacing w:line="360" w:lineRule="auto"/>
        <w:ind w:left="567" w:right="616"/>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i/>
          <w:sz w:val="22"/>
          <w:szCs w:val="22"/>
        </w:rPr>
        <w:t>“</w:t>
      </w:r>
      <w:r w:rsidRPr="001C21CA">
        <w:rPr>
          <w:rFonts w:ascii="Palatino Linotype" w:eastAsia="Palatino Linotype" w:hAnsi="Palatino Linotype" w:cs="Palatino Linotype"/>
          <w:b/>
          <w:i/>
          <w:sz w:val="22"/>
          <w:szCs w:val="22"/>
        </w:rPr>
        <w:t xml:space="preserve">Artículo 4. </w:t>
      </w:r>
      <w:r w:rsidRPr="001C21CA">
        <w:rPr>
          <w:rFonts w:ascii="Palatino Linotype" w:eastAsia="Palatino Linotype" w:hAnsi="Palatino Linotype" w:cs="Palatino Linotype"/>
          <w:i/>
          <w:sz w:val="22"/>
          <w:szCs w:val="22"/>
        </w:rPr>
        <w:t xml:space="preserve">… </w:t>
      </w:r>
    </w:p>
    <w:p w:rsidR="00887FF3" w:rsidRPr="001C21CA" w:rsidRDefault="00887FF3" w:rsidP="00887FF3">
      <w:pPr>
        <w:spacing w:line="360" w:lineRule="auto"/>
        <w:ind w:left="567" w:right="616"/>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i/>
          <w:sz w:val="22"/>
          <w:szCs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242CD" w:rsidRPr="001C21CA" w:rsidRDefault="007242CD" w:rsidP="00887FF3">
      <w:pPr>
        <w:tabs>
          <w:tab w:val="left" w:pos="709"/>
        </w:tabs>
        <w:spacing w:line="360" w:lineRule="auto"/>
        <w:jc w:val="both"/>
        <w:rPr>
          <w:rFonts w:ascii="Palatino Linotype" w:eastAsia="Palatino Linotype" w:hAnsi="Palatino Linotype" w:cs="Palatino Linotype"/>
        </w:rPr>
      </w:pPr>
    </w:p>
    <w:p w:rsidR="00887FF3" w:rsidRPr="001C21CA" w:rsidRDefault="00887FF3" w:rsidP="00887FF3">
      <w:pPr>
        <w:tabs>
          <w:tab w:val="left" w:pos="709"/>
        </w:tabs>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rsidR="00887FF3" w:rsidRPr="001C21CA" w:rsidRDefault="00887FF3" w:rsidP="00887FF3">
      <w:pPr>
        <w:tabs>
          <w:tab w:val="left" w:pos="709"/>
        </w:tabs>
        <w:spacing w:line="360" w:lineRule="auto"/>
        <w:jc w:val="both"/>
        <w:rPr>
          <w:rFonts w:ascii="Palatino Linotype" w:eastAsia="Palatino Linotype" w:hAnsi="Palatino Linotype" w:cs="Palatino Linotype"/>
        </w:rPr>
      </w:pPr>
    </w:p>
    <w:p w:rsidR="00887FF3" w:rsidRPr="001C21CA" w:rsidRDefault="00887FF3" w:rsidP="00887FF3">
      <w:pPr>
        <w:tabs>
          <w:tab w:val="left" w:pos="709"/>
        </w:tabs>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t xml:space="preserve">En esta misma tesitura, el derecho de acceso a la información pública, consiste en que la información solicitada conste en un soporte documental en cualquiera de sus formas, a saber: </w:t>
      </w:r>
      <w:r w:rsidRPr="001C21CA">
        <w:rPr>
          <w:rFonts w:ascii="Palatino Linotype" w:eastAsia="Palatino Linotype" w:hAnsi="Palatino Linotype" w:cs="Palatino Linotype"/>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1C21CA">
        <w:rPr>
          <w:rFonts w:ascii="Palatino Linotype" w:eastAsia="Palatino Linotype" w:hAnsi="Palatino Linotype" w:cs="Palatino Linotype"/>
        </w:rPr>
        <w:t xml:space="preserve"> de los Sujetos Obligados; los que, podrán estar en cualquier medio, sea escrito, impreso, sonoro, visual, electrónico, informático u </w:t>
      </w:r>
      <w:r w:rsidRPr="001C21CA">
        <w:rPr>
          <w:rFonts w:ascii="Palatino Linotype" w:eastAsia="Palatino Linotype" w:hAnsi="Palatino Linotype" w:cs="Palatino Linotype"/>
        </w:rPr>
        <w:lastRenderedPageBreak/>
        <w:t xml:space="preserve">holográfico, de conformidad con el artículo 3, fracción XI, de la Ley de la materia, el cual dispone lo siguiente: </w:t>
      </w:r>
    </w:p>
    <w:p w:rsidR="00887FF3" w:rsidRPr="001C21CA" w:rsidRDefault="00887FF3" w:rsidP="00887FF3"/>
    <w:p w:rsidR="00887FF3" w:rsidRPr="001C21CA" w:rsidRDefault="00887FF3" w:rsidP="00887FF3">
      <w:pPr>
        <w:spacing w:line="360" w:lineRule="auto"/>
        <w:ind w:left="567" w:right="616"/>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i/>
          <w:sz w:val="22"/>
          <w:szCs w:val="22"/>
        </w:rPr>
        <w:t>“</w:t>
      </w:r>
      <w:r w:rsidRPr="001C21CA">
        <w:rPr>
          <w:rFonts w:ascii="Palatino Linotype" w:eastAsia="Palatino Linotype" w:hAnsi="Palatino Linotype" w:cs="Palatino Linotype"/>
          <w:b/>
          <w:i/>
          <w:sz w:val="22"/>
          <w:szCs w:val="22"/>
        </w:rPr>
        <w:t xml:space="preserve">Artículo 3. </w:t>
      </w:r>
      <w:r w:rsidRPr="001C21CA">
        <w:rPr>
          <w:rFonts w:ascii="Palatino Linotype" w:eastAsia="Palatino Linotype" w:hAnsi="Palatino Linotype" w:cs="Palatino Linotype"/>
          <w:i/>
          <w:sz w:val="22"/>
          <w:szCs w:val="22"/>
        </w:rPr>
        <w:t>Para los efectos de la presente Ley se entenderá por:</w:t>
      </w:r>
    </w:p>
    <w:p w:rsidR="00887FF3" w:rsidRPr="001C21CA" w:rsidRDefault="00887FF3" w:rsidP="00887FF3">
      <w:pPr>
        <w:spacing w:line="360" w:lineRule="auto"/>
        <w:ind w:left="567" w:right="616"/>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i/>
          <w:sz w:val="22"/>
          <w:szCs w:val="22"/>
        </w:rPr>
        <w:t>(…)</w:t>
      </w:r>
    </w:p>
    <w:p w:rsidR="00887FF3" w:rsidRPr="001C21CA" w:rsidRDefault="00887FF3" w:rsidP="00887FF3">
      <w:pPr>
        <w:spacing w:line="360" w:lineRule="auto"/>
        <w:ind w:left="567" w:right="616"/>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b/>
          <w:i/>
          <w:sz w:val="22"/>
          <w:szCs w:val="22"/>
        </w:rPr>
        <w:t>XI. Documento:</w:t>
      </w:r>
      <w:r w:rsidRPr="001C21CA">
        <w:rPr>
          <w:rFonts w:ascii="Palatino Linotype" w:eastAsia="Palatino Linotype" w:hAnsi="Palatino Linotype" w:cs="Palatino Linotype"/>
          <w:i/>
          <w:sz w:val="22"/>
          <w:szCs w:val="22"/>
        </w:rPr>
        <w:t xml:space="preserve"> Los expedientes, reportes, estudios, actas, resoluciones, oficios, correspondencia, acuerdos, directivas, directrices, circulares, contratos, convenios, instructivos, notas, memorandos, estadísticas o bien, cualquier otro </w:t>
      </w:r>
      <w:r w:rsidRPr="001C21CA">
        <w:rPr>
          <w:rFonts w:ascii="Palatino Linotype" w:eastAsia="Palatino Linotype" w:hAnsi="Palatino Linotype" w:cs="Palatino Linotype"/>
          <w:b/>
          <w:i/>
          <w:sz w:val="22"/>
          <w:szCs w:val="22"/>
          <w:u w:val="single"/>
        </w:rPr>
        <w:t>registro que documente el ejercicio de las facultades, funciones y competencias de los sujetos obligados</w:t>
      </w:r>
      <w:r w:rsidRPr="001C21CA">
        <w:rPr>
          <w:rFonts w:ascii="Palatino Linotype" w:eastAsia="Palatino Linotype" w:hAnsi="Palatino Linotype" w:cs="Palatino Linotype"/>
          <w:i/>
          <w:sz w:val="22"/>
          <w:szCs w:val="22"/>
          <w:u w:val="single"/>
        </w:rPr>
        <w:t>,</w:t>
      </w:r>
      <w:r w:rsidRPr="001C21CA">
        <w:rPr>
          <w:rFonts w:ascii="Palatino Linotype" w:eastAsia="Palatino Linotype" w:hAnsi="Palatino Linotype" w:cs="Palatino Linotype"/>
          <w:i/>
          <w:sz w:val="22"/>
          <w:szCs w:val="22"/>
        </w:rPr>
        <w:t xml:space="preserve"> sus servidores públicos e integrantes, </w:t>
      </w:r>
      <w:r w:rsidRPr="001C21CA">
        <w:rPr>
          <w:rFonts w:ascii="Palatino Linotype" w:eastAsia="Palatino Linotype" w:hAnsi="Palatino Linotype" w:cs="Palatino Linotype"/>
          <w:b/>
          <w:i/>
          <w:sz w:val="22"/>
          <w:szCs w:val="22"/>
          <w:u w:val="single"/>
        </w:rPr>
        <w:t>sin importar su fuente o fecha de elaboración.</w:t>
      </w:r>
      <w:r w:rsidRPr="001C21CA">
        <w:rPr>
          <w:rFonts w:ascii="Palatino Linotype" w:eastAsia="Palatino Linotype" w:hAnsi="Palatino Linotype" w:cs="Palatino Linotype"/>
          <w:i/>
          <w:sz w:val="22"/>
          <w:szCs w:val="22"/>
        </w:rPr>
        <w:t xml:space="preserve"> Los documentos podrán estar en cualquier medio, sea escrito, impreso, sonoro, visual, electrónico, informático u holográfico;</w:t>
      </w:r>
    </w:p>
    <w:p w:rsidR="00887FF3" w:rsidRPr="001C21CA" w:rsidRDefault="00887FF3" w:rsidP="00887FF3">
      <w:pPr>
        <w:spacing w:line="360" w:lineRule="auto"/>
        <w:ind w:left="567" w:right="616"/>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i/>
          <w:sz w:val="22"/>
          <w:szCs w:val="22"/>
        </w:rPr>
        <w:t>(…)”</w:t>
      </w:r>
    </w:p>
    <w:p w:rsidR="00887FF3" w:rsidRPr="001C21CA" w:rsidRDefault="00887FF3" w:rsidP="00887FF3">
      <w:pPr>
        <w:spacing w:line="360" w:lineRule="auto"/>
        <w:ind w:right="49"/>
        <w:jc w:val="both"/>
        <w:rPr>
          <w:rFonts w:ascii="Palatino Linotype" w:eastAsia="Palatino Linotype" w:hAnsi="Palatino Linotype" w:cs="Palatino Linotype"/>
        </w:rPr>
      </w:pPr>
      <w:r w:rsidRPr="001C21CA">
        <w:rPr>
          <w:rFonts w:ascii="Palatino Linotype" w:eastAsia="Palatino Linotype" w:hAnsi="Palatino Linotype" w:cs="Palatino Linotype"/>
        </w:rPr>
        <w:t>Además, 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rsidR="00887FF3" w:rsidRPr="001C21CA" w:rsidRDefault="00887FF3" w:rsidP="00887FF3">
      <w:pPr>
        <w:spacing w:line="360" w:lineRule="auto"/>
        <w:jc w:val="both"/>
        <w:rPr>
          <w:rFonts w:ascii="Palatino Linotype" w:eastAsia="Palatino Linotype" w:hAnsi="Palatino Linotype" w:cs="Palatino Linotype"/>
        </w:rPr>
      </w:pPr>
    </w:p>
    <w:p w:rsidR="00887FF3" w:rsidRPr="001C21CA" w:rsidRDefault="00887FF3" w:rsidP="00887FF3">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lastRenderedPageBreak/>
        <w:t>Además, a Ley de Transparencia y Acceso a la Información Pública del Estado de México y Municipios, prevé en su artículo 23, fracción IV, que son Sujetos Obligados a Transparentar y permitir el acceso a su información y proteger los datos que obren en su poder:</w:t>
      </w:r>
    </w:p>
    <w:p w:rsidR="00887FF3" w:rsidRPr="001C21CA" w:rsidRDefault="00887FF3" w:rsidP="00887FF3">
      <w:pPr>
        <w:spacing w:line="360" w:lineRule="auto"/>
        <w:ind w:left="567" w:right="616"/>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b/>
          <w:i/>
          <w:sz w:val="22"/>
          <w:szCs w:val="22"/>
        </w:rPr>
        <w:t>Artículo 23.</w:t>
      </w:r>
      <w:r w:rsidRPr="001C21CA">
        <w:rPr>
          <w:rFonts w:ascii="Palatino Linotype" w:eastAsia="Palatino Linotype" w:hAnsi="Palatino Linotype" w:cs="Palatino Linotype"/>
          <w:i/>
          <w:sz w:val="22"/>
          <w:szCs w:val="22"/>
        </w:rPr>
        <w:t xml:space="preserve"> Son sujetos obligados a transparentar y permitir el acceso a su información y proteger los datos personales que obren en su poder:</w:t>
      </w:r>
    </w:p>
    <w:p w:rsidR="00887FF3" w:rsidRPr="001C21CA" w:rsidRDefault="00887FF3" w:rsidP="00887FF3">
      <w:pPr>
        <w:spacing w:line="360" w:lineRule="auto"/>
        <w:ind w:left="567" w:right="616"/>
        <w:jc w:val="both"/>
        <w:rPr>
          <w:rFonts w:ascii="Palatino Linotype" w:eastAsia="Palatino Linotype" w:hAnsi="Palatino Linotype" w:cs="Palatino Linotype"/>
          <w:b/>
          <w:i/>
          <w:sz w:val="22"/>
          <w:szCs w:val="22"/>
        </w:rPr>
      </w:pPr>
    </w:p>
    <w:p w:rsidR="00887FF3" w:rsidRPr="001C21CA" w:rsidRDefault="00887FF3" w:rsidP="00887FF3">
      <w:pPr>
        <w:spacing w:line="360" w:lineRule="auto"/>
        <w:ind w:left="567" w:right="616"/>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b/>
          <w:i/>
          <w:sz w:val="22"/>
          <w:szCs w:val="22"/>
        </w:rPr>
        <w:t xml:space="preserve">IV. </w:t>
      </w:r>
      <w:r w:rsidRPr="001C21CA">
        <w:rPr>
          <w:rFonts w:ascii="Palatino Linotype" w:eastAsia="Palatino Linotype" w:hAnsi="Palatino Linotype" w:cs="Palatino Linotype"/>
          <w:i/>
          <w:sz w:val="22"/>
          <w:szCs w:val="22"/>
        </w:rPr>
        <w:t>Los ayuntamientos y las dependencias, organismos, órganos y entidades de la administración municipal;</w:t>
      </w:r>
    </w:p>
    <w:p w:rsidR="00887FF3" w:rsidRPr="001C21CA" w:rsidRDefault="00887FF3" w:rsidP="00887FF3">
      <w:pPr>
        <w:spacing w:line="360" w:lineRule="auto"/>
        <w:jc w:val="both"/>
        <w:rPr>
          <w:rFonts w:ascii="Palatino Linotype" w:eastAsia="Palatino Linotype" w:hAnsi="Palatino Linotype" w:cs="Palatino Linotype"/>
        </w:rPr>
      </w:pPr>
    </w:p>
    <w:p w:rsidR="00FF646C" w:rsidRPr="001C21CA" w:rsidRDefault="00887FF3" w:rsidP="00FF646C">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t xml:space="preserve">De lo anterior resulta imprescindible establecer que en términos de lo establecido por el artículo </w:t>
      </w:r>
      <w:r w:rsidR="00FF646C" w:rsidRPr="001C21CA">
        <w:rPr>
          <w:rFonts w:ascii="Palatino Linotype" w:eastAsia="Palatino Linotype" w:hAnsi="Palatino Linotype" w:cs="Palatino Linotype"/>
        </w:rPr>
        <w:t xml:space="preserve">34 del Bando Municipal del Sujeto Obligado a efecto de advertir las unidades administrativas que integran al Sujeto Obligado; </w:t>
      </w:r>
    </w:p>
    <w:p w:rsidR="00FF646C" w:rsidRPr="001C21CA" w:rsidRDefault="00FF646C" w:rsidP="00FF646C">
      <w:pPr>
        <w:spacing w:line="360" w:lineRule="auto"/>
        <w:ind w:left="708"/>
        <w:jc w:val="both"/>
        <w:rPr>
          <w:rFonts w:ascii="Palatino Linotype" w:hAnsi="Palatino Linotype"/>
          <w:i/>
          <w:sz w:val="22"/>
          <w:szCs w:val="22"/>
        </w:rPr>
      </w:pPr>
      <w:r w:rsidRPr="001C21CA">
        <w:rPr>
          <w:rFonts w:ascii="Palatino Linotype" w:hAnsi="Palatino Linotype"/>
          <w:b/>
          <w:i/>
          <w:sz w:val="22"/>
          <w:szCs w:val="22"/>
        </w:rPr>
        <w:t>Artículo 34.</w:t>
      </w:r>
      <w:r w:rsidRPr="001C21CA">
        <w:rPr>
          <w:rFonts w:ascii="Palatino Linotype" w:hAnsi="Palatino Linotype"/>
          <w:i/>
          <w:sz w:val="22"/>
          <w:szCs w:val="22"/>
        </w:rPr>
        <w:t xml:space="preserve"> Para el ejercicio de sus atribuciones y responsabilidades ejecutivas, el Ayuntamiento se auxiliará con dependencias, entidades y unidades de la Administración Pública Municipal, que estarán subordinadas al Presidente Municipal, así como de los Organismos Públicos Descentralizados y Órgano Autónomo, siguientes:</w:t>
      </w:r>
    </w:p>
    <w:p w:rsidR="00FF646C" w:rsidRPr="001C21CA" w:rsidRDefault="00FF646C" w:rsidP="00FF646C">
      <w:pPr>
        <w:spacing w:line="360" w:lineRule="auto"/>
        <w:ind w:left="1134"/>
        <w:jc w:val="both"/>
        <w:rPr>
          <w:rFonts w:ascii="Palatino Linotype" w:hAnsi="Palatino Linotype"/>
          <w:i/>
          <w:sz w:val="22"/>
          <w:szCs w:val="22"/>
        </w:rPr>
      </w:pPr>
      <w:r w:rsidRPr="001C21CA">
        <w:rPr>
          <w:rFonts w:ascii="Palatino Linotype" w:hAnsi="Palatino Linotype"/>
          <w:i/>
          <w:sz w:val="22"/>
          <w:szCs w:val="22"/>
        </w:rPr>
        <w:t xml:space="preserve">I. ÁREAS CENTRALIZADAS: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 xml:space="preserve">a. Secretaría del Ayuntamiento;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b. Secretaria Técnica Administrativa;</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 xml:space="preserve"> c. Órgano Interno de Control;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d. Tesorería Municipal;</w:t>
      </w:r>
    </w:p>
    <w:p w:rsidR="00FF646C" w:rsidRPr="001C21CA" w:rsidRDefault="00FF646C" w:rsidP="00FF646C">
      <w:pPr>
        <w:spacing w:line="360" w:lineRule="auto"/>
        <w:ind w:left="1134"/>
        <w:jc w:val="both"/>
        <w:rPr>
          <w:rFonts w:ascii="Palatino Linotype" w:hAnsi="Palatino Linotype"/>
          <w:i/>
          <w:sz w:val="22"/>
          <w:szCs w:val="22"/>
        </w:rPr>
      </w:pPr>
      <w:r w:rsidRPr="001C21CA">
        <w:rPr>
          <w:rFonts w:ascii="Palatino Linotype" w:hAnsi="Palatino Linotype"/>
          <w:i/>
          <w:sz w:val="22"/>
          <w:szCs w:val="22"/>
        </w:rPr>
        <w:t xml:space="preserve">II. DIRECCIONES: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 xml:space="preserve">a) Dirección de Obras Públicas;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b) Dirección de Desarrollo Urbano;</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lastRenderedPageBreak/>
        <w:t xml:space="preserve"> c) Dirección de Desarrollo Económico y Comercio;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 xml:space="preserve">d) Dirección de Seguridad Pública y Tránsito;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e) Secretaría Técnica del Consejo Municipal de Seguridad Publica;</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 xml:space="preserve"> f) Dirección de Salud;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g) Dirección de la Mujer;</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 xml:space="preserve"> h) Dirección de Ecología y el Campo;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i) Dirección del Bienestar;</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 xml:space="preserve"> j) Dirección de Servicios Públicos;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k) Dirección Jurídica y de Gobierno;</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 xml:space="preserve"> l) UIPPE y de Transparencia y Acceso a la Información Pública Municipal;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m) Juzgado Cívico;</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 xml:space="preserve"> n) Oficial del Registro Civil;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 xml:space="preserve">o) Cronista Municipal; </w:t>
      </w:r>
    </w:p>
    <w:p w:rsidR="00FF646C" w:rsidRPr="001C21CA" w:rsidRDefault="00FF646C" w:rsidP="00FF646C">
      <w:pPr>
        <w:spacing w:line="360" w:lineRule="auto"/>
        <w:ind w:left="1416"/>
        <w:jc w:val="both"/>
        <w:rPr>
          <w:rFonts w:ascii="Palatino Linotype" w:hAnsi="Palatino Linotype"/>
          <w:i/>
          <w:sz w:val="22"/>
          <w:szCs w:val="22"/>
        </w:rPr>
      </w:pPr>
      <w:r w:rsidRPr="001C21CA">
        <w:rPr>
          <w:rFonts w:ascii="Palatino Linotype" w:hAnsi="Palatino Linotype"/>
          <w:i/>
          <w:sz w:val="22"/>
          <w:szCs w:val="22"/>
        </w:rPr>
        <w:t>p) Autoridad Local de Simplificación y Digitalización</w:t>
      </w:r>
    </w:p>
    <w:p w:rsidR="00FF646C" w:rsidRPr="001C21CA" w:rsidRDefault="00FF646C" w:rsidP="00FF646C">
      <w:pPr>
        <w:spacing w:line="360" w:lineRule="auto"/>
        <w:ind w:left="708"/>
        <w:jc w:val="both"/>
        <w:rPr>
          <w:rFonts w:ascii="Palatino Linotype" w:hAnsi="Palatino Linotype"/>
          <w:i/>
          <w:sz w:val="22"/>
          <w:szCs w:val="22"/>
        </w:rPr>
      </w:pPr>
      <w:r w:rsidRPr="001C21CA">
        <w:rPr>
          <w:rFonts w:ascii="Palatino Linotype" w:hAnsi="Palatino Linotype"/>
          <w:i/>
          <w:sz w:val="22"/>
          <w:szCs w:val="22"/>
        </w:rPr>
        <w:t>III. COORDINACIONES:</w:t>
      </w:r>
    </w:p>
    <w:p w:rsidR="00FF646C" w:rsidRPr="001C21CA" w:rsidRDefault="00FF646C" w:rsidP="00FF646C">
      <w:pPr>
        <w:spacing w:line="360" w:lineRule="auto"/>
        <w:ind w:left="708" w:firstLine="708"/>
        <w:jc w:val="both"/>
        <w:rPr>
          <w:rFonts w:ascii="Palatino Linotype" w:hAnsi="Palatino Linotype"/>
          <w:i/>
          <w:sz w:val="22"/>
          <w:szCs w:val="22"/>
        </w:rPr>
      </w:pPr>
      <w:r w:rsidRPr="001C21CA">
        <w:rPr>
          <w:rFonts w:ascii="Palatino Linotype" w:hAnsi="Palatino Linotype"/>
          <w:i/>
          <w:sz w:val="22"/>
          <w:szCs w:val="22"/>
        </w:rPr>
        <w:t xml:space="preserve">a) Coordinación de Panteones; </w:t>
      </w:r>
    </w:p>
    <w:p w:rsidR="00FF646C" w:rsidRPr="001C21CA" w:rsidRDefault="00FF646C" w:rsidP="00FF646C">
      <w:pPr>
        <w:spacing w:line="360" w:lineRule="auto"/>
        <w:ind w:left="708" w:firstLine="708"/>
        <w:jc w:val="both"/>
        <w:rPr>
          <w:rFonts w:ascii="Palatino Linotype" w:hAnsi="Palatino Linotype"/>
          <w:i/>
          <w:sz w:val="22"/>
          <w:szCs w:val="22"/>
        </w:rPr>
      </w:pPr>
      <w:r w:rsidRPr="001C21CA">
        <w:rPr>
          <w:rFonts w:ascii="Palatino Linotype" w:hAnsi="Palatino Linotype"/>
          <w:i/>
          <w:sz w:val="22"/>
          <w:szCs w:val="22"/>
        </w:rPr>
        <w:t xml:space="preserve">b) Coordinación de Educación y Cultura; </w:t>
      </w:r>
    </w:p>
    <w:p w:rsidR="00FF646C" w:rsidRPr="001C21CA" w:rsidRDefault="00FF646C" w:rsidP="00FF646C">
      <w:pPr>
        <w:spacing w:line="360" w:lineRule="auto"/>
        <w:ind w:left="708" w:firstLine="708"/>
        <w:jc w:val="both"/>
        <w:rPr>
          <w:rFonts w:ascii="Palatino Linotype" w:hAnsi="Palatino Linotype"/>
          <w:i/>
          <w:sz w:val="22"/>
          <w:szCs w:val="22"/>
        </w:rPr>
      </w:pPr>
      <w:r w:rsidRPr="001C21CA">
        <w:rPr>
          <w:rFonts w:ascii="Palatino Linotype" w:hAnsi="Palatino Linotype"/>
          <w:i/>
          <w:sz w:val="22"/>
          <w:szCs w:val="22"/>
        </w:rPr>
        <w:t xml:space="preserve">c) Coordinación de Comunicación Social y Gobierno Digital; </w:t>
      </w:r>
    </w:p>
    <w:p w:rsidR="00FF646C" w:rsidRPr="001C21CA" w:rsidRDefault="00FF646C" w:rsidP="00FF646C">
      <w:pPr>
        <w:spacing w:line="360" w:lineRule="auto"/>
        <w:ind w:left="708" w:firstLine="708"/>
        <w:jc w:val="both"/>
        <w:rPr>
          <w:rFonts w:ascii="Palatino Linotype" w:hAnsi="Palatino Linotype"/>
          <w:i/>
          <w:sz w:val="22"/>
          <w:szCs w:val="22"/>
        </w:rPr>
      </w:pPr>
      <w:r w:rsidRPr="001C21CA">
        <w:rPr>
          <w:rFonts w:ascii="Palatino Linotype" w:hAnsi="Palatino Linotype"/>
          <w:i/>
          <w:sz w:val="22"/>
          <w:szCs w:val="22"/>
        </w:rPr>
        <w:t xml:space="preserve">d) Coordinación del Relleno Sanitario; </w:t>
      </w:r>
    </w:p>
    <w:p w:rsidR="00FF646C" w:rsidRPr="001C21CA" w:rsidRDefault="00FF646C" w:rsidP="00FF646C">
      <w:pPr>
        <w:spacing w:line="360" w:lineRule="auto"/>
        <w:ind w:left="708" w:firstLine="708"/>
        <w:jc w:val="both"/>
        <w:rPr>
          <w:rFonts w:ascii="Palatino Linotype" w:eastAsia="Palatino Linotype" w:hAnsi="Palatino Linotype" w:cs="Palatino Linotype"/>
          <w:i/>
          <w:sz w:val="22"/>
          <w:szCs w:val="22"/>
        </w:rPr>
      </w:pPr>
      <w:r w:rsidRPr="001C21CA">
        <w:rPr>
          <w:rFonts w:ascii="Palatino Linotype" w:hAnsi="Palatino Linotype"/>
          <w:i/>
          <w:sz w:val="22"/>
          <w:szCs w:val="22"/>
        </w:rPr>
        <w:t>e) Coordinación de Protección Civil y Bomberos;</w:t>
      </w:r>
    </w:p>
    <w:p w:rsidR="00887FF3" w:rsidRPr="001C21CA" w:rsidRDefault="00FF646C" w:rsidP="00FF646C">
      <w:pPr>
        <w:spacing w:line="360" w:lineRule="auto"/>
        <w:ind w:firstLine="708"/>
        <w:jc w:val="both"/>
        <w:rPr>
          <w:rFonts w:ascii="Palatino Linotype" w:eastAsia="Palatino Linotype" w:hAnsi="Palatino Linotype" w:cs="Palatino Linotype"/>
          <w:i/>
          <w:sz w:val="22"/>
          <w:szCs w:val="22"/>
        </w:rPr>
      </w:pPr>
      <w:r w:rsidRPr="001C21CA">
        <w:rPr>
          <w:rFonts w:ascii="Palatino Linotype" w:hAnsi="Palatino Linotype"/>
          <w:i/>
          <w:sz w:val="22"/>
          <w:szCs w:val="22"/>
        </w:rPr>
        <w:t>IV. ÓRGANISMOS PÚBLICOS DESCENTRALIZADOS:</w:t>
      </w:r>
    </w:p>
    <w:p w:rsidR="00FF646C" w:rsidRPr="001C21CA" w:rsidRDefault="00FF646C" w:rsidP="00FF646C">
      <w:pPr>
        <w:spacing w:line="360" w:lineRule="auto"/>
        <w:ind w:left="708"/>
        <w:jc w:val="both"/>
        <w:rPr>
          <w:rFonts w:ascii="Palatino Linotype" w:hAnsi="Palatino Linotype"/>
          <w:i/>
          <w:sz w:val="22"/>
          <w:szCs w:val="22"/>
        </w:rPr>
      </w:pPr>
      <w:r w:rsidRPr="001C21CA">
        <w:rPr>
          <w:rFonts w:ascii="Palatino Linotype" w:hAnsi="Palatino Linotype"/>
          <w:i/>
          <w:sz w:val="22"/>
          <w:szCs w:val="22"/>
        </w:rPr>
        <w:t xml:space="preserve">a. Sistema Municipal para el Desarrollo Integral de la Familia, de Juchitepec “SMDIF”. </w:t>
      </w:r>
    </w:p>
    <w:p w:rsidR="00FF646C" w:rsidRPr="001C21CA" w:rsidRDefault="00FF646C" w:rsidP="00FF646C">
      <w:pPr>
        <w:spacing w:line="360" w:lineRule="auto"/>
        <w:ind w:left="708"/>
        <w:jc w:val="both"/>
        <w:rPr>
          <w:rFonts w:ascii="Palatino Linotype" w:hAnsi="Palatino Linotype"/>
          <w:i/>
          <w:sz w:val="22"/>
          <w:szCs w:val="22"/>
        </w:rPr>
      </w:pPr>
      <w:r w:rsidRPr="001C21CA">
        <w:rPr>
          <w:rFonts w:ascii="Palatino Linotype" w:hAnsi="Palatino Linotype"/>
          <w:i/>
          <w:sz w:val="22"/>
          <w:szCs w:val="22"/>
        </w:rPr>
        <w:t xml:space="preserve">b. Instituto Municipal de Cultura Física y Deporte IMCUFIDE; y </w:t>
      </w:r>
    </w:p>
    <w:p w:rsidR="00FF646C" w:rsidRPr="001C21CA" w:rsidRDefault="00FF646C" w:rsidP="00FF646C">
      <w:pPr>
        <w:spacing w:line="360" w:lineRule="auto"/>
        <w:ind w:left="708"/>
        <w:jc w:val="both"/>
        <w:rPr>
          <w:rFonts w:ascii="Palatino Linotype" w:hAnsi="Palatino Linotype"/>
          <w:i/>
          <w:sz w:val="22"/>
          <w:szCs w:val="22"/>
        </w:rPr>
      </w:pPr>
      <w:r w:rsidRPr="001C21CA">
        <w:rPr>
          <w:rFonts w:ascii="Palatino Linotype" w:hAnsi="Palatino Linotype"/>
          <w:i/>
          <w:sz w:val="22"/>
          <w:szCs w:val="22"/>
        </w:rPr>
        <w:t>c. Organismo Público Descentralizado de Agua Potable, Alcantarillado y Saneamiento de Juchitepec “OPDAPAT”;</w:t>
      </w:r>
    </w:p>
    <w:p w:rsidR="00FF646C" w:rsidRPr="001C21CA" w:rsidRDefault="00FF646C" w:rsidP="00FF646C">
      <w:pPr>
        <w:spacing w:line="360" w:lineRule="auto"/>
        <w:ind w:left="708"/>
        <w:jc w:val="both"/>
        <w:rPr>
          <w:rFonts w:ascii="Palatino Linotype" w:eastAsia="Palatino Linotype" w:hAnsi="Palatino Linotype" w:cs="Palatino Linotype"/>
          <w:i/>
          <w:sz w:val="22"/>
          <w:szCs w:val="22"/>
        </w:rPr>
      </w:pPr>
    </w:p>
    <w:p w:rsidR="00FF646C" w:rsidRPr="001C21CA" w:rsidRDefault="00FF646C" w:rsidP="00FF646C">
      <w:pPr>
        <w:spacing w:line="360" w:lineRule="auto"/>
        <w:ind w:firstLine="708"/>
        <w:jc w:val="both"/>
        <w:rPr>
          <w:rFonts w:ascii="Palatino Linotype" w:hAnsi="Palatino Linotype"/>
          <w:i/>
          <w:sz w:val="22"/>
          <w:szCs w:val="22"/>
        </w:rPr>
      </w:pPr>
      <w:r w:rsidRPr="001C21CA">
        <w:rPr>
          <w:rFonts w:ascii="Palatino Linotype" w:hAnsi="Palatino Linotype"/>
          <w:i/>
          <w:sz w:val="22"/>
          <w:szCs w:val="22"/>
        </w:rPr>
        <w:lastRenderedPageBreak/>
        <w:t xml:space="preserve">V. ORGANISMOS AUTÓNOMOS: </w:t>
      </w:r>
    </w:p>
    <w:p w:rsidR="00FF646C" w:rsidRPr="001C21CA" w:rsidRDefault="00FF646C" w:rsidP="00FF646C">
      <w:pPr>
        <w:spacing w:line="360" w:lineRule="auto"/>
        <w:ind w:firstLine="708"/>
        <w:jc w:val="both"/>
        <w:rPr>
          <w:rFonts w:ascii="Palatino Linotype" w:eastAsia="Palatino Linotype" w:hAnsi="Palatino Linotype" w:cs="Palatino Linotype"/>
          <w:i/>
          <w:sz w:val="22"/>
          <w:szCs w:val="22"/>
        </w:rPr>
      </w:pPr>
      <w:r w:rsidRPr="001C21CA">
        <w:rPr>
          <w:rFonts w:ascii="Palatino Linotype" w:hAnsi="Palatino Linotype"/>
          <w:i/>
          <w:sz w:val="22"/>
          <w:szCs w:val="22"/>
        </w:rPr>
        <w:t>a. Defensoría Municipal de los Derechos Humanos.</w:t>
      </w:r>
    </w:p>
    <w:p w:rsidR="00FF646C" w:rsidRPr="001C21CA" w:rsidRDefault="00FF646C" w:rsidP="00887FF3">
      <w:pPr>
        <w:spacing w:line="360" w:lineRule="auto"/>
        <w:jc w:val="both"/>
        <w:rPr>
          <w:rFonts w:ascii="Palatino Linotype" w:eastAsia="Palatino Linotype" w:hAnsi="Palatino Linotype" w:cs="Palatino Linotype"/>
        </w:rPr>
      </w:pPr>
    </w:p>
    <w:p w:rsidR="00FF646C" w:rsidRPr="001C21CA" w:rsidRDefault="00FF646C" w:rsidP="00FF646C">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t xml:space="preserve">Sin que pase por desapercibido por este Instituto que respecto el </w:t>
      </w:r>
      <w:r w:rsidRPr="001C21CA">
        <w:rPr>
          <w:rFonts w:ascii="Palatino Linotype" w:hAnsi="Palatino Linotype"/>
        </w:rPr>
        <w:t xml:space="preserve">Sistema Municipal para el Desarrollo Integral de la Familia, de Juchitepec “SMDIF”, Instituto Municipal de Cultura Física y Deporte IMCUFIDE y Organismo Público Descentralizado de Agua Potable, Alcantarillado y Saneamiento de Juchitepec “OPDAPAT” conforme el Sistema Electrónico de Información Pública de Oficio Mexiquense (IPOMEX) </w:t>
      </w:r>
      <w:r w:rsidRPr="001C21CA">
        <w:rPr>
          <w:rFonts w:ascii="Palatino Linotype" w:hAnsi="Palatino Linotype"/>
          <w:b/>
        </w:rPr>
        <w:t>corresponden a Sujetos Obligados diversos</w:t>
      </w:r>
      <w:r w:rsidRPr="001C21CA">
        <w:rPr>
          <w:rFonts w:ascii="Palatino Linotype" w:hAnsi="Palatino Linotype"/>
        </w:rPr>
        <w:t xml:space="preserve"> por lo que se deben dejar a salvo los derechos de la Recurrente para que ejerza su derecho al acceso a la información ante los Sujetos Obligados competentes.</w:t>
      </w:r>
    </w:p>
    <w:p w:rsidR="00FF646C" w:rsidRPr="001C21CA" w:rsidRDefault="00FF646C" w:rsidP="00887FF3">
      <w:pPr>
        <w:spacing w:line="360" w:lineRule="auto"/>
        <w:jc w:val="both"/>
        <w:rPr>
          <w:rFonts w:ascii="Palatino Linotype" w:eastAsia="Palatino Linotype" w:hAnsi="Palatino Linotype" w:cs="Palatino Linotype"/>
        </w:rPr>
      </w:pPr>
    </w:p>
    <w:p w:rsidR="002343D9" w:rsidRPr="001C21CA" w:rsidRDefault="00887FF3" w:rsidP="00887FF3">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t xml:space="preserve">De lo anterior en términos de lo establecido por el </w:t>
      </w:r>
      <w:r w:rsidR="002343D9" w:rsidRPr="001C21CA">
        <w:rPr>
          <w:rFonts w:ascii="Palatino Linotype" w:eastAsia="Palatino Linotype" w:hAnsi="Palatino Linotype" w:cs="Palatino Linotype"/>
        </w:rPr>
        <w:t xml:space="preserve">Manual General de Organización del Sujeto Obligado le corresponde a la Tesorería Municipal </w:t>
      </w:r>
      <w:r w:rsidR="003834FE" w:rsidRPr="001C21CA">
        <w:rPr>
          <w:rFonts w:ascii="Palatino Linotype" w:hAnsi="Palatino Linotype"/>
          <w:b/>
        </w:rPr>
        <w:t>gestionar y verificar el pago de nómina de las y los servidores públicos</w:t>
      </w:r>
      <w:r w:rsidR="003834FE" w:rsidRPr="001C21CA">
        <w:rPr>
          <w:rFonts w:ascii="Palatino Linotype" w:hAnsi="Palatino Linotype"/>
        </w:rPr>
        <w:t xml:space="preserve"> y de pensiones alimenticias, así como remitir las conciliaciones de la nómina pagada a la Dirección de Recursos Humanos, para la reprogramación de pagos y timbrado de nómina.</w:t>
      </w:r>
    </w:p>
    <w:p w:rsidR="002343D9" w:rsidRPr="001C21CA" w:rsidRDefault="002343D9" w:rsidP="00887FF3">
      <w:pPr>
        <w:spacing w:line="360" w:lineRule="auto"/>
        <w:jc w:val="both"/>
        <w:rPr>
          <w:rFonts w:ascii="Palatino Linotype" w:hAnsi="Palatino Linotype"/>
        </w:rPr>
      </w:pPr>
    </w:p>
    <w:p w:rsidR="00887FF3" w:rsidRPr="001C21CA" w:rsidRDefault="00887FF3" w:rsidP="00887FF3">
      <w:pPr>
        <w:spacing w:line="360" w:lineRule="auto"/>
        <w:jc w:val="both"/>
        <w:rPr>
          <w:rFonts w:ascii="Palatino Linotype" w:hAnsi="Palatino Linotype"/>
        </w:rPr>
      </w:pPr>
      <w:r w:rsidRPr="001C21CA">
        <w:rPr>
          <w:rFonts w:ascii="Palatino Linotype" w:eastAsia="Palatino Linotype" w:hAnsi="Palatino Linotype" w:cs="Palatino Linotype"/>
        </w:rPr>
        <w:t>Derivado de la naturaleza de la información, es conveniente precisar que si bien el término “</w:t>
      </w:r>
      <w:r w:rsidRPr="001C21CA">
        <w:rPr>
          <w:rFonts w:ascii="Palatino Linotype" w:eastAsia="Palatino Linotype" w:hAnsi="Palatino Linotype" w:cs="Palatino Linotype"/>
          <w:i/>
        </w:rPr>
        <w:t xml:space="preserve">nómina” </w:t>
      </w:r>
      <w:r w:rsidRPr="001C21CA">
        <w:rPr>
          <w:rFonts w:ascii="Palatino Linotype" w:eastAsia="Palatino Linotype" w:hAnsi="Palatino Linotype" w:cs="Palatino Linotype"/>
        </w:rPr>
        <w:t xml:space="preserve">no está definido en nuestra legislación, también lo es que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w:t>
      </w:r>
      <w:r w:rsidRPr="001C21CA">
        <w:rPr>
          <w:rFonts w:ascii="Palatino Linotype" w:eastAsia="Palatino Linotype" w:hAnsi="Palatino Linotype" w:cs="Palatino Linotype"/>
        </w:rPr>
        <w:lastRenderedPageBreak/>
        <w:t xml:space="preserve">(INDETEC), la definen como el </w:t>
      </w:r>
      <w:r w:rsidRPr="001C21CA">
        <w:rPr>
          <w:rFonts w:ascii="Palatino Linotype" w:eastAsia="Palatino Linotype" w:hAnsi="Palatino Linotype" w:cs="Palatino Linotype"/>
          <w:i/>
        </w:rPr>
        <w:t>listado general de los trabajadores de una institución, en</w:t>
      </w:r>
      <w:r w:rsidRPr="001C21CA">
        <w:rPr>
          <w:rFonts w:ascii="Palatino Linotype" w:eastAsia="Palatino Linotype" w:hAnsi="Palatino Linotype" w:cs="Palatino Linotype"/>
          <w:b/>
          <w:i/>
        </w:rPr>
        <w:t xml:space="preserve"> </w:t>
      </w:r>
      <w:r w:rsidRPr="001C21CA">
        <w:rPr>
          <w:rFonts w:ascii="Palatino Linotype" w:eastAsia="Palatino Linotype" w:hAnsi="Palatino Linotype" w:cs="Palatino Linotype"/>
          <w:i/>
        </w:rPr>
        <w:t xml:space="preserve">el cual se </w:t>
      </w:r>
      <w:r w:rsidRPr="001C21CA">
        <w:rPr>
          <w:rFonts w:ascii="Palatino Linotype" w:eastAsia="Palatino Linotype" w:hAnsi="Palatino Linotype" w:cs="Palatino Linotype"/>
          <w:b/>
          <w:i/>
        </w:rPr>
        <w:t xml:space="preserve">asientan las </w:t>
      </w:r>
      <w:r w:rsidRPr="001C21CA">
        <w:rPr>
          <w:rFonts w:ascii="Palatino Linotype" w:eastAsia="Palatino Linotype" w:hAnsi="Palatino Linotype" w:cs="Palatino Linotype"/>
          <w:b/>
          <w:i/>
          <w:u w:val="single"/>
        </w:rPr>
        <w:t>percepciones brutas, deducciones y alcance neto de las mismas</w:t>
      </w:r>
      <w:r w:rsidRPr="001C21CA">
        <w:rPr>
          <w:rFonts w:ascii="Palatino Linotype" w:eastAsia="Palatino Linotype" w:hAnsi="Palatino Linotype" w:cs="Palatino Linotype"/>
          <w:i/>
        </w:rPr>
        <w:t>; la nómina es utilizada para</w:t>
      </w:r>
      <w:r w:rsidRPr="001C21CA">
        <w:rPr>
          <w:rFonts w:ascii="Palatino Linotype" w:eastAsia="Palatino Linotype" w:hAnsi="Palatino Linotype" w:cs="Palatino Linotype"/>
          <w:b/>
          <w:i/>
        </w:rPr>
        <w:t xml:space="preserve"> efectuar los pagos periódicos</w:t>
      </w:r>
      <w:r w:rsidRPr="001C21CA">
        <w:rPr>
          <w:rFonts w:ascii="Palatino Linotype" w:eastAsia="Palatino Linotype" w:hAnsi="Palatino Linotype" w:cs="Palatino Linotype"/>
          <w:i/>
        </w:rPr>
        <w:t xml:space="preserve"> (semanales, quincenales o</w:t>
      </w:r>
      <w:r w:rsidRPr="001C21CA">
        <w:rPr>
          <w:rFonts w:ascii="Palatino Linotype" w:eastAsia="Palatino Linotype" w:hAnsi="Palatino Linotype" w:cs="Palatino Linotype"/>
          <w:b/>
          <w:i/>
        </w:rPr>
        <w:t xml:space="preserve"> </w:t>
      </w:r>
      <w:r w:rsidRPr="001C21CA">
        <w:rPr>
          <w:rFonts w:ascii="Palatino Linotype" w:eastAsia="Palatino Linotype" w:hAnsi="Palatino Linotype" w:cs="Palatino Linotype"/>
          <w:i/>
        </w:rPr>
        <w:t xml:space="preserve">mensuales) a los trabajadores por concepto de </w:t>
      </w:r>
      <w:r w:rsidRPr="001C21CA">
        <w:rPr>
          <w:rFonts w:ascii="Palatino Linotype" w:eastAsia="Palatino Linotype" w:hAnsi="Palatino Linotype" w:cs="Palatino Linotype"/>
          <w:b/>
          <w:i/>
        </w:rPr>
        <w:t>sueldos y salarios</w:t>
      </w:r>
      <w:r w:rsidRPr="001C21CA">
        <w:rPr>
          <w:rFonts w:ascii="Palatino Linotype" w:eastAsia="Palatino Linotype" w:hAnsi="Palatino Linotype" w:cs="Palatino Linotype"/>
          <w:i/>
        </w:rPr>
        <w:t>.</w:t>
      </w:r>
    </w:p>
    <w:p w:rsidR="00887FF3" w:rsidRPr="001C21CA" w:rsidRDefault="00887FF3" w:rsidP="00887FF3">
      <w:pPr>
        <w:spacing w:line="360" w:lineRule="auto"/>
        <w:rPr>
          <w:rFonts w:ascii="Palatino Linotype" w:hAnsi="Palatino Linotype"/>
        </w:rPr>
      </w:pPr>
    </w:p>
    <w:p w:rsidR="00887FF3" w:rsidRPr="001C21CA" w:rsidRDefault="00887FF3" w:rsidP="00887FF3">
      <w:pPr>
        <w:spacing w:line="360" w:lineRule="auto"/>
        <w:jc w:val="both"/>
        <w:rPr>
          <w:rFonts w:ascii="Palatino Linotype" w:hAnsi="Palatino Linotype"/>
          <w:sz w:val="22"/>
          <w:szCs w:val="22"/>
        </w:rPr>
      </w:pPr>
      <w:r w:rsidRPr="001C21CA">
        <w:rPr>
          <w:rFonts w:ascii="Palatino Linotype" w:eastAsia="Palatino Linotype" w:hAnsi="Palatino Linotype" w:cs="Palatino Linotype"/>
        </w:rPr>
        <w:t xml:space="preserve">Documento o término que ha sido mencionado en diferentes ordenamientos legales, tal es el caso, de la </w:t>
      </w:r>
      <w:r w:rsidRPr="001C21CA">
        <w:rPr>
          <w:rFonts w:ascii="Palatino Linotype" w:eastAsia="Palatino Linotype" w:hAnsi="Palatino Linotype" w:cs="Palatino Linotype"/>
          <w:i/>
        </w:rPr>
        <w:t>Ley Federal del Trabajo</w:t>
      </w:r>
      <w:r w:rsidRPr="001C21CA">
        <w:rPr>
          <w:rFonts w:ascii="Palatino Linotype" w:eastAsia="Palatino Linotype" w:hAnsi="Palatino Linotype" w:cs="Palatino Linotype"/>
        </w:rPr>
        <w:t xml:space="preserve"> en el artículo 804 fracción II, que además reconoce los recibos de pagos de salarios, por lo que resulta indispensable citar el artículo de referencia</w:t>
      </w:r>
      <w:r w:rsidRPr="001C21CA">
        <w:rPr>
          <w:rFonts w:ascii="Palatino Linotype" w:eastAsia="Palatino Linotype" w:hAnsi="Palatino Linotype" w:cs="Palatino Linotype"/>
          <w:sz w:val="22"/>
          <w:szCs w:val="22"/>
        </w:rPr>
        <w:t>.</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b/>
          <w:i/>
          <w:sz w:val="22"/>
          <w:szCs w:val="22"/>
        </w:rPr>
        <w:t>“Artículo 804.-</w:t>
      </w:r>
      <w:r w:rsidRPr="001C21CA">
        <w:rPr>
          <w:rFonts w:ascii="Palatino Linotype" w:eastAsia="Palatino Linotype" w:hAnsi="Palatino Linotype" w:cs="Palatino Linotype"/>
          <w:i/>
          <w:sz w:val="22"/>
          <w:szCs w:val="22"/>
        </w:rPr>
        <w:t xml:space="preserve"> El patrón tiene obligación de conservar y exhibir en juicio los documentos que a continuación se precisan:</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b/>
          <w:i/>
          <w:sz w:val="22"/>
          <w:szCs w:val="22"/>
        </w:rPr>
        <w:t>…</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b/>
          <w:i/>
          <w:sz w:val="22"/>
          <w:szCs w:val="22"/>
        </w:rPr>
        <w:t>II.</w:t>
      </w:r>
      <w:r w:rsidRPr="001C21CA">
        <w:rPr>
          <w:rFonts w:ascii="Palatino Linotype" w:eastAsia="Palatino Linotype" w:hAnsi="Palatino Linotype" w:cs="Palatino Linotype"/>
          <w:i/>
          <w:sz w:val="22"/>
          <w:szCs w:val="22"/>
        </w:rPr>
        <w:t xml:space="preserve"> </w:t>
      </w:r>
      <w:r w:rsidRPr="001C21CA">
        <w:rPr>
          <w:rFonts w:ascii="Palatino Linotype" w:eastAsia="Palatino Linotype" w:hAnsi="Palatino Linotype" w:cs="Palatino Linotype"/>
          <w:bCs/>
          <w:i/>
          <w:sz w:val="22"/>
          <w:szCs w:val="22"/>
        </w:rPr>
        <w:t>Listas de raya o</w:t>
      </w:r>
      <w:r w:rsidRPr="001C21CA">
        <w:rPr>
          <w:rFonts w:ascii="Palatino Linotype" w:eastAsia="Palatino Linotype" w:hAnsi="Palatino Linotype" w:cs="Palatino Linotype"/>
          <w:b/>
          <w:i/>
          <w:sz w:val="22"/>
          <w:szCs w:val="22"/>
        </w:rPr>
        <w:t xml:space="preserve"> nómina de personal</w:t>
      </w:r>
      <w:r w:rsidRPr="001C21CA">
        <w:rPr>
          <w:rFonts w:ascii="Palatino Linotype" w:eastAsia="Palatino Linotype" w:hAnsi="Palatino Linotype" w:cs="Palatino Linotype"/>
          <w:i/>
          <w:sz w:val="22"/>
          <w:szCs w:val="22"/>
        </w:rPr>
        <w:t xml:space="preserve">, cuando se lleven en el centro de trabajo; </w:t>
      </w:r>
      <w:r w:rsidRPr="001C21CA">
        <w:rPr>
          <w:rFonts w:ascii="Palatino Linotype" w:eastAsia="Palatino Linotype" w:hAnsi="Palatino Linotype" w:cs="Palatino Linotype"/>
          <w:b/>
          <w:i/>
          <w:sz w:val="22"/>
          <w:szCs w:val="22"/>
        </w:rPr>
        <w:t>o recibos de pagos de salarios;</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 xml:space="preserve">Los documentos señalados en la fracción I deberán conservarse mientras dure la relación laboral y hasta un año después; los señalados en las fracciones </w:t>
      </w:r>
      <w:r w:rsidRPr="001C21CA">
        <w:rPr>
          <w:rFonts w:ascii="Palatino Linotype" w:eastAsia="Palatino Linotype" w:hAnsi="Palatino Linotype" w:cs="Palatino Linotype"/>
          <w:b/>
          <w:i/>
          <w:sz w:val="22"/>
          <w:szCs w:val="22"/>
        </w:rPr>
        <w:t>II</w:t>
      </w:r>
      <w:r w:rsidRPr="001C21CA">
        <w:rPr>
          <w:rFonts w:ascii="Palatino Linotype" w:eastAsia="Palatino Linotype" w:hAnsi="Palatino Linotype" w:cs="Palatino Linotype"/>
          <w:i/>
          <w:sz w:val="22"/>
          <w:szCs w:val="22"/>
        </w:rPr>
        <w:t>, III y IV, durante el último año y un año después de que se extinga la relación laboral; y los mencionados en la fracción V, conforme lo señalen las Leyes que los rijan.”</w:t>
      </w:r>
    </w:p>
    <w:p w:rsidR="00887FF3" w:rsidRPr="001C21CA" w:rsidRDefault="00887FF3" w:rsidP="00887FF3">
      <w:pPr>
        <w:spacing w:before="240" w:after="360" w:line="360" w:lineRule="auto"/>
        <w:jc w:val="both"/>
        <w:rPr>
          <w:rFonts w:ascii="Palatino Linotype" w:hAnsi="Palatino Linotype"/>
        </w:rPr>
      </w:pPr>
      <w:r w:rsidRPr="001C21CA">
        <w:rPr>
          <w:rFonts w:ascii="Palatino Linotype" w:eastAsia="Palatino Linotype" w:hAnsi="Palatino Linotype" w:cs="Palatino Linotype"/>
        </w:rPr>
        <w:t xml:space="preserve">De lo anteriormente citado, se puede llegar a la conclusión de que la nómina, es el documento que contiene el registro de los trabajadores a los cuales se va a remunerar por los </w:t>
      </w:r>
      <w:hyperlink r:id="rId7">
        <w:r w:rsidRPr="001C21CA">
          <w:rPr>
            <w:rFonts w:ascii="Palatino Linotype" w:eastAsia="Palatino Linotype" w:hAnsi="Palatino Linotype" w:cs="Palatino Linotype"/>
          </w:rPr>
          <w:t>servicios</w:t>
        </w:r>
      </w:hyperlink>
      <w:r w:rsidRPr="001C21CA">
        <w:rPr>
          <w:rFonts w:ascii="Palatino Linotype" w:eastAsia="Palatino Linotype" w:hAnsi="Palatino Linotype" w:cs="Palatino Linotype"/>
        </w:rPr>
        <w:t xml:space="preserve"> que éstos le prestan al patrón, en el cual </w:t>
      </w:r>
      <w:r w:rsidRPr="001C21CA">
        <w:rPr>
          <w:rFonts w:ascii="Palatino Linotype" w:eastAsia="Palatino Linotype" w:hAnsi="Palatino Linotype" w:cs="Palatino Linotype"/>
          <w:b/>
        </w:rPr>
        <w:t>se asientan las percepciones brutas, deducciones y el neto</w:t>
      </w:r>
      <w:r w:rsidRPr="001C21CA">
        <w:rPr>
          <w:rFonts w:ascii="Palatino Linotype" w:eastAsia="Palatino Linotype" w:hAnsi="Palatino Linotype" w:cs="Palatino Linotype"/>
        </w:rPr>
        <w:t xml:space="preserve"> a recibir de dichos trabajadores.</w:t>
      </w:r>
    </w:p>
    <w:p w:rsidR="00887FF3" w:rsidRPr="001C21CA" w:rsidRDefault="00887FF3" w:rsidP="00887FF3">
      <w:pPr>
        <w:spacing w:line="360" w:lineRule="auto"/>
        <w:jc w:val="both"/>
        <w:rPr>
          <w:rFonts w:ascii="Palatino Linotype" w:hAnsi="Palatino Linotype"/>
        </w:rPr>
      </w:pPr>
      <w:r w:rsidRPr="001C21CA">
        <w:rPr>
          <w:rFonts w:ascii="Palatino Linotype" w:eastAsia="Palatino Linotype" w:hAnsi="Palatino Linotype" w:cs="Palatino Linotype"/>
        </w:rPr>
        <w:t xml:space="preserve">Ahora bien, relativo a los </w:t>
      </w:r>
      <w:r w:rsidRPr="001C21CA">
        <w:rPr>
          <w:rFonts w:ascii="Palatino Linotype" w:eastAsia="Palatino Linotype" w:hAnsi="Palatino Linotype" w:cs="Palatino Linotype"/>
          <w:b/>
        </w:rPr>
        <w:t>recibos de nómina</w:t>
      </w:r>
      <w:r w:rsidRPr="001C21CA">
        <w:rPr>
          <w:rFonts w:ascii="Palatino Linotype" w:eastAsia="Palatino Linotype" w:hAnsi="Palatino Linotype" w:cs="Palatino Linotype"/>
        </w:rPr>
        <w:t xml:space="preserve">, la Ley del Trabajo de los Servidores Públicos del Estado y Municipios hace referencia a los comprobantes que las instituciones públicas realizan para documentar el pago de salarios, prima vacacional, aguinaldo y </w:t>
      </w:r>
      <w:r w:rsidRPr="001C21CA">
        <w:rPr>
          <w:rFonts w:ascii="Palatino Linotype" w:eastAsia="Palatino Linotype" w:hAnsi="Palatino Linotype" w:cs="Palatino Linotype"/>
        </w:rPr>
        <w:lastRenderedPageBreak/>
        <w:t>demás prestaciones otorgadas a un servidor público, denominándose "</w:t>
      </w:r>
      <w:r w:rsidRPr="001C21CA">
        <w:rPr>
          <w:rFonts w:ascii="Palatino Linotype" w:eastAsia="Palatino Linotype" w:hAnsi="Palatino Linotype" w:cs="Palatino Linotype"/>
          <w:i/>
        </w:rPr>
        <w:t>recibos o comprobantes de pago</w:t>
      </w:r>
      <w:r w:rsidRPr="001C21CA">
        <w:rPr>
          <w:rFonts w:ascii="Palatino Linotype" w:eastAsia="Palatino Linotype" w:hAnsi="Palatino Linotype" w:cs="Palatino Linotype"/>
        </w:rPr>
        <w:t>", los cuales constituyen un instrumento mediante el cual el sujeto obligado acredita las remuneraciones al personal y, que de acuerdo al uso implantado en la colectividad se denominan "recibos de nómina".</w:t>
      </w:r>
    </w:p>
    <w:p w:rsidR="00887FF3" w:rsidRPr="001C21CA" w:rsidRDefault="00887FF3" w:rsidP="00887FF3">
      <w:pPr>
        <w:spacing w:line="360" w:lineRule="auto"/>
        <w:rPr>
          <w:rFonts w:ascii="Palatino Linotype" w:hAnsi="Palatino Linotype"/>
        </w:rPr>
      </w:pPr>
    </w:p>
    <w:p w:rsidR="00887FF3" w:rsidRPr="001C21CA" w:rsidRDefault="00887FF3" w:rsidP="00887FF3">
      <w:pPr>
        <w:spacing w:line="360" w:lineRule="auto"/>
        <w:jc w:val="both"/>
        <w:rPr>
          <w:rFonts w:ascii="Palatino Linotype" w:hAnsi="Palatino Linotype"/>
        </w:rPr>
      </w:pPr>
      <w:r w:rsidRPr="001C21CA">
        <w:rPr>
          <w:rFonts w:ascii="Palatino Linotype" w:eastAsia="Palatino Linotype" w:hAnsi="Palatino Linotype" w:cs="Palatino Linotype"/>
        </w:rPr>
        <w:t xml:space="preserve">A efecto de robustecer lo anterior, es preciso hacer alusión, en primera instancia, a lo establecido en las normas de carácter general del </w:t>
      </w:r>
      <w:r w:rsidRPr="001C21CA">
        <w:rPr>
          <w:rFonts w:ascii="Palatino Linotype" w:eastAsia="Palatino Linotype" w:hAnsi="Palatino Linotype" w:cs="Palatino Linotype"/>
          <w:b/>
        </w:rPr>
        <w:t>Manual Único de Contabilidad Gubernamental para las Dependencias y Entidades Públicas del Gobierno y Municipios del Estado de México</w:t>
      </w:r>
      <w:r w:rsidRPr="001C21CA">
        <w:rPr>
          <w:rFonts w:ascii="Palatino Linotype" w:eastAsia="Palatino Linotype" w:hAnsi="Palatino Linotype" w:cs="Palatino Linotype"/>
          <w:i/>
        </w:rPr>
        <w:t xml:space="preserve">,  </w:t>
      </w:r>
      <w:r w:rsidRPr="001C21CA">
        <w:rPr>
          <w:rFonts w:ascii="Palatino Linotype" w:eastAsia="Palatino Linotype" w:hAnsi="Palatino Linotype" w:cs="Palatino Linotype"/>
        </w:rPr>
        <w:t xml:space="preserve">en donde se señala que el Régimen Fiscal para las entidades públicas es el correspondiente a </w:t>
      </w:r>
      <w:r w:rsidRPr="001C21CA">
        <w:rPr>
          <w:rFonts w:ascii="Palatino Linotype" w:eastAsia="Palatino Linotype" w:hAnsi="Palatino Linotype" w:cs="Palatino Linotype"/>
          <w:i/>
        </w:rPr>
        <w:t xml:space="preserve">personas morales con fines no lucrativos, </w:t>
      </w:r>
      <w:r w:rsidRPr="001C21CA">
        <w:rPr>
          <w:rFonts w:ascii="Palatino Linotype" w:eastAsia="Palatino Linotype" w:hAnsi="Palatino Linotype" w:cs="Palatino Linotype"/>
        </w:rPr>
        <w:t xml:space="preserve">y en segundo lugar remitirnos al párrafo séptimo del artículo 86 del Título III del Régimen de las Personas Morales con fines no lucrativos, de la </w:t>
      </w:r>
      <w:r w:rsidRPr="001C21CA">
        <w:rPr>
          <w:rFonts w:ascii="Palatino Linotype" w:eastAsia="Palatino Linotype" w:hAnsi="Palatino Linotype" w:cs="Palatino Linotype"/>
          <w:b/>
        </w:rPr>
        <w:t>Ley del Impuesto Sobre la Renta</w:t>
      </w:r>
      <w:r w:rsidRPr="001C21CA">
        <w:rPr>
          <w:rFonts w:ascii="Palatino Linotype" w:eastAsia="Palatino Linotype" w:hAnsi="Palatino Linotype" w:cs="Palatino Linotype"/>
          <w:i/>
        </w:rPr>
        <w:t xml:space="preserve">, </w:t>
      </w:r>
      <w:r w:rsidRPr="001C21CA">
        <w:rPr>
          <w:rFonts w:ascii="Palatino Linotype" w:eastAsia="Palatino Linotype" w:hAnsi="Palatino Linotype" w:cs="Palatino Linotype"/>
        </w:rPr>
        <w:t>que a la letra señala lo siguiente:</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b/>
          <w:i/>
          <w:sz w:val="22"/>
          <w:szCs w:val="22"/>
        </w:rPr>
        <w:t>“Artículo.- 86 </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b/>
          <w:i/>
          <w:sz w:val="22"/>
          <w:szCs w:val="22"/>
        </w:rPr>
        <w:t>(</w:t>
      </w:r>
      <w:r w:rsidRPr="001C21CA">
        <w:rPr>
          <w:rFonts w:ascii="Palatino Linotype" w:eastAsia="Palatino Linotype" w:hAnsi="Palatino Linotype" w:cs="Palatino Linotype"/>
          <w:i/>
          <w:sz w:val="22"/>
          <w:szCs w:val="22"/>
        </w:rPr>
        <w:t>…)</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 xml:space="preserve">Los partidos y asociaciones políticas, legalmente reconocidos, la Federación, las entidades federativas, los municipios y las instituciones que por Ley estén obligadas a entregar al Gobierno Federal el importe íntegro de su remanente de operación y los organismos descentralizados que no tributen conforme al Título II de esta Ley </w:t>
      </w:r>
      <w:r w:rsidRPr="001C21CA">
        <w:rPr>
          <w:rFonts w:ascii="Palatino Linotype" w:eastAsia="Palatino Linotype" w:hAnsi="Palatino Linotype" w:cs="Palatino Linotype"/>
          <w:b/>
          <w:i/>
          <w:sz w:val="22"/>
          <w:szCs w:val="22"/>
        </w:rPr>
        <w:t>están obligados a expedir y entregar comprobantes fiscales a las personas que reciban pagos por concepto de salarios y, en general, por la prestación de un servicio personal subordinado, en la fecha en que se realice la erogación correspondiente, los cuales podrán utilizarse como constancia o recibo de pago</w:t>
      </w:r>
      <w:r w:rsidRPr="001C21CA">
        <w:rPr>
          <w:rFonts w:ascii="Palatino Linotype" w:eastAsia="Palatino Linotype" w:hAnsi="Palatino Linotype" w:cs="Palatino Linotype"/>
          <w:i/>
          <w:sz w:val="22"/>
          <w:szCs w:val="22"/>
        </w:rPr>
        <w:t xml:space="preserve"> para efectos de la legislación laboral a que se refieren los artículos 132 fracciones VII y VIII, y 804 primer párrafo fracciones II y IV de la Ley Federal del Trabajo…</w:t>
      </w:r>
      <w:r w:rsidRPr="001C21CA">
        <w:rPr>
          <w:rFonts w:ascii="Palatino Linotype" w:eastAsia="Palatino Linotype" w:hAnsi="Palatino Linotype" w:cs="Palatino Linotype"/>
          <w:sz w:val="22"/>
          <w:szCs w:val="22"/>
        </w:rPr>
        <w:t>” </w:t>
      </w:r>
    </w:p>
    <w:p w:rsidR="00887FF3" w:rsidRPr="001C21CA" w:rsidRDefault="00887FF3" w:rsidP="00887FF3">
      <w:pPr>
        <w:rPr>
          <w:rFonts w:ascii="Palatino Linotype" w:hAnsi="Palatino Linotype"/>
          <w:sz w:val="22"/>
          <w:szCs w:val="22"/>
        </w:rPr>
      </w:pPr>
    </w:p>
    <w:p w:rsidR="00887FF3" w:rsidRPr="001C21CA" w:rsidRDefault="00887FF3" w:rsidP="00887FF3">
      <w:pPr>
        <w:spacing w:line="360" w:lineRule="auto"/>
        <w:jc w:val="both"/>
        <w:rPr>
          <w:rFonts w:ascii="Palatino Linotype" w:hAnsi="Palatino Linotype"/>
        </w:rPr>
      </w:pPr>
      <w:r w:rsidRPr="001C21CA">
        <w:rPr>
          <w:rFonts w:ascii="Palatino Linotype" w:eastAsia="Palatino Linotype" w:hAnsi="Palatino Linotype" w:cs="Palatino Linotype"/>
        </w:rPr>
        <w:t xml:space="preserve">Del precepto citado, se advierte que las entidades federativas al ser entes públicos se encuentran constreñidos a expedir y entregar los </w:t>
      </w:r>
      <w:r w:rsidRPr="001C21CA">
        <w:rPr>
          <w:rFonts w:ascii="Palatino Linotype" w:eastAsia="Palatino Linotype" w:hAnsi="Palatino Linotype" w:cs="Palatino Linotype"/>
          <w:b/>
        </w:rPr>
        <w:t xml:space="preserve">comprobantes fiscales </w:t>
      </w:r>
      <w:r w:rsidRPr="001C21CA">
        <w:rPr>
          <w:rFonts w:ascii="Palatino Linotype" w:eastAsia="Palatino Linotype" w:hAnsi="Palatino Linotype" w:cs="Palatino Linotype"/>
          <w:b/>
        </w:rPr>
        <w:lastRenderedPageBreak/>
        <w:t xml:space="preserve">correspondientes a las personas que reciban pagos por conceptos de salarios, </w:t>
      </w:r>
      <w:r w:rsidRPr="001C21CA">
        <w:rPr>
          <w:rFonts w:ascii="Palatino Linotype" w:eastAsia="Palatino Linotype" w:hAnsi="Palatino Linotype" w:cs="Palatino Linotype"/>
        </w:rPr>
        <w:t xml:space="preserve">mismos que pueden ser utilizados como </w:t>
      </w:r>
      <w:r w:rsidRPr="001C21CA">
        <w:rPr>
          <w:rFonts w:ascii="Palatino Linotype" w:eastAsia="Palatino Linotype" w:hAnsi="Palatino Linotype" w:cs="Palatino Linotype"/>
          <w:b/>
        </w:rPr>
        <w:t>constancia o</w:t>
      </w:r>
      <w:r w:rsidRPr="001C21CA">
        <w:rPr>
          <w:rFonts w:ascii="Palatino Linotype" w:eastAsia="Palatino Linotype" w:hAnsi="Palatino Linotype" w:cs="Palatino Linotype"/>
        </w:rPr>
        <w:t xml:space="preserve"> </w:t>
      </w:r>
      <w:r w:rsidRPr="001C21CA">
        <w:rPr>
          <w:rFonts w:ascii="Palatino Linotype" w:eastAsia="Palatino Linotype" w:hAnsi="Palatino Linotype" w:cs="Palatino Linotype"/>
          <w:b/>
        </w:rPr>
        <w:t>recibo de pago</w:t>
      </w:r>
      <w:r w:rsidRPr="001C21CA">
        <w:rPr>
          <w:rFonts w:ascii="Palatino Linotype" w:eastAsia="Palatino Linotype" w:hAnsi="Palatino Linotype" w:cs="Palatino Linotype"/>
        </w:rPr>
        <w:t xml:space="preserve">, de conformidad con los artículos 132 fracciones VII y VIII de la </w:t>
      </w:r>
      <w:r w:rsidRPr="001C21CA">
        <w:rPr>
          <w:rFonts w:ascii="Palatino Linotype" w:eastAsia="Palatino Linotype" w:hAnsi="Palatino Linotype" w:cs="Palatino Linotype"/>
          <w:b/>
        </w:rPr>
        <w:t>Ley Federal del Trabajo</w:t>
      </w:r>
      <w:r w:rsidRPr="001C21CA">
        <w:rPr>
          <w:rFonts w:ascii="Palatino Linotype" w:eastAsia="Palatino Linotype" w:hAnsi="Palatino Linotype" w:cs="Palatino Linotype"/>
        </w:rPr>
        <w:t>, que a la letra señalan lo siguiente:</w:t>
      </w:r>
    </w:p>
    <w:p w:rsidR="00887FF3" w:rsidRPr="001C21CA" w:rsidRDefault="00887FF3" w:rsidP="00887FF3">
      <w:pPr>
        <w:spacing w:before="120" w:after="120"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bCs/>
          <w:i/>
          <w:sz w:val="22"/>
          <w:szCs w:val="22"/>
        </w:rPr>
        <w:t>“</w:t>
      </w:r>
      <w:r w:rsidRPr="001C21CA">
        <w:rPr>
          <w:rFonts w:ascii="Palatino Linotype" w:eastAsia="Palatino Linotype" w:hAnsi="Palatino Linotype" w:cs="Palatino Linotype"/>
          <w:b/>
          <w:i/>
          <w:sz w:val="22"/>
          <w:szCs w:val="22"/>
        </w:rPr>
        <w:t>Artículo 132</w:t>
      </w:r>
      <w:r w:rsidRPr="001C21CA">
        <w:rPr>
          <w:rFonts w:ascii="Palatino Linotype" w:eastAsia="Palatino Linotype" w:hAnsi="Palatino Linotype" w:cs="Palatino Linotype"/>
          <w:i/>
          <w:sz w:val="22"/>
          <w:szCs w:val="22"/>
        </w:rPr>
        <w:t xml:space="preserve">.- Son </w:t>
      </w:r>
      <w:r w:rsidRPr="001C21CA">
        <w:rPr>
          <w:rFonts w:ascii="Palatino Linotype" w:eastAsia="Palatino Linotype" w:hAnsi="Palatino Linotype" w:cs="Palatino Linotype"/>
          <w:b/>
          <w:i/>
          <w:sz w:val="22"/>
          <w:szCs w:val="22"/>
        </w:rPr>
        <w:t>obligaciones de los patrones</w:t>
      </w:r>
      <w:r w:rsidRPr="001C21CA">
        <w:rPr>
          <w:rFonts w:ascii="Palatino Linotype" w:eastAsia="Palatino Linotype" w:hAnsi="Palatino Linotype" w:cs="Palatino Linotype"/>
          <w:i/>
          <w:sz w:val="22"/>
          <w:szCs w:val="22"/>
        </w:rPr>
        <w:t>:</w:t>
      </w:r>
    </w:p>
    <w:p w:rsidR="00887FF3" w:rsidRPr="001C21CA" w:rsidRDefault="00887FF3" w:rsidP="00887FF3">
      <w:pPr>
        <w:spacing w:before="120" w:after="120"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w:t>
      </w:r>
    </w:p>
    <w:p w:rsidR="00887FF3" w:rsidRPr="001C21CA" w:rsidRDefault="00887FF3" w:rsidP="00887FF3">
      <w:pPr>
        <w:spacing w:before="120" w:after="120"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 xml:space="preserve">VII.- </w:t>
      </w:r>
      <w:r w:rsidRPr="001C21CA">
        <w:rPr>
          <w:rFonts w:ascii="Palatino Linotype" w:eastAsia="Palatino Linotype" w:hAnsi="Palatino Linotype" w:cs="Palatino Linotype"/>
          <w:b/>
          <w:i/>
          <w:sz w:val="22"/>
          <w:szCs w:val="22"/>
        </w:rPr>
        <w:t>Expedir</w:t>
      </w:r>
      <w:r w:rsidRPr="001C21CA">
        <w:rPr>
          <w:rFonts w:ascii="Palatino Linotype" w:eastAsia="Palatino Linotype" w:hAnsi="Palatino Linotype" w:cs="Palatino Linotype"/>
          <w:i/>
          <w:sz w:val="22"/>
          <w:szCs w:val="22"/>
        </w:rPr>
        <w:t xml:space="preserve"> cada quince días, a solicitud de los trabajadores, una </w:t>
      </w:r>
      <w:r w:rsidRPr="001C21CA">
        <w:rPr>
          <w:rFonts w:ascii="Palatino Linotype" w:eastAsia="Palatino Linotype" w:hAnsi="Palatino Linotype" w:cs="Palatino Linotype"/>
          <w:b/>
          <w:i/>
          <w:sz w:val="22"/>
          <w:szCs w:val="22"/>
        </w:rPr>
        <w:t>constancia</w:t>
      </w:r>
      <w:r w:rsidRPr="001C21CA">
        <w:rPr>
          <w:rFonts w:ascii="Palatino Linotype" w:eastAsia="Palatino Linotype" w:hAnsi="Palatino Linotype" w:cs="Palatino Linotype"/>
          <w:i/>
          <w:sz w:val="22"/>
          <w:szCs w:val="22"/>
        </w:rPr>
        <w:t xml:space="preserve"> escrita del número de días trabajados y </w:t>
      </w:r>
      <w:r w:rsidRPr="001C21CA">
        <w:rPr>
          <w:rFonts w:ascii="Palatino Linotype" w:eastAsia="Palatino Linotype" w:hAnsi="Palatino Linotype" w:cs="Palatino Linotype"/>
          <w:b/>
          <w:i/>
          <w:sz w:val="22"/>
          <w:szCs w:val="22"/>
        </w:rPr>
        <w:t>del salario percibido</w:t>
      </w:r>
      <w:r w:rsidRPr="001C21CA">
        <w:rPr>
          <w:rFonts w:ascii="Palatino Linotype" w:eastAsia="Palatino Linotype" w:hAnsi="Palatino Linotype" w:cs="Palatino Linotype"/>
          <w:i/>
          <w:sz w:val="22"/>
          <w:szCs w:val="22"/>
        </w:rPr>
        <w:t>; </w:t>
      </w:r>
    </w:p>
    <w:p w:rsidR="00887FF3" w:rsidRPr="001C21CA" w:rsidRDefault="00887FF3" w:rsidP="00887FF3">
      <w:pPr>
        <w:spacing w:before="120" w:after="120"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VIII.- Expedir al trabajador que lo solicite o se separe de la empresa, dentro del término de tres días, una constancia escrita relativa a sus servicios;</w:t>
      </w:r>
    </w:p>
    <w:p w:rsidR="00887FF3" w:rsidRPr="001C21CA" w:rsidRDefault="00887FF3" w:rsidP="00887FF3">
      <w:pPr>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w:t>
      </w:r>
    </w:p>
    <w:p w:rsidR="00887FF3" w:rsidRPr="001C21CA" w:rsidRDefault="00887FF3" w:rsidP="00887FF3">
      <w:pPr>
        <w:spacing w:before="240" w:after="360" w:line="360" w:lineRule="auto"/>
        <w:jc w:val="both"/>
        <w:rPr>
          <w:rFonts w:ascii="Palatino Linotype" w:hAnsi="Palatino Linotype"/>
          <w:sz w:val="22"/>
          <w:szCs w:val="22"/>
        </w:rPr>
      </w:pPr>
      <w:r w:rsidRPr="001C21CA">
        <w:rPr>
          <w:rFonts w:ascii="Palatino Linotype" w:eastAsia="Palatino Linotype" w:hAnsi="Palatino Linotype" w:cs="Palatino Linotype"/>
        </w:rPr>
        <w:t>Por su parte la Ley del Trabajo de los Servidores Públicos del Estado y Municipios, en su artículo 220-K fracciones II y IV y último párrafo, establecen lo siguiente</w:t>
      </w:r>
      <w:r w:rsidRPr="001C21CA">
        <w:rPr>
          <w:rFonts w:ascii="Palatino Linotype" w:eastAsia="Palatino Linotype" w:hAnsi="Palatino Linotype" w:cs="Palatino Linotype"/>
          <w:sz w:val="22"/>
          <w:szCs w:val="22"/>
        </w:rPr>
        <w:t>:</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b/>
          <w:i/>
          <w:sz w:val="22"/>
          <w:szCs w:val="22"/>
        </w:rPr>
        <w:t>“ARTÍCULO 220 K.-</w:t>
      </w:r>
      <w:r w:rsidRPr="001C21CA">
        <w:rPr>
          <w:rFonts w:ascii="Palatino Linotype" w:eastAsia="Palatino Linotype" w:hAnsi="Palatino Linotype" w:cs="Palatino Linotype"/>
          <w:i/>
          <w:sz w:val="22"/>
          <w:szCs w:val="22"/>
        </w:rPr>
        <w:t xml:space="preserve"> La institución o dependencia pública tiene la obligación de conservar y exhibir en el proceso los documentos que a continuación se precisan:</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 xml:space="preserve">II. </w:t>
      </w:r>
      <w:r w:rsidRPr="001C21CA">
        <w:rPr>
          <w:rFonts w:ascii="Palatino Linotype" w:eastAsia="Palatino Linotype" w:hAnsi="Palatino Linotype" w:cs="Palatino Linotype"/>
          <w:b/>
          <w:i/>
          <w:sz w:val="22"/>
          <w:szCs w:val="22"/>
        </w:rPr>
        <w:t>Recibos de pagos de salarios</w:t>
      </w:r>
      <w:r w:rsidRPr="001C21CA">
        <w:rPr>
          <w:rFonts w:ascii="Palatino Linotype" w:eastAsia="Palatino Linotype" w:hAnsi="Palatino Linotype" w:cs="Palatino Linotype"/>
          <w:i/>
          <w:sz w:val="22"/>
          <w:szCs w:val="22"/>
        </w:rPr>
        <w:t xml:space="preserve"> o las constancias documentales del pago de salario cuando sea por depósito o mediante información electrónica;</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w:t>
      </w:r>
    </w:p>
    <w:p w:rsidR="00887FF3" w:rsidRPr="001C21CA" w:rsidRDefault="00887FF3" w:rsidP="00887FF3">
      <w:pPr>
        <w:spacing w:line="276" w:lineRule="auto"/>
        <w:ind w:left="851" w:right="616"/>
        <w:rPr>
          <w:rFonts w:ascii="Palatino Linotype" w:hAnsi="Palatino Linotype"/>
          <w:sz w:val="22"/>
          <w:szCs w:val="22"/>
        </w:rPr>
      </w:pPr>
    </w:p>
    <w:p w:rsidR="00887FF3" w:rsidRPr="001C21CA" w:rsidRDefault="00887FF3" w:rsidP="00887FF3">
      <w:pPr>
        <w:spacing w:line="276" w:lineRule="auto"/>
        <w:ind w:left="851" w:right="616"/>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i/>
          <w:sz w:val="22"/>
          <w:szCs w:val="22"/>
        </w:rPr>
        <w:t xml:space="preserve">IV. Recibos o las constancias de depósito o del medio de información magnética o electrónica que sean utilizadas para el pago de salarios, </w:t>
      </w:r>
      <w:r w:rsidRPr="001C21CA">
        <w:rPr>
          <w:rFonts w:ascii="Palatino Linotype" w:eastAsia="Palatino Linotype" w:hAnsi="Palatino Linotype" w:cs="Palatino Linotype"/>
          <w:b/>
          <w:i/>
          <w:sz w:val="22"/>
          <w:szCs w:val="22"/>
        </w:rPr>
        <w:t>prima vacacional, aguinaldo y demás prestaciones establecidas en la presente ley</w:t>
      </w:r>
      <w:r w:rsidRPr="001C21CA">
        <w:rPr>
          <w:rFonts w:ascii="Palatino Linotype" w:eastAsia="Palatino Linotype" w:hAnsi="Palatino Linotype" w:cs="Palatino Linotype"/>
          <w:i/>
          <w:sz w:val="22"/>
          <w:szCs w:val="22"/>
        </w:rPr>
        <w:t>; y…</w:t>
      </w:r>
    </w:p>
    <w:p w:rsidR="00887FF3" w:rsidRPr="001C21CA" w:rsidRDefault="00887FF3" w:rsidP="00887FF3">
      <w:pPr>
        <w:spacing w:line="276" w:lineRule="auto"/>
        <w:ind w:left="851" w:right="616"/>
        <w:jc w:val="both"/>
        <w:rPr>
          <w:rFonts w:ascii="Palatino Linotype" w:hAnsi="Palatino Linotype"/>
          <w:sz w:val="22"/>
          <w:szCs w:val="22"/>
        </w:rPr>
      </w:pPr>
    </w:p>
    <w:p w:rsidR="00887FF3" w:rsidRPr="001C21CA" w:rsidRDefault="00887FF3" w:rsidP="00485DA1">
      <w:pPr>
        <w:spacing w:line="276" w:lineRule="auto"/>
        <w:ind w:left="851" w:right="616"/>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i/>
          <w:sz w:val="22"/>
          <w:szCs w:val="22"/>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887FF3" w:rsidRPr="001C21CA" w:rsidRDefault="00887FF3" w:rsidP="00887FF3">
      <w:pPr>
        <w:spacing w:line="276" w:lineRule="auto"/>
        <w:ind w:left="851" w:right="616"/>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i/>
          <w:sz w:val="22"/>
          <w:szCs w:val="22"/>
        </w:rPr>
        <w:lastRenderedPageBreak/>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rsidR="00887FF3" w:rsidRPr="001C21CA" w:rsidRDefault="00887FF3" w:rsidP="00887FF3">
      <w:pPr>
        <w:spacing w:line="276" w:lineRule="auto"/>
        <w:ind w:left="851" w:right="616"/>
        <w:jc w:val="both"/>
        <w:rPr>
          <w:rFonts w:ascii="Palatino Linotype" w:hAnsi="Palatino Linotype"/>
          <w:sz w:val="22"/>
          <w:szCs w:val="22"/>
        </w:rPr>
      </w:pP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El incumplimiento por lo dispuesto por este artículo, establecerá la presunción de ser ciertos los hechos que el actor exprese en su demanda, en relación con tales documentos, salvo prueba en contrario.”</w:t>
      </w:r>
    </w:p>
    <w:p w:rsidR="00887FF3" w:rsidRPr="001C21CA" w:rsidRDefault="00887FF3" w:rsidP="00887FF3">
      <w:pPr>
        <w:spacing w:before="120" w:line="360" w:lineRule="auto"/>
        <w:jc w:val="both"/>
        <w:rPr>
          <w:rFonts w:ascii="Palatino Linotype" w:eastAsia="Palatino Linotype" w:hAnsi="Palatino Linotype" w:cs="Palatino Linotype"/>
          <w:sz w:val="22"/>
          <w:szCs w:val="22"/>
        </w:rPr>
      </w:pPr>
    </w:p>
    <w:p w:rsidR="00887FF3" w:rsidRPr="001C21CA" w:rsidRDefault="00887FF3" w:rsidP="00887FF3">
      <w:pPr>
        <w:spacing w:before="120" w:line="360" w:lineRule="auto"/>
        <w:jc w:val="both"/>
        <w:rPr>
          <w:rFonts w:ascii="Palatino Linotype" w:hAnsi="Palatino Linotype"/>
        </w:rPr>
      </w:pPr>
      <w:r w:rsidRPr="001C21CA">
        <w:rPr>
          <w:rFonts w:ascii="Palatino Linotype" w:eastAsia="Palatino Linotype" w:hAnsi="Palatino Linotype" w:cs="Palatino Linotype"/>
        </w:rPr>
        <w:t>Sobre la base del precepto legal citado, se advierte que toda institución pública o dependencia pública del Estado de México debe conservar las constancias de pago de salarios, prima vacacional, aguinaldo y demás prestaciones legales de acuerdo con la forma en que se haya 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rsidR="00887FF3" w:rsidRPr="001C21CA" w:rsidRDefault="00887FF3" w:rsidP="00887FF3">
      <w:pPr>
        <w:spacing w:line="360" w:lineRule="auto"/>
        <w:rPr>
          <w:rFonts w:ascii="Palatino Linotype" w:hAnsi="Palatino Linotype"/>
        </w:rPr>
      </w:pPr>
    </w:p>
    <w:p w:rsidR="00887FF3" w:rsidRPr="001C21CA" w:rsidRDefault="00887FF3" w:rsidP="00887FF3">
      <w:pPr>
        <w:spacing w:line="360" w:lineRule="auto"/>
        <w:jc w:val="both"/>
        <w:rPr>
          <w:rFonts w:ascii="Palatino Linotype" w:hAnsi="Palatino Linotype"/>
        </w:rPr>
      </w:pPr>
      <w:r w:rsidRPr="001C21CA">
        <w:rPr>
          <w:rFonts w:ascii="Palatino Linotype" w:eastAsia="Palatino Linotype" w:hAnsi="Palatino Linotype" w:cs="Palatino Linotype"/>
        </w:rPr>
        <w:t xml:space="preserve">En estas condiciones, resulta claro que la información de mérito es generada en ejercicio de las atribuciones del </w:t>
      </w:r>
      <w:r w:rsidRPr="001C21CA">
        <w:rPr>
          <w:rFonts w:ascii="Palatino Linotype" w:eastAsia="Palatino Linotype" w:hAnsi="Palatino Linotype" w:cs="Palatino Linotype"/>
          <w:b/>
        </w:rPr>
        <w:t>Sujeto Obligado</w:t>
      </w:r>
      <w:r w:rsidRPr="001C21CA">
        <w:rPr>
          <w:rFonts w:ascii="Palatino Linotype" w:eastAsia="Palatino Linotype" w:hAnsi="Palatino Linotype" w:cs="Palatino Linotype"/>
        </w:rPr>
        <w:t xml:space="preserve"> de acuerdo a lo dispuesto por los artículos 4, segundo párrafo y 12, segundo párrafo de la Ley de Transparencia y Acceso a la Información Pública del Estado de México y Municipios; consecuentemente debe obrar en sus archivos de conformidad a lo que señala el artículo 19 de la Ley de Transparencia Local que establece que debe presumirse la existencia de la información, si se refiere a las facultades, competencias y funciones que los ordenamientos jurídicos aplicables otorgan a los Sujetos Obligados.</w:t>
      </w:r>
    </w:p>
    <w:p w:rsidR="00887FF3" w:rsidRPr="001C21CA" w:rsidRDefault="00887FF3" w:rsidP="00887FF3">
      <w:pPr>
        <w:rPr>
          <w:rFonts w:ascii="Palatino Linotype" w:hAnsi="Palatino Linotype"/>
        </w:rPr>
      </w:pPr>
    </w:p>
    <w:p w:rsidR="00887FF3" w:rsidRPr="001C21CA" w:rsidRDefault="00887FF3" w:rsidP="00887FF3">
      <w:pPr>
        <w:spacing w:after="160" w:line="360" w:lineRule="auto"/>
        <w:jc w:val="both"/>
        <w:rPr>
          <w:rFonts w:ascii="Palatino Linotype" w:hAnsi="Palatino Linotype"/>
        </w:rPr>
      </w:pPr>
      <w:r w:rsidRPr="001C21CA">
        <w:rPr>
          <w:rFonts w:ascii="Palatino Linotype" w:eastAsia="Palatino Linotype" w:hAnsi="Palatino Linotype" w:cs="Palatino Linotype"/>
        </w:rPr>
        <w:lastRenderedPageBreak/>
        <w:t xml:space="preserve">Sirve de sustento por analogía, para justificar la publicidad sobre los datos relativos a los montos por concepto de pago de las remuneraciones, los criterios </w:t>
      </w:r>
      <w:r w:rsidRPr="001C21CA">
        <w:rPr>
          <w:rFonts w:ascii="Palatino Linotype" w:eastAsia="Palatino Linotype" w:hAnsi="Palatino Linotype" w:cs="Palatino Linotype"/>
          <w:b/>
        </w:rPr>
        <w:t>01/2003</w:t>
      </w:r>
      <w:r w:rsidRPr="001C21CA">
        <w:rPr>
          <w:rFonts w:ascii="Palatino Linotype" w:eastAsia="Palatino Linotype" w:hAnsi="Palatino Linotype" w:cs="Palatino Linotype"/>
        </w:rPr>
        <w:t xml:space="preserve"> y </w:t>
      </w:r>
      <w:r w:rsidRPr="001C21CA">
        <w:rPr>
          <w:rFonts w:ascii="Palatino Linotype" w:eastAsia="Palatino Linotype" w:hAnsi="Palatino Linotype" w:cs="Palatino Linotype"/>
          <w:b/>
        </w:rPr>
        <w:t>02/2003</w:t>
      </w:r>
      <w:r w:rsidRPr="001C21CA">
        <w:rPr>
          <w:rFonts w:ascii="Palatino Linotype" w:eastAsia="Palatino Linotype" w:hAnsi="Palatino Linotype" w:cs="Palatino Linotype"/>
        </w:rPr>
        <w:t xml:space="preserve"> emitidos por el Comité de Acceso a la Información Pública y Protección de Datos Personales de la Suprema Corte de Justicia de la Nación que a continuación se citan: </w:t>
      </w:r>
    </w:p>
    <w:p w:rsidR="00887FF3" w:rsidRPr="001C21CA" w:rsidRDefault="00887FF3" w:rsidP="00887FF3">
      <w:pPr>
        <w:tabs>
          <w:tab w:val="left" w:pos="7513"/>
        </w:tabs>
        <w:spacing w:line="276" w:lineRule="auto"/>
        <w:ind w:left="851" w:right="616"/>
        <w:rPr>
          <w:rFonts w:ascii="Palatino Linotype" w:hAnsi="Palatino Linotype"/>
          <w:sz w:val="22"/>
          <w:szCs w:val="22"/>
        </w:rPr>
      </w:pPr>
      <w:r w:rsidRPr="001C21CA">
        <w:rPr>
          <w:rFonts w:ascii="Palatino Linotype" w:eastAsia="Palatino Linotype" w:hAnsi="Palatino Linotype" w:cs="Palatino Linotype"/>
          <w:b/>
          <w:i/>
          <w:sz w:val="22"/>
          <w:szCs w:val="22"/>
        </w:rPr>
        <w:t>“Criterio 01/2003.</w:t>
      </w:r>
    </w:p>
    <w:p w:rsidR="00887FF3" w:rsidRPr="001C21CA" w:rsidRDefault="00887FF3" w:rsidP="00887FF3">
      <w:pPr>
        <w:tabs>
          <w:tab w:val="left" w:pos="7513"/>
        </w:tabs>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b/>
          <w:i/>
          <w:sz w:val="22"/>
          <w:szCs w:val="22"/>
        </w:rPr>
        <w:t>INGRESOS DE LOS SERVIDORES PÚBLICOS. CONSTITUYEN INFORMACIÓN PÚBLICA AÚN Y CUANDO SU DIFUSIÓN PUEDE AFECTAR LA VIDA O LA SEGURIDAD DE AQUELLOS.</w:t>
      </w:r>
      <w:r w:rsidRPr="001C21CA">
        <w:rPr>
          <w:rFonts w:ascii="Palatino Linotype" w:eastAsia="Palatino Linotype" w:hAnsi="Palatino Linotype" w:cs="Palatino Linotype"/>
          <w:i/>
          <w:sz w:val="22"/>
          <w:szCs w:val="22"/>
        </w:rPr>
        <w:t> </w:t>
      </w:r>
    </w:p>
    <w:p w:rsidR="00887FF3" w:rsidRPr="001C21CA" w:rsidRDefault="00887FF3" w:rsidP="00887FF3">
      <w:pPr>
        <w:tabs>
          <w:tab w:val="left" w:pos="7513"/>
        </w:tabs>
        <w:spacing w:line="276" w:lineRule="auto"/>
        <w:ind w:left="851" w:right="616"/>
        <w:jc w:val="both"/>
        <w:rPr>
          <w:rFonts w:ascii="Palatino Linotype" w:eastAsia="Palatino Linotype" w:hAnsi="Palatino Linotype" w:cs="Palatino Linotype"/>
          <w:i/>
          <w:sz w:val="22"/>
          <w:szCs w:val="22"/>
          <w:u w:val="single"/>
        </w:rPr>
      </w:pPr>
      <w:r w:rsidRPr="001C21CA">
        <w:rPr>
          <w:rFonts w:ascii="Palatino Linotype" w:eastAsia="Palatino Linotype" w:hAnsi="Palatino Linotype" w:cs="Palatino Linotype"/>
          <w:i/>
          <w:sz w:val="22"/>
          <w:szCs w:val="22"/>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1C21CA">
        <w:rPr>
          <w:rFonts w:ascii="Palatino Linotype" w:eastAsia="Palatino Linotype" w:hAnsi="Palatino Linotype" w:cs="Palatino Linotype"/>
          <w:b/>
          <w:i/>
          <w:sz w:val="22"/>
          <w:szCs w:val="22"/>
          <w:u w:val="single"/>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1C21CA">
        <w:rPr>
          <w:rFonts w:ascii="Palatino Linotype" w:eastAsia="Palatino Linotype" w:hAnsi="Palatino Linotype" w:cs="Palatino Linotype"/>
          <w:i/>
          <w:sz w:val="22"/>
          <w:szCs w:val="22"/>
          <w:u w:val="single"/>
        </w:rPr>
        <w:t>…”</w:t>
      </w:r>
    </w:p>
    <w:p w:rsidR="002E05B2" w:rsidRPr="001C21CA" w:rsidRDefault="002E05B2" w:rsidP="00887FF3">
      <w:pPr>
        <w:tabs>
          <w:tab w:val="left" w:pos="7513"/>
        </w:tabs>
        <w:spacing w:line="276" w:lineRule="auto"/>
        <w:ind w:left="851" w:right="616"/>
        <w:jc w:val="both"/>
        <w:rPr>
          <w:rFonts w:ascii="Palatino Linotype" w:hAnsi="Palatino Linotype"/>
          <w:sz w:val="22"/>
          <w:szCs w:val="22"/>
        </w:rPr>
      </w:pPr>
    </w:p>
    <w:p w:rsidR="002E05B2" w:rsidRPr="001C21CA" w:rsidRDefault="00887FF3" w:rsidP="002E05B2">
      <w:pPr>
        <w:tabs>
          <w:tab w:val="left" w:pos="7513"/>
        </w:tabs>
        <w:spacing w:line="276" w:lineRule="auto"/>
        <w:ind w:left="851" w:right="616"/>
        <w:rPr>
          <w:rFonts w:ascii="Palatino Linotype" w:eastAsia="Palatino Linotype" w:hAnsi="Palatino Linotype" w:cs="Palatino Linotype"/>
          <w:b/>
          <w:i/>
          <w:sz w:val="22"/>
          <w:szCs w:val="22"/>
        </w:rPr>
      </w:pPr>
      <w:r w:rsidRPr="001C21CA">
        <w:rPr>
          <w:rFonts w:ascii="Palatino Linotype" w:eastAsia="Palatino Linotype" w:hAnsi="Palatino Linotype" w:cs="Palatino Linotype"/>
          <w:b/>
          <w:i/>
          <w:sz w:val="22"/>
          <w:szCs w:val="22"/>
        </w:rPr>
        <w:t>“Criterio 02/2003.</w:t>
      </w:r>
    </w:p>
    <w:p w:rsidR="00887FF3" w:rsidRPr="001C21CA" w:rsidRDefault="00887FF3" w:rsidP="00887FF3">
      <w:pPr>
        <w:tabs>
          <w:tab w:val="left" w:pos="7513"/>
        </w:tabs>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b/>
          <w:i/>
          <w:sz w:val="22"/>
          <w:szCs w:val="22"/>
        </w:rPr>
        <w:t>INGRESOS DE LOS SERVIDORES PÚBLICOS, SON INFORMACIÓN PÚBLICA AÚN Y CUANDO CONSTITUYEN DATOS PERSONALES QUE SE REFIEREN AL PATRIMONIO DE AQUÉLLOS.</w:t>
      </w:r>
      <w:r w:rsidRPr="001C21CA">
        <w:rPr>
          <w:rFonts w:ascii="Palatino Linotype" w:eastAsia="Palatino Linotype" w:hAnsi="Palatino Linotype" w:cs="Palatino Linotype"/>
          <w:i/>
          <w:sz w:val="22"/>
          <w:szCs w:val="22"/>
        </w:rPr>
        <w:t> </w:t>
      </w:r>
    </w:p>
    <w:p w:rsidR="00887FF3" w:rsidRPr="001C21CA" w:rsidRDefault="00887FF3" w:rsidP="00887FF3">
      <w:pPr>
        <w:tabs>
          <w:tab w:val="left" w:pos="7513"/>
        </w:tabs>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w:t>
      </w:r>
      <w:r w:rsidRPr="001C21CA">
        <w:rPr>
          <w:rFonts w:ascii="Palatino Linotype" w:eastAsia="Palatino Linotype" w:hAnsi="Palatino Linotype" w:cs="Palatino Linotype"/>
          <w:i/>
          <w:sz w:val="22"/>
          <w:szCs w:val="22"/>
        </w:rPr>
        <w:lastRenderedPageBreak/>
        <w:t xml:space="preserve">aquellos, </w:t>
      </w:r>
      <w:r w:rsidRPr="001C21CA">
        <w:rPr>
          <w:rFonts w:ascii="Palatino Linotype" w:eastAsia="Palatino Linotype" w:hAnsi="Palatino Linotype" w:cs="Palatino Linotype"/>
          <w:b/>
          <w:i/>
          <w:sz w:val="22"/>
          <w:szCs w:val="22"/>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1C21CA">
        <w:rPr>
          <w:rFonts w:ascii="Palatino Linotype" w:eastAsia="Palatino Linotype" w:hAnsi="Palatino Linotype" w:cs="Palatino Linotype"/>
          <w:i/>
          <w:sz w:val="22"/>
          <w:szCs w:val="22"/>
        </w:rPr>
        <w:t xml:space="preserve"> el sistema de compensación…”</w:t>
      </w:r>
    </w:p>
    <w:p w:rsidR="00887FF3" w:rsidRPr="001C21CA" w:rsidRDefault="00887FF3" w:rsidP="00887FF3">
      <w:pPr>
        <w:rPr>
          <w:rFonts w:ascii="Palatino Linotype" w:hAnsi="Palatino Linotype"/>
          <w:sz w:val="22"/>
          <w:szCs w:val="22"/>
        </w:rPr>
      </w:pPr>
    </w:p>
    <w:p w:rsidR="00887FF3" w:rsidRPr="001C21CA" w:rsidRDefault="00887FF3" w:rsidP="00887FF3">
      <w:pPr>
        <w:spacing w:line="360" w:lineRule="auto"/>
        <w:jc w:val="both"/>
        <w:rPr>
          <w:rFonts w:ascii="Palatino Linotype" w:hAnsi="Palatino Linotype"/>
          <w:sz w:val="22"/>
          <w:szCs w:val="22"/>
        </w:rPr>
      </w:pPr>
      <w:r w:rsidRPr="001C21CA">
        <w:rPr>
          <w:rFonts w:ascii="Palatino Linotype" w:eastAsia="Palatino Linotype" w:hAnsi="Palatino Linotype" w:cs="Palatino Linotype"/>
        </w:rPr>
        <w:t>Ahora bien, el artículo 92, fracción VIII de la Ley de Transparencia y Acceso a la Información Pública del Estado de México y Municipios, señala</w:t>
      </w:r>
      <w:r w:rsidRPr="001C21CA">
        <w:rPr>
          <w:rFonts w:ascii="Palatino Linotype" w:eastAsia="Palatino Linotype" w:hAnsi="Palatino Linotype" w:cs="Palatino Linotype"/>
          <w:sz w:val="22"/>
          <w:szCs w:val="22"/>
        </w:rPr>
        <w:t>: </w:t>
      </w: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i/>
          <w:sz w:val="22"/>
          <w:szCs w:val="22"/>
        </w:rPr>
        <w:t>“</w:t>
      </w:r>
      <w:r w:rsidRPr="001C21CA">
        <w:rPr>
          <w:rFonts w:ascii="Palatino Linotype" w:eastAsia="Palatino Linotype" w:hAnsi="Palatino Linotype" w:cs="Palatino Linotype"/>
          <w:b/>
          <w:bCs/>
          <w:i/>
          <w:sz w:val="22"/>
          <w:szCs w:val="22"/>
        </w:rPr>
        <w:t>Artículo 92.</w:t>
      </w:r>
      <w:r w:rsidRPr="001C21CA">
        <w:rPr>
          <w:rFonts w:ascii="Palatino Linotype" w:eastAsia="Palatino Linotype" w:hAnsi="Palatino Linotype" w:cs="Palatino Linotype"/>
          <w:i/>
          <w:sz w:val="22"/>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887FF3" w:rsidRPr="001C21CA" w:rsidRDefault="00887FF3" w:rsidP="00887FF3">
      <w:pPr>
        <w:spacing w:line="276" w:lineRule="auto"/>
        <w:ind w:left="851" w:right="616"/>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i/>
          <w:sz w:val="22"/>
          <w:szCs w:val="22"/>
        </w:rPr>
        <w:t>(…)</w:t>
      </w:r>
    </w:p>
    <w:p w:rsidR="00887FF3" w:rsidRPr="001C21CA" w:rsidRDefault="00887FF3" w:rsidP="00887FF3">
      <w:pPr>
        <w:spacing w:line="276" w:lineRule="auto"/>
        <w:ind w:left="851" w:right="616"/>
        <w:jc w:val="both"/>
        <w:rPr>
          <w:rFonts w:ascii="Palatino Linotype" w:hAnsi="Palatino Linotype"/>
          <w:sz w:val="22"/>
          <w:szCs w:val="22"/>
        </w:rPr>
      </w:pPr>
    </w:p>
    <w:p w:rsidR="00887FF3" w:rsidRPr="001C21CA" w:rsidRDefault="00887FF3" w:rsidP="00887FF3">
      <w:pPr>
        <w:spacing w:line="276" w:lineRule="auto"/>
        <w:ind w:left="851" w:right="616"/>
        <w:jc w:val="both"/>
        <w:rPr>
          <w:rFonts w:ascii="Palatino Linotype" w:hAnsi="Palatino Linotype"/>
          <w:sz w:val="22"/>
          <w:szCs w:val="22"/>
        </w:rPr>
      </w:pPr>
      <w:r w:rsidRPr="001C21CA">
        <w:rPr>
          <w:rFonts w:ascii="Palatino Linotype" w:eastAsia="Palatino Linotype" w:hAnsi="Palatino Linotype" w:cs="Palatino Linotype"/>
          <w:b/>
          <w:bCs/>
          <w:i/>
          <w:sz w:val="22"/>
          <w:szCs w:val="22"/>
        </w:rPr>
        <w:t>VIII.</w:t>
      </w:r>
      <w:r w:rsidRPr="001C21CA">
        <w:rPr>
          <w:rFonts w:ascii="Palatino Linotype" w:eastAsia="Palatino Linotype" w:hAnsi="Palatino Linotype" w:cs="Palatino Linotype"/>
          <w:i/>
          <w:sz w:val="22"/>
          <w:szCs w:val="22"/>
        </w:rPr>
        <w:t xml:space="preserv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rsidR="00887FF3" w:rsidRPr="001C21CA" w:rsidRDefault="00887FF3" w:rsidP="00887FF3">
      <w:pPr>
        <w:spacing w:line="360" w:lineRule="auto"/>
        <w:jc w:val="both"/>
        <w:rPr>
          <w:rFonts w:ascii="Palatino Linotype" w:hAnsi="Palatino Linotype"/>
        </w:rPr>
      </w:pPr>
    </w:p>
    <w:p w:rsidR="00887FF3" w:rsidRPr="001C21CA" w:rsidRDefault="00887FF3" w:rsidP="00887FF3">
      <w:pPr>
        <w:spacing w:after="240" w:line="360" w:lineRule="auto"/>
        <w:ind w:right="49"/>
        <w:jc w:val="both"/>
        <w:rPr>
          <w:rFonts w:ascii="Palatino Linotype" w:eastAsia="Palatino Linotype" w:hAnsi="Palatino Linotype" w:cs="Palatino Linotype"/>
        </w:rPr>
      </w:pPr>
      <w:r w:rsidRPr="001C21CA">
        <w:rPr>
          <w:rFonts w:ascii="Palatino Linotype" w:eastAsia="Palatino Linotype" w:hAnsi="Palatino Linotype" w:cs="Palatino Linotype"/>
        </w:rPr>
        <w:t>Ahora bien, derivado de la naturaleza de la información es necesario precisar que los recibos de nómina se integran de los siguientes elementos:</w:t>
      </w:r>
    </w:p>
    <w:p w:rsidR="00887FF3" w:rsidRPr="001C21CA" w:rsidRDefault="00887FF3" w:rsidP="00887FF3">
      <w:pPr>
        <w:pStyle w:val="Prrafodelista"/>
        <w:numPr>
          <w:ilvl w:val="0"/>
          <w:numId w:val="4"/>
        </w:numPr>
        <w:tabs>
          <w:tab w:val="left" w:pos="567"/>
        </w:tabs>
        <w:spacing w:line="360" w:lineRule="auto"/>
        <w:jc w:val="both"/>
        <w:rPr>
          <w:rFonts w:ascii="Palatino Linotype" w:eastAsia="Calibri" w:hAnsi="Palatino Linotype" w:cs="Arial"/>
        </w:rPr>
      </w:pPr>
      <w:r w:rsidRPr="001C21CA">
        <w:rPr>
          <w:rFonts w:ascii="Palatino Linotype" w:eastAsia="Calibri" w:hAnsi="Palatino Linotype" w:cs="Arial"/>
        </w:rPr>
        <w:t>Registro Federal de Contribuyentes (RFC);</w:t>
      </w:r>
    </w:p>
    <w:p w:rsidR="00887FF3" w:rsidRPr="001C21CA" w:rsidRDefault="00887FF3" w:rsidP="00887FF3">
      <w:pPr>
        <w:pStyle w:val="Prrafodelista"/>
        <w:numPr>
          <w:ilvl w:val="0"/>
          <w:numId w:val="4"/>
        </w:numPr>
        <w:tabs>
          <w:tab w:val="left" w:pos="567"/>
        </w:tabs>
        <w:spacing w:line="360" w:lineRule="auto"/>
        <w:jc w:val="both"/>
        <w:rPr>
          <w:rFonts w:ascii="Palatino Linotype" w:eastAsia="Calibri" w:hAnsi="Palatino Linotype" w:cs="Arial"/>
        </w:rPr>
      </w:pPr>
      <w:r w:rsidRPr="001C21CA">
        <w:rPr>
          <w:rFonts w:ascii="Palatino Linotype" w:eastAsia="Calibri" w:hAnsi="Palatino Linotype" w:cs="Arial"/>
        </w:rPr>
        <w:t>Total de Deducciones;</w:t>
      </w:r>
    </w:p>
    <w:p w:rsidR="00887FF3" w:rsidRPr="001C21CA" w:rsidRDefault="00887FF3" w:rsidP="00887FF3">
      <w:pPr>
        <w:pStyle w:val="Prrafodelista"/>
        <w:numPr>
          <w:ilvl w:val="0"/>
          <w:numId w:val="4"/>
        </w:numPr>
        <w:tabs>
          <w:tab w:val="left" w:pos="567"/>
        </w:tabs>
        <w:spacing w:line="360" w:lineRule="auto"/>
        <w:jc w:val="both"/>
        <w:rPr>
          <w:rFonts w:ascii="Palatino Linotype" w:eastAsia="Calibri" w:hAnsi="Palatino Linotype" w:cs="Arial"/>
        </w:rPr>
      </w:pPr>
      <w:r w:rsidRPr="001C21CA">
        <w:rPr>
          <w:rFonts w:ascii="Palatino Linotype" w:eastAsia="Calibri" w:hAnsi="Palatino Linotype" w:cs="Arial"/>
        </w:rPr>
        <w:t>Código QR;</w:t>
      </w:r>
    </w:p>
    <w:p w:rsidR="00887FF3" w:rsidRPr="001C21CA" w:rsidRDefault="00887FF3" w:rsidP="00887FF3">
      <w:pPr>
        <w:pStyle w:val="Prrafodelista"/>
        <w:numPr>
          <w:ilvl w:val="0"/>
          <w:numId w:val="4"/>
        </w:numPr>
        <w:tabs>
          <w:tab w:val="left" w:pos="567"/>
        </w:tabs>
        <w:spacing w:line="360" w:lineRule="auto"/>
        <w:jc w:val="both"/>
        <w:rPr>
          <w:rFonts w:ascii="Palatino Linotype" w:eastAsia="Calibri" w:hAnsi="Palatino Linotype" w:cs="Arial"/>
        </w:rPr>
      </w:pPr>
      <w:r w:rsidRPr="001C21CA">
        <w:rPr>
          <w:rFonts w:ascii="Palatino Linotype" w:eastAsia="Calibri" w:hAnsi="Palatino Linotype" w:cs="Arial"/>
        </w:rPr>
        <w:t>Sello Digital del SAT.</w:t>
      </w:r>
    </w:p>
    <w:p w:rsidR="00887FF3" w:rsidRPr="001C21CA" w:rsidRDefault="00887FF3" w:rsidP="00887FF3">
      <w:pPr>
        <w:pStyle w:val="Prrafodelista"/>
        <w:numPr>
          <w:ilvl w:val="0"/>
          <w:numId w:val="4"/>
        </w:numPr>
        <w:tabs>
          <w:tab w:val="left" w:pos="567"/>
        </w:tabs>
        <w:spacing w:line="360" w:lineRule="auto"/>
        <w:jc w:val="both"/>
        <w:rPr>
          <w:rFonts w:ascii="Palatino Linotype" w:eastAsia="Calibri" w:hAnsi="Palatino Linotype" w:cs="Arial"/>
        </w:rPr>
      </w:pPr>
      <w:r w:rsidRPr="001C21CA">
        <w:rPr>
          <w:rFonts w:ascii="Palatino Linotype" w:eastAsia="Calibri" w:hAnsi="Palatino Linotype" w:cs="Arial"/>
        </w:rPr>
        <w:t>Sello Digital del Contribuyente; y</w:t>
      </w:r>
    </w:p>
    <w:p w:rsidR="00887FF3" w:rsidRPr="001C21CA" w:rsidRDefault="00887FF3" w:rsidP="00887FF3">
      <w:pPr>
        <w:pStyle w:val="Prrafodelista"/>
        <w:numPr>
          <w:ilvl w:val="0"/>
          <w:numId w:val="4"/>
        </w:numPr>
        <w:tabs>
          <w:tab w:val="left" w:pos="567"/>
        </w:tabs>
        <w:spacing w:line="360" w:lineRule="auto"/>
        <w:jc w:val="both"/>
        <w:rPr>
          <w:rFonts w:ascii="Palatino Linotype" w:eastAsia="Calibri" w:hAnsi="Palatino Linotype" w:cs="Arial"/>
        </w:rPr>
      </w:pPr>
      <w:r w:rsidRPr="001C21CA">
        <w:rPr>
          <w:rFonts w:ascii="Palatino Linotype" w:eastAsia="Calibri" w:hAnsi="Palatino Linotype" w:cs="Arial"/>
        </w:rPr>
        <w:t>Número de Serie del CSD del SAT;</w:t>
      </w:r>
    </w:p>
    <w:p w:rsidR="00887FF3" w:rsidRPr="001C21CA" w:rsidRDefault="00887FF3" w:rsidP="00887FF3">
      <w:pPr>
        <w:pStyle w:val="Prrafodelista"/>
        <w:numPr>
          <w:ilvl w:val="0"/>
          <w:numId w:val="4"/>
        </w:numPr>
        <w:tabs>
          <w:tab w:val="left" w:pos="567"/>
        </w:tabs>
        <w:spacing w:line="360" w:lineRule="auto"/>
        <w:jc w:val="both"/>
        <w:rPr>
          <w:rFonts w:ascii="Palatino Linotype" w:eastAsia="Calibri" w:hAnsi="Palatino Linotype" w:cs="Arial"/>
        </w:rPr>
      </w:pPr>
      <w:r w:rsidRPr="001C21CA">
        <w:rPr>
          <w:rFonts w:ascii="Palatino Linotype" w:eastAsia="Calibri" w:hAnsi="Palatino Linotype" w:cs="Arial"/>
        </w:rPr>
        <w:t>Número de Serie del CDS del emisor;</w:t>
      </w:r>
    </w:p>
    <w:p w:rsidR="00887FF3" w:rsidRPr="001C21CA" w:rsidRDefault="00887FF3" w:rsidP="00887FF3">
      <w:pPr>
        <w:pStyle w:val="Prrafodelista"/>
        <w:numPr>
          <w:ilvl w:val="0"/>
          <w:numId w:val="4"/>
        </w:numPr>
        <w:tabs>
          <w:tab w:val="left" w:pos="567"/>
        </w:tabs>
        <w:spacing w:line="360" w:lineRule="auto"/>
        <w:jc w:val="both"/>
        <w:rPr>
          <w:rFonts w:ascii="Palatino Linotype" w:eastAsia="Calibri" w:hAnsi="Palatino Linotype" w:cs="Arial"/>
        </w:rPr>
      </w:pPr>
      <w:r w:rsidRPr="001C21CA">
        <w:rPr>
          <w:rFonts w:ascii="Palatino Linotype" w:eastAsia="Calibri" w:hAnsi="Palatino Linotype" w:cs="Arial"/>
        </w:rPr>
        <w:lastRenderedPageBreak/>
        <w:t>Serie y folio;</w:t>
      </w:r>
    </w:p>
    <w:p w:rsidR="00887FF3" w:rsidRPr="001C21CA" w:rsidRDefault="00887FF3" w:rsidP="00887FF3">
      <w:pPr>
        <w:spacing w:line="360" w:lineRule="auto"/>
        <w:ind w:right="49"/>
        <w:contextualSpacing/>
        <w:jc w:val="both"/>
        <w:rPr>
          <w:rFonts w:ascii="Palatino Linotype" w:eastAsia="MS Mincho" w:hAnsi="Palatino Linotype" w:cstheme="majorBidi"/>
        </w:rPr>
      </w:pPr>
      <w:r w:rsidRPr="001C21CA">
        <w:rPr>
          <w:rFonts w:ascii="Palatino Linotype" w:eastAsia="MS Mincho" w:hAnsi="Palatino Linotype" w:cstheme="majorBidi"/>
        </w:rPr>
        <w:t>Los elementos enlistados, serán analizados de manera individual para determinar si debe prevalecer su publicidad o, por el contrario, procede su clasificación, a efecto de determinar si la versión pública que realizó el Sujeto Obligado se encuentra apegada a derecho.</w:t>
      </w:r>
    </w:p>
    <w:p w:rsidR="00887FF3" w:rsidRPr="001C21CA" w:rsidRDefault="00887FF3" w:rsidP="00887FF3">
      <w:pPr>
        <w:spacing w:line="360" w:lineRule="auto"/>
        <w:ind w:right="49"/>
        <w:contextualSpacing/>
        <w:jc w:val="both"/>
        <w:rPr>
          <w:rFonts w:ascii="Palatino Linotype" w:eastAsia="MS Mincho" w:hAnsi="Palatino Linotype" w:cstheme="majorBidi"/>
          <w:sz w:val="22"/>
          <w:szCs w:val="22"/>
        </w:rPr>
      </w:pPr>
    </w:p>
    <w:p w:rsidR="00887FF3" w:rsidRPr="001C21CA" w:rsidRDefault="00887FF3" w:rsidP="00887FF3">
      <w:pPr>
        <w:rPr>
          <w:rFonts w:ascii="Palatino Linotype" w:hAnsi="Palatino Linotype"/>
          <w:b/>
          <w:i/>
        </w:rPr>
      </w:pPr>
      <w:bookmarkStart w:id="1" w:name="_Toc86917945"/>
      <w:r w:rsidRPr="001C21CA">
        <w:rPr>
          <w:rFonts w:ascii="Palatino Linotype" w:hAnsi="Palatino Linotype"/>
          <w:b/>
          <w:i/>
        </w:rPr>
        <w:t>I. Registro Federal de Contribuyentes (RFC)</w:t>
      </w:r>
      <w:bookmarkEnd w:id="1"/>
      <w:r w:rsidRPr="001C21CA">
        <w:rPr>
          <w:rFonts w:ascii="Palatino Linotype" w:hAnsi="Palatino Linotype"/>
          <w:b/>
          <w:i/>
        </w:rPr>
        <w:t xml:space="preserve"> </w:t>
      </w:r>
    </w:p>
    <w:p w:rsidR="00887FF3" w:rsidRPr="001C21CA" w:rsidRDefault="00887FF3" w:rsidP="00887FF3">
      <w:pPr>
        <w:rPr>
          <w:rFonts w:ascii="Palatino Linotype" w:hAnsi="Palatino Linotype"/>
          <w:sz w:val="22"/>
          <w:szCs w:val="22"/>
          <w:lang w:val="es-ES_tradnl"/>
        </w:rPr>
      </w:pPr>
    </w:p>
    <w:p w:rsidR="00887FF3" w:rsidRPr="001C21CA" w:rsidRDefault="00887FF3" w:rsidP="00887FF3">
      <w:pPr>
        <w:pStyle w:val="Prrafodelista"/>
        <w:spacing w:line="360" w:lineRule="auto"/>
        <w:ind w:left="0"/>
        <w:jc w:val="both"/>
        <w:rPr>
          <w:rFonts w:ascii="Palatino Linotype" w:hAnsi="Palatino Linotype" w:cs="Tahoma"/>
        </w:rPr>
      </w:pPr>
      <w:r w:rsidRPr="001C21CA">
        <w:rPr>
          <w:rFonts w:ascii="Palatino Linotype" w:hAnsi="Palatino Linotype" w:cs="Tahoma"/>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887FF3" w:rsidRPr="001C21CA" w:rsidRDefault="00887FF3" w:rsidP="00887FF3">
      <w:pPr>
        <w:pStyle w:val="Prrafodelista"/>
        <w:spacing w:line="360" w:lineRule="auto"/>
        <w:ind w:left="0"/>
        <w:jc w:val="both"/>
        <w:rPr>
          <w:rFonts w:ascii="Palatino Linotype" w:hAnsi="Palatino Linotype" w:cs="Tahoma"/>
        </w:rPr>
      </w:pPr>
    </w:p>
    <w:p w:rsidR="00887FF3" w:rsidRPr="001C21CA" w:rsidRDefault="00887FF3" w:rsidP="00887FF3">
      <w:pPr>
        <w:pStyle w:val="Prrafodelista"/>
        <w:spacing w:line="360" w:lineRule="auto"/>
        <w:ind w:left="0"/>
        <w:jc w:val="both"/>
        <w:rPr>
          <w:rFonts w:ascii="Palatino Linotype" w:hAnsi="Palatino Linotype" w:cs="Tahoma"/>
        </w:rPr>
      </w:pPr>
      <w:r w:rsidRPr="001C21CA">
        <w:rPr>
          <w:rFonts w:ascii="Palatino Linotype" w:hAnsi="Palatino Linotype" w:cs="Tahoma"/>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887FF3" w:rsidRPr="001C21CA" w:rsidRDefault="00887FF3" w:rsidP="00887FF3">
      <w:pPr>
        <w:pStyle w:val="Prrafodelista"/>
        <w:spacing w:line="360" w:lineRule="auto"/>
        <w:rPr>
          <w:rFonts w:ascii="Palatino Linotype" w:hAnsi="Palatino Linotype" w:cs="Tahoma"/>
        </w:rPr>
      </w:pPr>
    </w:p>
    <w:p w:rsidR="00887FF3" w:rsidRPr="001C21CA" w:rsidRDefault="00887FF3" w:rsidP="00887FF3">
      <w:pPr>
        <w:pStyle w:val="Prrafodelista"/>
        <w:spacing w:line="360" w:lineRule="auto"/>
        <w:ind w:left="0"/>
        <w:jc w:val="both"/>
        <w:rPr>
          <w:rFonts w:ascii="Palatino Linotype" w:hAnsi="Palatino Linotype" w:cs="Tahoma"/>
        </w:rPr>
      </w:pPr>
      <w:r w:rsidRPr="001C21CA">
        <w:rPr>
          <w:rFonts w:ascii="Palatino Linotype" w:hAnsi="Palatino Linotype" w:cs="Tahoma"/>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887FF3" w:rsidRPr="001C21CA" w:rsidRDefault="00887FF3" w:rsidP="00887FF3">
      <w:pPr>
        <w:pStyle w:val="Prrafodelista"/>
        <w:spacing w:line="360" w:lineRule="auto"/>
        <w:rPr>
          <w:rFonts w:ascii="Palatino Linotype" w:hAnsi="Palatino Linotype" w:cs="Tahoma"/>
        </w:rPr>
      </w:pPr>
    </w:p>
    <w:p w:rsidR="00887FF3" w:rsidRPr="001C21CA" w:rsidRDefault="00887FF3" w:rsidP="00887FF3">
      <w:pPr>
        <w:pStyle w:val="Prrafodelista"/>
        <w:spacing w:line="360" w:lineRule="auto"/>
        <w:ind w:left="0"/>
        <w:jc w:val="both"/>
        <w:rPr>
          <w:rFonts w:ascii="Palatino Linotype" w:hAnsi="Palatino Linotype" w:cs="Tahoma"/>
        </w:rPr>
      </w:pPr>
      <w:r w:rsidRPr="001C21CA">
        <w:rPr>
          <w:rFonts w:ascii="Palatino Linotype" w:hAnsi="Palatino Linotype" w:cs="Tahoma"/>
        </w:rPr>
        <w:lastRenderedPageBreak/>
        <w:t xml:space="preserve">Conforme a lo expuesto, el Registro Federal de Contribuyentes, </w:t>
      </w:r>
      <w:r w:rsidRPr="001C21CA">
        <w:rPr>
          <w:rFonts w:ascii="Palatino Linotype" w:hAnsi="Palatino Linotype" w:cs="Tahoma"/>
          <w:b/>
        </w:rPr>
        <w:t>es un dato personal</w:t>
      </w:r>
      <w:r w:rsidRPr="001C21CA">
        <w:rPr>
          <w:rFonts w:ascii="Palatino Linotype" w:hAnsi="Palatino Linotype" w:cs="Tahoma"/>
        </w:rPr>
        <w:t xml:space="preserve">,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 </w:t>
      </w:r>
      <w:r w:rsidRPr="001C21CA">
        <w:rPr>
          <w:rFonts w:ascii="Palatino Linotype" w:eastAsiaTheme="minorHAnsi" w:hAnsi="Palatino Linotype" w:cs="Tahoma"/>
          <w:bCs/>
        </w:rPr>
        <w:t>Lo anterior, resulta congruente con el Criterio 19/17 emitido por el Instituto Nacional de Transparencia, Acceso a la Información y Protección de Datos Personales, en el cual se señala lo siguiente:</w:t>
      </w:r>
    </w:p>
    <w:p w:rsidR="00887FF3" w:rsidRPr="001C21CA" w:rsidRDefault="00887FF3" w:rsidP="00887FF3">
      <w:pPr>
        <w:spacing w:line="360" w:lineRule="auto"/>
        <w:ind w:left="567"/>
        <w:jc w:val="both"/>
        <w:rPr>
          <w:rFonts w:ascii="Palatino Linotype" w:hAnsi="Palatino Linotype" w:cs="Tahoma"/>
          <w:b/>
          <w:i/>
          <w:sz w:val="22"/>
          <w:szCs w:val="22"/>
        </w:rPr>
      </w:pPr>
      <w:r w:rsidRPr="001C21CA">
        <w:rPr>
          <w:rFonts w:ascii="Palatino Linotype" w:hAnsi="Palatino Linotype"/>
          <w:b/>
          <w:i/>
          <w:sz w:val="22"/>
          <w:szCs w:val="22"/>
        </w:rPr>
        <w:t xml:space="preserve">Registro Federal de Contribuyentes (RFC) de personas físicas. </w:t>
      </w:r>
    </w:p>
    <w:p w:rsidR="00887FF3" w:rsidRPr="001C21CA" w:rsidRDefault="00887FF3" w:rsidP="00887FF3">
      <w:pPr>
        <w:pStyle w:val="Prrafodelista"/>
        <w:spacing w:line="360" w:lineRule="auto"/>
        <w:ind w:left="567" w:right="567"/>
        <w:jc w:val="both"/>
        <w:rPr>
          <w:rFonts w:ascii="Palatino Linotype" w:hAnsi="Palatino Linotype" w:cs="Tahoma"/>
          <w:i/>
          <w:sz w:val="22"/>
          <w:szCs w:val="22"/>
        </w:rPr>
      </w:pPr>
      <w:r w:rsidRPr="001C21CA">
        <w:rPr>
          <w:rFonts w:ascii="Palatino Linotype" w:hAnsi="Palatino Linotype" w:cs="Tahoma"/>
          <w:i/>
          <w:sz w:val="22"/>
          <w:szCs w:val="22"/>
        </w:rPr>
        <w:t>El RFC es una clave de carácter fiscal, única e irrepetible, que permite identificar al titular, su edad y fecha de nacimiento, por lo que es un dato personal de carácter confidencial.</w:t>
      </w:r>
    </w:p>
    <w:p w:rsidR="00887FF3" w:rsidRPr="001C21CA" w:rsidRDefault="00887FF3" w:rsidP="00887FF3">
      <w:pPr>
        <w:pStyle w:val="Prrafodelista"/>
        <w:spacing w:line="360" w:lineRule="auto"/>
        <w:ind w:left="567" w:right="567"/>
        <w:jc w:val="both"/>
        <w:rPr>
          <w:rFonts w:ascii="Palatino Linotype" w:hAnsi="Palatino Linotype" w:cs="Tahoma"/>
        </w:rPr>
      </w:pPr>
    </w:p>
    <w:p w:rsidR="00887FF3" w:rsidRPr="001C21CA" w:rsidRDefault="00887FF3" w:rsidP="00887FF3">
      <w:pPr>
        <w:pStyle w:val="Prrafodelista"/>
        <w:spacing w:line="360" w:lineRule="auto"/>
        <w:ind w:left="0"/>
        <w:jc w:val="both"/>
        <w:rPr>
          <w:rFonts w:ascii="Palatino Linotype" w:hAnsi="Palatino Linotype" w:cs="Tahoma"/>
        </w:rPr>
      </w:pPr>
      <w:r w:rsidRPr="001C21CA">
        <w:rPr>
          <w:rFonts w:ascii="Palatino Linotype" w:hAnsi="Palatino Linotype" w:cs="Tahoma"/>
          <w:b/>
        </w:rPr>
        <w:t>De tal suerte, el Registro Federal de Contribuyentes de las personas físicas no guarda relación con la transparencia de los recursos públicos</w:t>
      </w:r>
      <w:r w:rsidRPr="001C21CA">
        <w:rPr>
          <w:rFonts w:ascii="Palatino Linotype" w:hAnsi="Palatino Linotype" w:cs="Tahoma"/>
        </w:rPr>
        <w:t>, así como tampoco con el desempeño laboral que pueda tener una persona, por lo que debe ser clasificado como confidencial. En términos del artículo 143, fracción I de la Ley de Transparencia y Acceso a la Información Pública del Estado de México y Municipios.</w:t>
      </w:r>
    </w:p>
    <w:p w:rsidR="00887FF3" w:rsidRPr="001C21CA" w:rsidRDefault="00887FF3" w:rsidP="00887FF3">
      <w:pPr>
        <w:pStyle w:val="Prrafodelista"/>
        <w:spacing w:line="360" w:lineRule="auto"/>
        <w:ind w:left="0"/>
        <w:jc w:val="both"/>
        <w:rPr>
          <w:rFonts w:ascii="Palatino Linotype" w:hAnsi="Palatino Linotype" w:cs="Tahoma"/>
        </w:rPr>
      </w:pPr>
    </w:p>
    <w:p w:rsidR="00887FF3" w:rsidRPr="001C21CA" w:rsidRDefault="00887FF3" w:rsidP="00887FF3">
      <w:pPr>
        <w:rPr>
          <w:rFonts w:ascii="Palatino Linotype" w:hAnsi="Palatino Linotype"/>
          <w:b/>
          <w:i/>
        </w:rPr>
      </w:pPr>
      <w:bookmarkStart w:id="2" w:name="_Toc86917946"/>
      <w:r w:rsidRPr="001C21CA">
        <w:rPr>
          <w:rFonts w:ascii="Palatino Linotype" w:hAnsi="Palatino Linotype"/>
          <w:b/>
          <w:i/>
        </w:rPr>
        <w:t>II. Deducciones</w:t>
      </w:r>
      <w:bookmarkEnd w:id="2"/>
      <w:r w:rsidRPr="001C21CA">
        <w:rPr>
          <w:rFonts w:ascii="Palatino Linotype" w:hAnsi="Palatino Linotype"/>
          <w:b/>
          <w:i/>
        </w:rPr>
        <w:t>.</w:t>
      </w:r>
    </w:p>
    <w:p w:rsidR="00887FF3" w:rsidRPr="001C21CA" w:rsidRDefault="00887FF3" w:rsidP="00887FF3">
      <w:pPr>
        <w:pStyle w:val="Prrafodelista"/>
        <w:spacing w:line="360" w:lineRule="auto"/>
        <w:ind w:left="0"/>
        <w:jc w:val="both"/>
        <w:rPr>
          <w:rFonts w:ascii="Palatino Linotype" w:hAnsi="Palatino Linotype" w:cs="Tahoma"/>
          <w:bCs/>
        </w:rPr>
      </w:pPr>
      <w:r w:rsidRPr="001C21CA">
        <w:rPr>
          <w:rFonts w:ascii="Palatino Linotype" w:hAnsi="Palatino Linotype" w:cs="Tahoma"/>
          <w:bCs/>
        </w:rPr>
        <w:t xml:space="preserve">Es necesario precisar que existen deducciones que se generan con motivo de una decisión libre y voluntaria de los servidores públicos, como son: </w:t>
      </w:r>
      <w:r w:rsidRPr="001C21CA">
        <w:rPr>
          <w:rFonts w:ascii="Palatino Linotype" w:hAnsi="Palatino Linotype" w:cs="Tahoma"/>
          <w:b/>
          <w:bCs/>
        </w:rPr>
        <w:t xml:space="preserve">créditos personales, pensiones alimenticias, </w:t>
      </w:r>
      <w:r w:rsidRPr="001C21CA">
        <w:rPr>
          <w:rFonts w:ascii="Palatino Linotype" w:hAnsi="Palatino Linotype" w:cs="Tahoma"/>
          <w:b/>
          <w:bCs/>
          <w:u w:val="single"/>
        </w:rPr>
        <w:t>cuotas sindicales y fondo de resistencia del Sindicato Único de Trabajadores de los Poderes, Municipios e Institución Descentralizadas del Estado de México, seguro de vida, accidentes y enfermedades.</w:t>
      </w:r>
    </w:p>
    <w:p w:rsidR="00887FF3" w:rsidRPr="001C21CA" w:rsidRDefault="00887FF3" w:rsidP="00887FF3">
      <w:pPr>
        <w:pStyle w:val="Prrafodelista"/>
        <w:spacing w:line="360" w:lineRule="auto"/>
        <w:ind w:left="0"/>
        <w:jc w:val="both"/>
        <w:rPr>
          <w:rFonts w:ascii="Palatino Linotype" w:hAnsi="Palatino Linotype" w:cs="Tahoma"/>
          <w:bCs/>
        </w:rPr>
      </w:pPr>
      <w:r w:rsidRPr="001C21CA">
        <w:rPr>
          <w:rFonts w:ascii="Palatino Linotype" w:hAnsi="Palatino Linotype" w:cs="Tahoma"/>
          <w:bCs/>
        </w:rPr>
        <w:lastRenderedPageBreak/>
        <w:t xml:space="preserve">Asimismo, hay otras que se generan con motivo de una sentencia judicial, como es la pensión alimenticia que periódicamente se retira de la cuenta de un empleado, a efecto de que sea entregado a un tercero.  </w:t>
      </w:r>
    </w:p>
    <w:p w:rsidR="00887FF3" w:rsidRPr="001C21CA" w:rsidRDefault="00887FF3" w:rsidP="00887FF3">
      <w:pPr>
        <w:pStyle w:val="Prrafodelista"/>
        <w:spacing w:line="360" w:lineRule="auto"/>
        <w:ind w:left="0"/>
        <w:jc w:val="both"/>
        <w:rPr>
          <w:rFonts w:ascii="Palatino Linotype" w:hAnsi="Palatino Linotype" w:cs="Tahoma"/>
          <w:bCs/>
        </w:rPr>
      </w:pPr>
    </w:p>
    <w:p w:rsidR="00887FF3" w:rsidRPr="001C21CA" w:rsidRDefault="00887FF3" w:rsidP="00887FF3">
      <w:pPr>
        <w:pStyle w:val="Prrafodelista"/>
        <w:spacing w:line="360" w:lineRule="auto"/>
        <w:ind w:left="0"/>
        <w:jc w:val="both"/>
        <w:rPr>
          <w:rFonts w:ascii="Palatino Linotype" w:hAnsi="Palatino Linotype" w:cs="Tahoma"/>
          <w:bCs/>
        </w:rPr>
      </w:pPr>
      <w:r w:rsidRPr="001C21CA">
        <w:rPr>
          <w:rFonts w:ascii="Palatino Linotype" w:hAnsi="Palatino Linotype" w:cs="Tahoma"/>
          <w:bCs/>
        </w:rPr>
        <w:t>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Así, dichas deducciones reflejan el destino que un servidor público da a su patrimonio, lo que se aleja de la transparencia y rendición de cuentas.</w:t>
      </w:r>
    </w:p>
    <w:p w:rsidR="00887FF3" w:rsidRPr="001C21CA" w:rsidRDefault="00887FF3" w:rsidP="00887FF3">
      <w:pPr>
        <w:pStyle w:val="Prrafodelista"/>
        <w:spacing w:line="360" w:lineRule="auto"/>
        <w:ind w:left="0"/>
        <w:jc w:val="both"/>
        <w:rPr>
          <w:rFonts w:ascii="Palatino Linotype" w:hAnsi="Palatino Linotype" w:cs="Tahoma"/>
          <w:bCs/>
        </w:rPr>
      </w:pPr>
    </w:p>
    <w:p w:rsidR="00887FF3" w:rsidRPr="001C21CA" w:rsidRDefault="00887FF3" w:rsidP="00887FF3">
      <w:pPr>
        <w:pStyle w:val="Prrafodelista"/>
        <w:numPr>
          <w:ilvl w:val="4"/>
          <w:numId w:val="3"/>
        </w:numPr>
        <w:ind w:left="709"/>
        <w:contextualSpacing w:val="0"/>
        <w:rPr>
          <w:rFonts w:ascii="Palatino Linotype" w:hAnsi="Palatino Linotype" w:cs="Tahoma"/>
          <w:b/>
          <w:bCs/>
        </w:rPr>
      </w:pPr>
      <w:r w:rsidRPr="001C21CA">
        <w:rPr>
          <w:rFonts w:ascii="Palatino Linotype" w:hAnsi="Palatino Linotype" w:cs="Tahoma"/>
          <w:b/>
          <w:bCs/>
        </w:rPr>
        <w:t>Del Sistema De Capitalización Individual (SCI)</w:t>
      </w:r>
    </w:p>
    <w:p w:rsidR="00887FF3" w:rsidRPr="001C21CA" w:rsidRDefault="00887FF3" w:rsidP="00887FF3">
      <w:pPr>
        <w:rPr>
          <w:rFonts w:ascii="Palatino Linotype" w:hAnsi="Palatino Linotype" w:cs="Tahoma"/>
          <w:b/>
          <w:bCs/>
          <w:sz w:val="22"/>
          <w:szCs w:val="22"/>
        </w:rPr>
      </w:pPr>
    </w:p>
    <w:p w:rsidR="00887FF3" w:rsidRPr="001C21CA" w:rsidRDefault="00887FF3" w:rsidP="00887FF3">
      <w:pPr>
        <w:spacing w:line="360" w:lineRule="auto"/>
        <w:jc w:val="both"/>
        <w:rPr>
          <w:rFonts w:ascii="Palatino Linotype" w:hAnsi="Palatino Linotype" w:cs="Tahoma"/>
        </w:rPr>
      </w:pPr>
      <w:r w:rsidRPr="001C21CA">
        <w:rPr>
          <w:rFonts w:ascii="Palatino Linotype" w:hAnsi="Palatino Linotype" w:cs="Tahoma"/>
        </w:rPr>
        <w:t xml:space="preserve">Por principio, debemos precisar que la deducción denominada: </w:t>
      </w:r>
      <w:r w:rsidRPr="001C21CA">
        <w:rPr>
          <w:rFonts w:ascii="Palatino Linotype" w:hAnsi="Palatino Linotype"/>
        </w:rPr>
        <w:t>Sistema de Capitalización Individualizado (SCI)</w:t>
      </w:r>
      <w:r w:rsidRPr="001C21CA">
        <w:rPr>
          <w:rFonts w:ascii="Palatino Linotype" w:hAnsi="Palatino Linotype" w:cs="Tahoma"/>
        </w:rPr>
        <w:t>, es contemplada en los artículos 84 y 115 de la Ley de Seguridad Social para los Servidores Públicos del Estado de México y Municipios, al formar parte de uno de los sistemas que conforma el sistema mixto de pensiones, al corresponder específicamente a una reserva de ahorro en favor de los servidores públicos para su retiro, la cual señala:</w:t>
      </w:r>
    </w:p>
    <w:p w:rsidR="00887FF3" w:rsidRPr="001C21CA" w:rsidRDefault="00887FF3" w:rsidP="00887FF3">
      <w:pPr>
        <w:spacing w:line="276" w:lineRule="auto"/>
        <w:ind w:left="567" w:right="900"/>
        <w:jc w:val="both"/>
        <w:rPr>
          <w:rFonts w:ascii="Palatino Linotype" w:hAnsi="Palatino Linotype" w:cs="Tahoma"/>
          <w:i/>
          <w:sz w:val="22"/>
          <w:szCs w:val="22"/>
        </w:rPr>
      </w:pPr>
      <w:r w:rsidRPr="001C21CA">
        <w:rPr>
          <w:rFonts w:ascii="Palatino Linotype" w:hAnsi="Palatino Linotype" w:cs="Tahoma"/>
          <w:b/>
          <w:i/>
          <w:sz w:val="22"/>
          <w:szCs w:val="22"/>
        </w:rPr>
        <w:t>“ARTICULO 84.-</w:t>
      </w:r>
      <w:r w:rsidRPr="001C21CA">
        <w:rPr>
          <w:rFonts w:ascii="Palatino Linotype" w:hAnsi="Palatino Linotype" w:cs="Tahoma"/>
          <w:i/>
          <w:sz w:val="22"/>
          <w:szCs w:val="22"/>
        </w:rPr>
        <w:t xml:space="preserve"> Las pensiones que otorga esta ley, se basan en un régimen mixto, siendo una parte de beneficios definidos denominado </w:t>
      </w:r>
      <w:r w:rsidRPr="001C21CA">
        <w:rPr>
          <w:rFonts w:ascii="Palatino Linotype" w:hAnsi="Palatino Linotype" w:cs="Tahoma"/>
          <w:b/>
          <w:i/>
          <w:sz w:val="22"/>
          <w:szCs w:val="22"/>
        </w:rPr>
        <w:t>sistema solidario de reparto y otra de contribuciones definidas denominado sistema de capitalización individual</w:t>
      </w:r>
      <w:r w:rsidRPr="001C21CA">
        <w:rPr>
          <w:rFonts w:ascii="Palatino Linotype" w:hAnsi="Palatino Linotype" w:cs="Tahoma"/>
          <w:i/>
          <w:sz w:val="22"/>
          <w:szCs w:val="22"/>
        </w:rPr>
        <w:t>.</w:t>
      </w:r>
    </w:p>
    <w:p w:rsidR="00887FF3" w:rsidRPr="001C21CA" w:rsidRDefault="00887FF3" w:rsidP="00887FF3">
      <w:pPr>
        <w:spacing w:line="276" w:lineRule="auto"/>
        <w:ind w:left="567" w:right="900"/>
        <w:jc w:val="both"/>
        <w:rPr>
          <w:rFonts w:ascii="Palatino Linotype" w:hAnsi="Palatino Linotype" w:cs="Tahoma"/>
          <w:i/>
          <w:sz w:val="22"/>
          <w:szCs w:val="22"/>
        </w:rPr>
      </w:pPr>
    </w:p>
    <w:p w:rsidR="00887FF3" w:rsidRPr="001C21CA" w:rsidRDefault="00887FF3" w:rsidP="00887FF3">
      <w:pPr>
        <w:spacing w:line="276" w:lineRule="auto"/>
        <w:ind w:left="567" w:right="900"/>
        <w:jc w:val="both"/>
        <w:rPr>
          <w:rFonts w:ascii="Palatino Linotype" w:hAnsi="Palatino Linotype" w:cs="Tahoma"/>
          <w:i/>
          <w:sz w:val="22"/>
          <w:szCs w:val="22"/>
        </w:rPr>
      </w:pPr>
      <w:r w:rsidRPr="001C21CA">
        <w:rPr>
          <w:rFonts w:ascii="Palatino Linotype" w:hAnsi="Palatino Linotype" w:cs="Tahoma"/>
          <w:i/>
          <w:sz w:val="22"/>
          <w:szCs w:val="22"/>
        </w:rPr>
        <w:lastRenderedPageBreak/>
        <w:t>El monto total para el financiamiento de pensiones de cada servidor público, es equivalente al 16.77% de su sueldo sujeto a cotización, del cual el 13.52% se aplicará al fondo del sistema solidario de reparto y el 3.25% al sistema de capitalización individual.</w:t>
      </w:r>
      <w:r w:rsidRPr="001C21CA">
        <w:rPr>
          <w:rFonts w:ascii="Palatino Linotype" w:hAnsi="Palatino Linotype" w:cs="Tahoma"/>
          <w:i/>
          <w:sz w:val="22"/>
          <w:szCs w:val="22"/>
        </w:rPr>
        <w:cr/>
      </w:r>
    </w:p>
    <w:p w:rsidR="00887FF3" w:rsidRPr="001C21CA" w:rsidRDefault="00887FF3" w:rsidP="00887FF3">
      <w:pPr>
        <w:spacing w:line="276" w:lineRule="auto"/>
        <w:ind w:left="567" w:right="900"/>
        <w:jc w:val="both"/>
        <w:rPr>
          <w:rFonts w:ascii="Palatino Linotype" w:hAnsi="Palatino Linotype" w:cs="Tahoma"/>
          <w:i/>
          <w:sz w:val="22"/>
          <w:szCs w:val="22"/>
        </w:rPr>
      </w:pPr>
      <w:r w:rsidRPr="001C21CA">
        <w:rPr>
          <w:rFonts w:ascii="Palatino Linotype" w:hAnsi="Palatino Linotype"/>
          <w:i/>
          <w:sz w:val="22"/>
          <w:szCs w:val="22"/>
        </w:rPr>
        <w:t xml:space="preserve"> </w:t>
      </w:r>
      <w:r w:rsidRPr="001C21CA">
        <w:rPr>
          <w:rFonts w:ascii="Palatino Linotype" w:hAnsi="Palatino Linotype" w:cs="Tahoma"/>
          <w:b/>
          <w:i/>
          <w:sz w:val="22"/>
          <w:szCs w:val="22"/>
        </w:rPr>
        <w:t>ARTICULO 115.-</w:t>
      </w:r>
      <w:r w:rsidRPr="001C21CA">
        <w:rPr>
          <w:rFonts w:ascii="Palatino Linotype" w:hAnsi="Palatino Linotype" w:cs="Tahoma"/>
          <w:i/>
          <w:sz w:val="22"/>
          <w:szCs w:val="22"/>
        </w:rPr>
        <w:t xml:space="preserve"> Por sistema de capitalización individual se entiende aquel régimen cuyo financiamiento es determinado y su beneficio variable, por lo que sus fondos se constituirán en una reserva, cuyo saldo será siempre igual a la suma de las partes alícuotas reconocidas a cada uno de los servidores públicos participantes en el sistema.”</w:t>
      </w:r>
    </w:p>
    <w:p w:rsidR="00887FF3" w:rsidRPr="001C21CA" w:rsidRDefault="00887FF3" w:rsidP="00887FF3">
      <w:pPr>
        <w:spacing w:line="360" w:lineRule="auto"/>
        <w:jc w:val="both"/>
        <w:rPr>
          <w:rFonts w:ascii="Palatino Linotype" w:hAnsi="Palatino Linotype" w:cs="Tahoma"/>
          <w:sz w:val="22"/>
          <w:szCs w:val="22"/>
        </w:rPr>
      </w:pPr>
    </w:p>
    <w:p w:rsidR="00887FF3" w:rsidRPr="001C21CA" w:rsidRDefault="00887FF3" w:rsidP="00887FF3">
      <w:pPr>
        <w:spacing w:line="360" w:lineRule="auto"/>
        <w:jc w:val="both"/>
        <w:rPr>
          <w:rFonts w:ascii="Palatino Linotype" w:hAnsi="Palatino Linotype" w:cs="Tahoma"/>
        </w:rPr>
      </w:pPr>
      <w:r w:rsidRPr="001C21CA">
        <w:rPr>
          <w:rFonts w:ascii="Palatino Linotype" w:hAnsi="Palatino Linotype" w:cs="Tahoma"/>
        </w:rPr>
        <w:t>En  esta misma disposición normativa, en los artículos 5 fracciones II, VII y VIII; 32, 34 y 35, dispone lo siguiente:</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“ARTÍCULO 5.- Para los efectos de esta ley se entiende por:</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II. Institución pública, a los poderes públicos del estado, los ayuntamientos de los municipios y los tribunales administrativos, así como los organismos auxiliares y fideicomisos públicos de carácter estatal y municipal;</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 xml:space="preserve">VII. Cuota, al monto que le corresponde cubrir al servidor público, equivalente a un porcentaje determinado de sus sueldo sujeto a cotización, así como el que debe cubrir el pensionado o pensionista y que recibe el Instituto para otorgar las prestaciones establecidas en la presente ley; </w:t>
      </w:r>
    </w:p>
    <w:p w:rsidR="00887FF3" w:rsidRPr="001C21CA" w:rsidRDefault="00887FF3" w:rsidP="00887FF3">
      <w:pPr>
        <w:spacing w:line="276" w:lineRule="auto"/>
        <w:ind w:left="567" w:right="616"/>
        <w:jc w:val="both"/>
        <w:rPr>
          <w:rFonts w:ascii="Palatino Linotype" w:hAnsi="Palatino Linotype" w:cs="Tahoma"/>
          <w:b/>
          <w:bCs/>
          <w:i/>
          <w:iCs/>
          <w:sz w:val="22"/>
          <w:szCs w:val="22"/>
        </w:rPr>
      </w:pPr>
      <w:r w:rsidRPr="001C21CA">
        <w:rPr>
          <w:rFonts w:ascii="Palatino Linotype" w:hAnsi="Palatino Linotype" w:cs="Tahoma"/>
          <w:i/>
          <w:iCs/>
          <w:sz w:val="22"/>
          <w:szCs w:val="22"/>
        </w:rPr>
        <w:t xml:space="preserve">VIII. </w:t>
      </w:r>
      <w:r w:rsidRPr="001C21CA">
        <w:rPr>
          <w:rFonts w:ascii="Palatino Linotype" w:hAnsi="Palatino Linotype" w:cs="Tahoma"/>
          <w:b/>
          <w:bCs/>
          <w:i/>
          <w:iCs/>
          <w:sz w:val="22"/>
          <w:szCs w:val="22"/>
        </w:rPr>
        <w:t>Aportación, al monto que le corresponde cubrir a las instituciones públicas como porcentaje del sueldo sujeto a cotización de cada servidor público;</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w:t>
      </w:r>
    </w:p>
    <w:p w:rsidR="00887FF3" w:rsidRPr="001C21CA" w:rsidRDefault="00887FF3" w:rsidP="00887FF3">
      <w:pPr>
        <w:spacing w:line="276" w:lineRule="auto"/>
        <w:ind w:left="567" w:right="616"/>
        <w:jc w:val="both"/>
        <w:rPr>
          <w:rFonts w:ascii="Palatino Linotype" w:hAnsi="Palatino Linotype" w:cs="Tahoma"/>
          <w:i/>
          <w:iCs/>
          <w:sz w:val="22"/>
          <w:szCs w:val="22"/>
        </w:rPr>
      </w:pPr>
    </w:p>
    <w:p w:rsidR="00887FF3" w:rsidRPr="001C21CA" w:rsidRDefault="00887FF3" w:rsidP="00887FF3">
      <w:pPr>
        <w:spacing w:line="276" w:lineRule="auto"/>
        <w:ind w:left="567" w:right="616"/>
        <w:jc w:val="both"/>
        <w:rPr>
          <w:rFonts w:ascii="Palatino Linotype" w:hAnsi="Palatino Linotype" w:cs="Tahoma"/>
          <w:b/>
          <w:bCs/>
          <w:i/>
          <w:iCs/>
          <w:sz w:val="22"/>
          <w:szCs w:val="22"/>
        </w:rPr>
      </w:pPr>
      <w:r w:rsidRPr="001C21CA">
        <w:rPr>
          <w:rFonts w:ascii="Palatino Linotype" w:hAnsi="Palatino Linotype" w:cs="Tahoma"/>
          <w:i/>
          <w:iCs/>
          <w:sz w:val="22"/>
          <w:szCs w:val="22"/>
        </w:rPr>
        <w:t xml:space="preserve">Artículo 32.- </w:t>
      </w:r>
      <w:r w:rsidRPr="001C21CA">
        <w:rPr>
          <w:rFonts w:ascii="Palatino Linotype" w:hAnsi="Palatino Linotype" w:cs="Tahoma"/>
          <w:b/>
          <w:bCs/>
          <w:i/>
          <w:iCs/>
          <w:sz w:val="22"/>
          <w:szCs w:val="22"/>
        </w:rPr>
        <w:t xml:space="preserve">Las cuotas obligatorias que deberán cubrir los servidores públicos al Instituto, serán las siguientes: </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 xml:space="preserve">I. El 4.625% del sueldo sujeto a cotización, para cubrir las prestaciones de servicios de salud; </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 xml:space="preserve">II. El 7.50% del sueldo sujeto a cotización, para cubrir el financiamiento de pensiones, de la siguiente manera: </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 xml:space="preserve">a. 6.10% para el fondo del sistema solidario de reparto. </w:t>
      </w:r>
    </w:p>
    <w:p w:rsidR="00887FF3" w:rsidRPr="001C21CA" w:rsidRDefault="00887FF3" w:rsidP="00887FF3">
      <w:pPr>
        <w:spacing w:line="276" w:lineRule="auto"/>
        <w:ind w:left="567" w:right="616"/>
        <w:jc w:val="both"/>
        <w:rPr>
          <w:rFonts w:ascii="Palatino Linotype" w:hAnsi="Palatino Linotype" w:cs="Tahoma"/>
          <w:b/>
          <w:bCs/>
          <w:i/>
          <w:iCs/>
          <w:sz w:val="22"/>
          <w:szCs w:val="22"/>
          <w:u w:val="single"/>
        </w:rPr>
      </w:pPr>
      <w:r w:rsidRPr="001C21CA">
        <w:rPr>
          <w:rFonts w:ascii="Palatino Linotype" w:hAnsi="Palatino Linotype" w:cs="Tahoma"/>
          <w:b/>
          <w:bCs/>
          <w:i/>
          <w:iCs/>
          <w:sz w:val="22"/>
          <w:szCs w:val="22"/>
          <w:u w:val="single"/>
        </w:rPr>
        <w:t xml:space="preserve">b. 1.40% para el sistema de capitalización individual. </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lastRenderedPageBreak/>
        <w:t>III. Las que determine anualmente el Consejo Directivo para otras prestaciones, señaladas en el Título IV.</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w:t>
      </w:r>
    </w:p>
    <w:p w:rsidR="00887FF3" w:rsidRPr="001C21CA" w:rsidRDefault="00887FF3" w:rsidP="00887FF3">
      <w:pPr>
        <w:spacing w:line="276" w:lineRule="auto"/>
        <w:ind w:left="567" w:right="616"/>
        <w:jc w:val="both"/>
        <w:rPr>
          <w:rFonts w:ascii="Palatino Linotype" w:hAnsi="Palatino Linotype" w:cs="Tahoma"/>
          <w:i/>
          <w:iCs/>
          <w:sz w:val="22"/>
          <w:szCs w:val="22"/>
        </w:rPr>
      </w:pP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 xml:space="preserve">Artículo 34.- </w:t>
      </w:r>
      <w:r w:rsidRPr="001C21CA">
        <w:rPr>
          <w:rFonts w:ascii="Palatino Linotype" w:hAnsi="Palatino Linotype" w:cs="Tahoma"/>
          <w:b/>
          <w:bCs/>
          <w:i/>
          <w:iCs/>
          <w:sz w:val="22"/>
          <w:szCs w:val="22"/>
        </w:rPr>
        <w:t>Las aportaciones que deberán cubrir obligatoriamente las instituciones públicas serán las siguientes</w:t>
      </w:r>
      <w:r w:rsidRPr="001C21CA">
        <w:rPr>
          <w:rFonts w:ascii="Palatino Linotype" w:hAnsi="Palatino Linotype" w:cs="Tahoma"/>
          <w:i/>
          <w:iCs/>
          <w:sz w:val="22"/>
          <w:szCs w:val="22"/>
        </w:rPr>
        <w:t xml:space="preserve">: </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 xml:space="preserve">I. El 10% del sueldo sujeto a cotización, para cubrir las prestaciones de servicios de salud; </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 xml:space="preserve">II. El 9.27% del sueldo sujeto a cotización, para cubrir el financiamiento de pensiones, de la siguiente manera: </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 xml:space="preserve">a. 7.42% para el fondo del sistema solidario de reparto. </w:t>
      </w:r>
    </w:p>
    <w:p w:rsidR="00887FF3" w:rsidRPr="001C21CA" w:rsidRDefault="00887FF3" w:rsidP="00887FF3">
      <w:pPr>
        <w:spacing w:line="276" w:lineRule="auto"/>
        <w:ind w:left="567" w:right="616"/>
        <w:jc w:val="both"/>
        <w:rPr>
          <w:rFonts w:ascii="Palatino Linotype" w:hAnsi="Palatino Linotype" w:cs="Tahoma"/>
          <w:b/>
          <w:bCs/>
          <w:i/>
          <w:iCs/>
          <w:sz w:val="22"/>
          <w:szCs w:val="22"/>
          <w:u w:val="single"/>
        </w:rPr>
      </w:pPr>
      <w:r w:rsidRPr="001C21CA">
        <w:rPr>
          <w:rFonts w:ascii="Palatino Linotype" w:hAnsi="Palatino Linotype" w:cs="Tahoma"/>
          <w:i/>
          <w:iCs/>
          <w:sz w:val="22"/>
          <w:szCs w:val="22"/>
          <w:u w:val="single"/>
        </w:rPr>
        <w:t xml:space="preserve">b. </w:t>
      </w:r>
      <w:r w:rsidRPr="001C21CA">
        <w:rPr>
          <w:rFonts w:ascii="Palatino Linotype" w:hAnsi="Palatino Linotype" w:cs="Tahoma"/>
          <w:b/>
          <w:bCs/>
          <w:i/>
          <w:iCs/>
          <w:sz w:val="22"/>
          <w:szCs w:val="22"/>
          <w:u w:val="single"/>
        </w:rPr>
        <w:t xml:space="preserve">1.85% para el sistema de capitalización individual. </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 xml:space="preserve">III. Las que determine anualmente el Consejo Directivo para otras prestaciones, señaladas en el Título IV; </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 xml:space="preserve">IV. El 0.875% para gastos de administración; </w:t>
      </w:r>
    </w:p>
    <w:p w:rsidR="00887FF3" w:rsidRPr="001C21CA" w:rsidRDefault="00887FF3" w:rsidP="00887FF3">
      <w:pPr>
        <w:spacing w:line="276" w:lineRule="auto"/>
        <w:ind w:left="567" w:right="616"/>
        <w:jc w:val="both"/>
        <w:rPr>
          <w:rFonts w:ascii="Palatino Linotype" w:hAnsi="Palatino Linotype" w:cs="Tahoma"/>
          <w:i/>
          <w:iCs/>
          <w:sz w:val="22"/>
          <w:szCs w:val="22"/>
        </w:rPr>
      </w:pPr>
      <w:r w:rsidRPr="001C21CA">
        <w:rPr>
          <w:rFonts w:ascii="Palatino Linotype" w:hAnsi="Palatino Linotype" w:cs="Tahoma"/>
          <w:i/>
          <w:iCs/>
          <w:sz w:val="22"/>
          <w:szCs w:val="22"/>
        </w:rPr>
        <w:t>V. Las que se generen a cargo de las Instituciones públicas por concepto de riesgos de trabajo.</w:t>
      </w:r>
    </w:p>
    <w:p w:rsidR="00887FF3" w:rsidRPr="001C21CA" w:rsidRDefault="00887FF3" w:rsidP="00887FF3">
      <w:pPr>
        <w:spacing w:line="360" w:lineRule="auto"/>
        <w:jc w:val="both"/>
        <w:rPr>
          <w:rFonts w:ascii="Palatino Linotype" w:hAnsi="Palatino Linotype" w:cs="Tahoma"/>
          <w:sz w:val="22"/>
          <w:szCs w:val="22"/>
        </w:rPr>
      </w:pPr>
    </w:p>
    <w:p w:rsidR="00887FF3" w:rsidRPr="001C21CA" w:rsidRDefault="00887FF3" w:rsidP="00887FF3">
      <w:pPr>
        <w:spacing w:line="360" w:lineRule="auto"/>
        <w:jc w:val="both"/>
        <w:rPr>
          <w:rFonts w:ascii="Palatino Linotype" w:hAnsi="Palatino Linotype" w:cs="Tahoma"/>
        </w:rPr>
      </w:pPr>
      <w:r w:rsidRPr="001C21CA">
        <w:rPr>
          <w:rFonts w:ascii="Palatino Linotype" w:hAnsi="Palatino Linotype" w:cs="Tahoma"/>
        </w:rPr>
        <w:t>Por lo antes señalado, las aportaciones ya están determinadas por un porcentaje en relación al sueldo del servidor público, las cuales son cubiertas obligatoriamente, tanto por los servidores públicos, como por las instituciones públicas, por lo que al considerar los porcentajes correspondientes al Sistema de Capitalización Individual (%1,40 de servidor público y %1.85 de la Institución pública), es fácilmente identificable al conocer el sueldo del servidor público, por tanto dichos conceptos deberán de ser públicos, aún y cuando se tratan de deducciones al sueldo del trabajador.</w:t>
      </w:r>
    </w:p>
    <w:p w:rsidR="00887FF3" w:rsidRPr="001C21CA" w:rsidRDefault="00887FF3" w:rsidP="00887FF3">
      <w:pPr>
        <w:spacing w:line="360" w:lineRule="auto"/>
        <w:jc w:val="both"/>
        <w:rPr>
          <w:rFonts w:ascii="Palatino Linotype" w:hAnsi="Palatino Linotype" w:cs="Tahoma"/>
          <w:sz w:val="22"/>
          <w:szCs w:val="22"/>
        </w:rPr>
      </w:pP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color w:val="000000"/>
          <w:u w:val="single"/>
        </w:rPr>
      </w:pPr>
      <w:r w:rsidRPr="001C21CA">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w:t>
      </w:r>
      <w:r w:rsidRPr="001C21CA">
        <w:rPr>
          <w:rFonts w:ascii="Palatino Linotype" w:eastAsia="Palatino Linotype" w:hAnsi="Palatino Linotype" w:cs="Palatino Linotype"/>
          <w:color w:val="000000"/>
          <w:u w:val="single"/>
        </w:rPr>
        <w:t>créditos personales,</w:t>
      </w:r>
      <w:r w:rsidRPr="001C21CA">
        <w:rPr>
          <w:rFonts w:ascii="Palatino Linotype" w:eastAsia="Palatino Linotype" w:hAnsi="Palatino Linotype" w:cs="Palatino Linotype"/>
          <w:color w:val="000000"/>
        </w:rPr>
        <w:t xml:space="preserve"> </w:t>
      </w:r>
      <w:r w:rsidRPr="001C21CA">
        <w:rPr>
          <w:rFonts w:ascii="Palatino Linotype" w:eastAsia="Palatino Linotype" w:hAnsi="Palatino Linotype" w:cs="Palatino Linotype"/>
          <w:color w:val="000000"/>
          <w:u w:val="single"/>
        </w:rPr>
        <w:t xml:space="preserve">cuotas sindicales y fondo de resistencia del Sindicato Único de Trabajadores de los Poderes, Municipios e Institución Descentralizadas del Estado de México, seguro de vida, </w:t>
      </w:r>
      <w:r w:rsidRPr="001C21CA">
        <w:rPr>
          <w:rFonts w:ascii="Palatino Linotype" w:eastAsia="Palatino Linotype" w:hAnsi="Palatino Linotype" w:cs="Palatino Linotype"/>
          <w:color w:val="000000"/>
          <w:u w:val="single"/>
        </w:rPr>
        <w:lastRenderedPageBreak/>
        <w:t xml:space="preserve">accidentes y enfermedades. </w:t>
      </w:r>
      <w:r w:rsidRPr="001C21CA">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887FF3" w:rsidRPr="001C21CA" w:rsidRDefault="00887FF3" w:rsidP="00887FF3">
      <w:pPr>
        <w:pBdr>
          <w:top w:val="nil"/>
          <w:left w:val="nil"/>
          <w:bottom w:val="nil"/>
          <w:right w:val="nil"/>
          <w:between w:val="nil"/>
        </w:pBdr>
        <w:ind w:left="720"/>
        <w:rPr>
          <w:rFonts w:ascii="Palatino Linotype" w:eastAsia="Palatino Linotype" w:hAnsi="Palatino Linotype" w:cs="Palatino Linotype"/>
          <w:color w:val="000000"/>
        </w:rPr>
      </w:pP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w:t>
      </w:r>
      <w:r w:rsidRPr="001C21CA">
        <w:rPr>
          <w:rFonts w:ascii="Palatino Linotype" w:eastAsia="Palatino Linotype" w:hAnsi="Palatino Linotype" w:cs="Palatino Linotype"/>
          <w:b/>
          <w:color w:val="000000"/>
        </w:rPr>
        <w:t xml:space="preserve">mismas que no implican la entrega de recursos con cargo al erario, y tampoco reflejan el ejercicio de una prestación; por el contrario, en dichos casos se trata del libre ejercicio del servidor público para disponer de un ingreso que forma parte de su patrimonio. </w:t>
      </w:r>
      <w:r w:rsidRPr="001C21CA">
        <w:rPr>
          <w:rFonts w:ascii="Palatino Linotype" w:eastAsia="Palatino Linotype" w:hAnsi="Palatino Linotype" w:cs="Palatino Linotype"/>
          <w:color w:val="000000"/>
        </w:rPr>
        <w:t xml:space="preserve"> Así, dichas deducciones reflejan el destino que un servidor público da a su patrimonio, lo que se aleja de la transparencia y rendición de cuentas.</w:t>
      </w:r>
    </w:p>
    <w:p w:rsidR="00887FF3" w:rsidRPr="001C21CA" w:rsidRDefault="00887FF3" w:rsidP="00887FF3">
      <w:pPr>
        <w:pBdr>
          <w:top w:val="nil"/>
          <w:left w:val="nil"/>
          <w:bottom w:val="nil"/>
          <w:right w:val="nil"/>
          <w:between w:val="nil"/>
        </w:pBdr>
        <w:spacing w:line="360" w:lineRule="auto"/>
        <w:jc w:val="both"/>
        <w:rPr>
          <w:rFonts w:ascii="Palatino Linotype" w:hAnsi="Palatino Linotype"/>
          <w:iCs/>
        </w:rPr>
      </w:pP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Hasta este punto, se considera que la información relacionada con los siguientes puntos actualiza una causal de confidencialidad, toda vez que identifica o hace identificable a su titular.</w:t>
      </w:r>
    </w:p>
    <w:p w:rsidR="00887FF3" w:rsidRPr="001C21CA" w:rsidRDefault="00887FF3" w:rsidP="00887FF3">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Clave Única de Registro de Población (CURP)</w:t>
      </w:r>
    </w:p>
    <w:p w:rsidR="00887FF3" w:rsidRPr="001C21CA" w:rsidRDefault="00887FF3" w:rsidP="00887FF3">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Clave ISSEMyM</w:t>
      </w:r>
    </w:p>
    <w:p w:rsidR="00887FF3" w:rsidRPr="001C21CA" w:rsidRDefault="00887FF3" w:rsidP="00887FF3">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Registro Federal de Contribuyentes (RFC)</w:t>
      </w:r>
    </w:p>
    <w:p w:rsidR="00887FF3" w:rsidRPr="001C21CA" w:rsidRDefault="00887FF3" w:rsidP="00887FF3">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 xml:space="preserve">Deducciones personales </w:t>
      </w:r>
    </w:p>
    <w:p w:rsidR="00887FF3" w:rsidRPr="001C21CA" w:rsidRDefault="00887FF3" w:rsidP="00887FF3">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 xml:space="preserve">Número de empleado </w:t>
      </w:r>
      <w:r w:rsidRPr="001C21CA">
        <w:rPr>
          <w:rFonts w:ascii="Palatino Linotype" w:eastAsia="Palatino Linotype" w:hAnsi="Palatino Linotype" w:cs="Palatino Linotype"/>
          <w:b/>
          <w:color w:val="000000"/>
        </w:rPr>
        <w:t>(sólo en el caso de que contenga datos personales o se relacione con los mismos, de lo contrario es información pública)</w:t>
      </w:r>
    </w:p>
    <w:p w:rsidR="00887FF3" w:rsidRPr="001C21CA" w:rsidRDefault="00887FF3" w:rsidP="00887FF3">
      <w:pPr>
        <w:pBdr>
          <w:top w:val="nil"/>
          <w:left w:val="nil"/>
          <w:bottom w:val="nil"/>
          <w:right w:val="nil"/>
          <w:between w:val="nil"/>
        </w:pBdr>
        <w:rPr>
          <w:rFonts w:ascii="Palatino Linotype" w:eastAsia="Palatino Linotype" w:hAnsi="Palatino Linotype" w:cs="Palatino Linotype"/>
          <w:color w:val="000000"/>
        </w:rPr>
      </w:pP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lastRenderedPageBreak/>
        <w:t>Es decir, los datos personales enlistados constituyen datos personales confidenciales al actualizar el supuesto normativo del artículo 143, fracción I de la Ley de Transparencia y Acceso a la Información Pública del Estado de México y Municipios.</w:t>
      </w:r>
    </w:p>
    <w:p w:rsidR="00887FF3" w:rsidRPr="001C21CA" w:rsidRDefault="00887FF3" w:rsidP="00887FF3">
      <w:pPr>
        <w:pBdr>
          <w:top w:val="nil"/>
          <w:left w:val="nil"/>
          <w:bottom w:val="nil"/>
          <w:right w:val="nil"/>
          <w:between w:val="nil"/>
        </w:pBdr>
        <w:ind w:left="720"/>
        <w:rPr>
          <w:rFonts w:ascii="Palatino Linotype" w:eastAsia="Palatino Linotype" w:hAnsi="Palatino Linotype" w:cs="Palatino Linotype"/>
          <w:color w:val="000000"/>
        </w:rPr>
      </w:pP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87FF3" w:rsidRPr="001C21CA" w:rsidRDefault="00887FF3" w:rsidP="00887FF3">
      <w:pPr>
        <w:rPr>
          <w:rFonts w:ascii="Palatino Linotype" w:hAnsi="Palatino Linotype"/>
          <w:b/>
          <w:i/>
        </w:rPr>
      </w:pPr>
      <w:bookmarkStart w:id="3" w:name="_Toc86917947"/>
      <w:r w:rsidRPr="001C21CA">
        <w:rPr>
          <w:rFonts w:ascii="Palatino Linotype" w:hAnsi="Palatino Linotype"/>
          <w:b/>
          <w:i/>
        </w:rPr>
        <w:t>III. CÓDIGO QR</w:t>
      </w:r>
      <w:bookmarkEnd w:id="3"/>
    </w:p>
    <w:p w:rsidR="00887FF3" w:rsidRPr="001C21CA" w:rsidRDefault="00887FF3" w:rsidP="00887FF3">
      <w:pPr>
        <w:pStyle w:val="Prrafodelista"/>
        <w:rPr>
          <w:rFonts w:ascii="Palatino Linotype" w:hAnsi="Palatino Linotype" w:cs="Tahoma"/>
          <w:bCs/>
        </w:rPr>
      </w:pPr>
    </w:p>
    <w:p w:rsidR="00887FF3" w:rsidRPr="001C21CA" w:rsidRDefault="00887FF3" w:rsidP="00887FF3">
      <w:pPr>
        <w:pStyle w:val="Prrafodelista"/>
        <w:spacing w:line="360" w:lineRule="auto"/>
        <w:ind w:left="0"/>
        <w:jc w:val="both"/>
        <w:rPr>
          <w:rFonts w:ascii="Palatino Linotype" w:hAnsi="Palatino Linotype" w:cs="Tahoma"/>
          <w:bCs/>
        </w:rPr>
      </w:pPr>
      <w:r w:rsidRPr="001C21CA">
        <w:rPr>
          <w:rFonts w:ascii="Palatino Linotype" w:hAnsi="Palatino Linotype" w:cs="Tahoma"/>
          <w:bCs/>
        </w:rPr>
        <w:t xml:space="preserve">Los comprobantes fiscales digitales por Internet, deben de incluir un código bidimensional conforme al formato </w:t>
      </w:r>
      <w:r w:rsidRPr="001C21CA">
        <w:rPr>
          <w:rFonts w:ascii="Palatino Linotype" w:hAnsi="Palatino Linotype" w:cs="Tahoma"/>
          <w:bCs/>
          <w:i/>
        </w:rPr>
        <w:t>QR Code (Quick Response Code)</w:t>
      </w:r>
      <w:r w:rsidRPr="001C21CA">
        <w:rPr>
          <w:rFonts w:ascii="Palatino Linotype" w:hAnsi="Palatino Linotype" w:cs="Tahoma"/>
          <w:bCs/>
        </w:rPr>
        <w:t>, el cual contiene el Registro Federal de Contribuyentes del receptor, del emisor, o de ambos. Incluso con la captura de dicho código, a través de la aplicación móvil del Servicio de Administración Tributaria, permite el acceso al Registro Federal de Contribuyentes, como del Sujeto Obligado, como de los servidores públicos.</w:t>
      </w:r>
    </w:p>
    <w:p w:rsidR="00887FF3" w:rsidRPr="001C21CA" w:rsidRDefault="00887FF3" w:rsidP="00887FF3">
      <w:pPr>
        <w:pStyle w:val="Prrafodelista"/>
        <w:spacing w:line="360" w:lineRule="auto"/>
        <w:ind w:left="0"/>
        <w:jc w:val="both"/>
        <w:rPr>
          <w:rFonts w:ascii="Palatino Linotype" w:hAnsi="Palatino Linotype" w:cs="Tahoma"/>
          <w:bCs/>
        </w:rPr>
      </w:pPr>
    </w:p>
    <w:p w:rsidR="00887FF3" w:rsidRPr="001C21CA" w:rsidRDefault="00887FF3" w:rsidP="00887FF3">
      <w:pPr>
        <w:pStyle w:val="Prrafodelista"/>
        <w:spacing w:line="360" w:lineRule="auto"/>
        <w:ind w:left="0"/>
        <w:jc w:val="both"/>
        <w:rPr>
          <w:rFonts w:ascii="Palatino Linotype" w:hAnsi="Palatino Linotype" w:cs="Tahoma"/>
          <w:bCs/>
        </w:rPr>
      </w:pPr>
      <w:r w:rsidRPr="001C21CA">
        <w:rPr>
          <w:rFonts w:ascii="Palatino Linotype" w:hAnsi="Palatino Linotype" w:cs="Tahoma"/>
          <w:bCs/>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rsidR="00887FF3" w:rsidRPr="001C21CA" w:rsidRDefault="00887FF3" w:rsidP="00887FF3">
      <w:pPr>
        <w:pStyle w:val="Prrafodelista"/>
        <w:spacing w:line="360" w:lineRule="auto"/>
        <w:ind w:left="0"/>
        <w:jc w:val="both"/>
        <w:rPr>
          <w:rFonts w:ascii="Palatino Linotype" w:hAnsi="Palatino Linotype" w:cs="Tahoma"/>
          <w:bCs/>
        </w:rPr>
      </w:pPr>
    </w:p>
    <w:p w:rsidR="00887FF3" w:rsidRPr="001C21CA" w:rsidRDefault="00887FF3" w:rsidP="00887FF3">
      <w:pPr>
        <w:jc w:val="both"/>
        <w:rPr>
          <w:rFonts w:ascii="Palatino Linotype" w:hAnsi="Palatino Linotype"/>
          <w:b/>
          <w:i/>
        </w:rPr>
      </w:pPr>
      <w:bookmarkStart w:id="4" w:name="_Toc86917948"/>
      <w:r w:rsidRPr="001C21CA">
        <w:rPr>
          <w:rFonts w:ascii="Palatino Linotype" w:hAnsi="Palatino Linotype"/>
          <w:b/>
          <w:i/>
        </w:rPr>
        <w:t xml:space="preserve">IV. Sellos digitales del emisor y del Servicio de Administración Tributaria y cadena original del complemento de certificación digital del órgano previamente señalado; así como folio fiscal. </w:t>
      </w:r>
      <w:bookmarkEnd w:id="4"/>
    </w:p>
    <w:p w:rsidR="00887FF3" w:rsidRPr="001C21CA" w:rsidRDefault="00887FF3" w:rsidP="00887FF3">
      <w:pPr>
        <w:pStyle w:val="Prrafodelista"/>
        <w:spacing w:line="360" w:lineRule="auto"/>
        <w:ind w:left="0"/>
        <w:jc w:val="both"/>
        <w:rPr>
          <w:rFonts w:ascii="Palatino Linotype" w:hAnsi="Palatino Linotype" w:cs="Tahoma"/>
          <w:b/>
          <w:bCs/>
        </w:rPr>
      </w:pPr>
    </w:p>
    <w:p w:rsidR="00887FF3" w:rsidRPr="001C21CA" w:rsidRDefault="00887FF3" w:rsidP="00887FF3">
      <w:pPr>
        <w:pStyle w:val="Prrafodelista"/>
        <w:spacing w:line="360" w:lineRule="auto"/>
        <w:ind w:left="0"/>
        <w:jc w:val="both"/>
        <w:rPr>
          <w:rFonts w:ascii="Palatino Linotype" w:hAnsi="Palatino Linotype" w:cs="Tahoma"/>
          <w:bCs/>
        </w:rPr>
      </w:pPr>
      <w:r w:rsidRPr="001C21CA">
        <w:rPr>
          <w:rFonts w:ascii="Palatino Linotype" w:hAnsi="Palatino Linotype" w:cs="Tahoma"/>
          <w:b/>
          <w:bCs/>
        </w:rPr>
        <w:t>Cuando, de la secuencia de números y letras, no se advierta un Registro Federal de Contribuyentes o una Clave Única de Registro de Población, que pueda hacer identificable al titular del dato personal, no puede tenerse como dato personal</w:t>
      </w:r>
      <w:r w:rsidRPr="001C21CA">
        <w:rPr>
          <w:rFonts w:ascii="Palatino Linotype" w:hAnsi="Palatino Linotype" w:cs="Tahoma"/>
          <w:bCs/>
        </w:rPr>
        <w:t xml:space="preserve"> y por </w:t>
      </w:r>
      <w:r w:rsidRPr="001C21CA">
        <w:rPr>
          <w:rFonts w:ascii="Palatino Linotype" w:hAnsi="Palatino Linotype" w:cs="Tahoma"/>
          <w:bCs/>
        </w:rPr>
        <w:lastRenderedPageBreak/>
        <w:t>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 como se verá a continuación.</w:t>
      </w:r>
    </w:p>
    <w:p w:rsidR="00887FF3" w:rsidRPr="001C21CA" w:rsidRDefault="00887FF3" w:rsidP="00887FF3">
      <w:pPr>
        <w:pStyle w:val="Prrafodelista"/>
        <w:spacing w:line="360" w:lineRule="auto"/>
        <w:ind w:left="0"/>
        <w:jc w:val="both"/>
        <w:rPr>
          <w:rFonts w:ascii="Palatino Linotype" w:hAnsi="Palatino Linotype" w:cs="Tahoma"/>
          <w:bCs/>
        </w:rPr>
      </w:pPr>
    </w:p>
    <w:p w:rsidR="00887FF3" w:rsidRPr="001C21CA" w:rsidRDefault="00887FF3" w:rsidP="00887FF3">
      <w:pPr>
        <w:pStyle w:val="Prrafodelista"/>
        <w:spacing w:line="360" w:lineRule="auto"/>
        <w:ind w:left="0"/>
        <w:jc w:val="both"/>
        <w:rPr>
          <w:rFonts w:ascii="Palatino Linotype" w:hAnsi="Palatino Linotype" w:cs="Tahoma"/>
          <w:bCs/>
        </w:rPr>
      </w:pPr>
      <w:r w:rsidRPr="001C21CA">
        <w:rPr>
          <w:rFonts w:ascii="Palatino Linotype" w:hAnsi="Palatino Linotype" w:cs="Tahoma"/>
        </w:rPr>
        <w:t>Las cadenas originales y sellos que se agregan a las facturas</w:t>
      </w:r>
      <w:r w:rsidRPr="001C21CA">
        <w:rPr>
          <w:rFonts w:ascii="Palatino Linotype" w:hAnsi="Palatino Linotype" w:cs="Tahoma"/>
          <w:b/>
          <w:bCs/>
        </w:rPr>
        <w:t>,</w:t>
      </w:r>
      <w:r w:rsidRPr="001C21CA">
        <w:rPr>
          <w:rFonts w:ascii="Palatino Linotype" w:hAnsi="Palatino Linotype" w:cs="Tahoma"/>
          <w:bCs/>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887FF3" w:rsidRPr="001C21CA" w:rsidRDefault="00887FF3" w:rsidP="00887FF3">
      <w:pPr>
        <w:spacing w:line="360" w:lineRule="auto"/>
        <w:ind w:left="567" w:right="539"/>
        <w:jc w:val="both"/>
        <w:rPr>
          <w:rFonts w:ascii="Palatino Linotype" w:eastAsia="Calibri" w:hAnsi="Palatino Linotype" w:cs="Tahoma"/>
          <w:bCs/>
          <w:i/>
          <w:sz w:val="22"/>
          <w:szCs w:val="22"/>
          <w:lang w:eastAsia="en-US"/>
        </w:rPr>
      </w:pPr>
      <w:r w:rsidRPr="001C21CA">
        <w:rPr>
          <w:rFonts w:ascii="Palatino Linotype" w:eastAsia="Calibri" w:hAnsi="Palatino Linotype" w:cs="Tahoma"/>
          <w:bCs/>
          <w:i/>
          <w:sz w:val="22"/>
          <w:szCs w:val="22"/>
          <w:lang w:eastAsia="en-US"/>
        </w:rPr>
        <w:t>“Elementos utilizados en la generación de Sellos Digitales:</w:t>
      </w:r>
    </w:p>
    <w:p w:rsidR="00887FF3" w:rsidRPr="001C21CA" w:rsidRDefault="00887FF3" w:rsidP="00887FF3">
      <w:pPr>
        <w:spacing w:line="360" w:lineRule="auto"/>
        <w:ind w:left="567" w:right="539"/>
        <w:jc w:val="both"/>
        <w:rPr>
          <w:rFonts w:ascii="Palatino Linotype" w:eastAsia="Calibri" w:hAnsi="Palatino Linotype" w:cs="Tahoma"/>
          <w:bCs/>
          <w:i/>
          <w:sz w:val="22"/>
          <w:szCs w:val="22"/>
          <w:lang w:eastAsia="en-US"/>
        </w:rPr>
      </w:pPr>
      <w:r w:rsidRPr="001C21CA">
        <w:rPr>
          <w:rFonts w:ascii="Palatino Linotype" w:eastAsia="Calibri" w:hAnsi="Palatino Linotype" w:cs="Tahoma"/>
          <w:bCs/>
          <w:i/>
          <w:sz w:val="22"/>
          <w:szCs w:val="22"/>
          <w:lang w:eastAsia="en-US"/>
        </w:rPr>
        <w:t>•</w:t>
      </w:r>
      <w:r w:rsidRPr="001C21CA">
        <w:rPr>
          <w:rFonts w:ascii="Palatino Linotype" w:eastAsia="Calibri" w:hAnsi="Palatino Linotype" w:cs="Tahoma"/>
          <w:bCs/>
          <w:i/>
          <w:sz w:val="22"/>
          <w:szCs w:val="22"/>
          <w:lang w:eastAsia="en-US"/>
        </w:rPr>
        <w:tab/>
        <w:t>Cadena Original, el elemento a sellar, en este caso de un comprobante fiscal digital a través de Internet.</w:t>
      </w:r>
    </w:p>
    <w:p w:rsidR="00887FF3" w:rsidRPr="001C21CA" w:rsidRDefault="00887FF3" w:rsidP="00887FF3">
      <w:pPr>
        <w:spacing w:line="360" w:lineRule="auto"/>
        <w:ind w:left="567" w:right="539"/>
        <w:jc w:val="both"/>
        <w:rPr>
          <w:rFonts w:ascii="Palatino Linotype" w:eastAsia="Calibri" w:hAnsi="Palatino Linotype" w:cs="Tahoma"/>
          <w:bCs/>
          <w:i/>
          <w:sz w:val="22"/>
          <w:szCs w:val="22"/>
          <w:lang w:eastAsia="en-US"/>
        </w:rPr>
      </w:pPr>
      <w:r w:rsidRPr="001C21CA">
        <w:rPr>
          <w:rFonts w:ascii="Palatino Linotype" w:eastAsia="Calibri" w:hAnsi="Palatino Linotype" w:cs="Tahoma"/>
          <w:bCs/>
          <w:i/>
          <w:sz w:val="22"/>
          <w:szCs w:val="22"/>
          <w:lang w:eastAsia="en-US"/>
        </w:rPr>
        <w:t>•</w:t>
      </w:r>
      <w:r w:rsidRPr="001C21CA">
        <w:rPr>
          <w:rFonts w:ascii="Palatino Linotype" w:eastAsia="Calibri" w:hAnsi="Palatino Linotype" w:cs="Tahoma"/>
          <w:bCs/>
          <w:i/>
          <w:sz w:val="22"/>
          <w:szCs w:val="22"/>
          <w:lang w:eastAsia="en-US"/>
        </w:rPr>
        <w:tab/>
        <w:t>Certificado de Sello Digital y su correspondiente clave privada.</w:t>
      </w:r>
    </w:p>
    <w:p w:rsidR="00887FF3" w:rsidRPr="001C21CA" w:rsidRDefault="00887FF3" w:rsidP="00887FF3">
      <w:pPr>
        <w:spacing w:line="360" w:lineRule="auto"/>
        <w:ind w:left="567" w:right="539"/>
        <w:jc w:val="both"/>
        <w:rPr>
          <w:rFonts w:ascii="Palatino Linotype" w:eastAsia="Calibri" w:hAnsi="Palatino Linotype" w:cs="Tahoma"/>
          <w:bCs/>
          <w:i/>
          <w:sz w:val="22"/>
          <w:szCs w:val="22"/>
          <w:lang w:eastAsia="en-US"/>
        </w:rPr>
      </w:pPr>
      <w:r w:rsidRPr="001C21CA">
        <w:rPr>
          <w:rFonts w:ascii="Palatino Linotype" w:eastAsia="Calibri" w:hAnsi="Palatino Linotype" w:cs="Tahoma"/>
          <w:bCs/>
          <w:i/>
          <w:sz w:val="22"/>
          <w:szCs w:val="22"/>
          <w:lang w:eastAsia="en-US"/>
        </w:rPr>
        <w:t>•</w:t>
      </w:r>
      <w:r w:rsidRPr="001C21CA">
        <w:rPr>
          <w:rFonts w:ascii="Palatino Linotype" w:eastAsia="Calibri" w:hAnsi="Palatino Linotype" w:cs="Tahoma"/>
          <w:bCs/>
          <w:i/>
          <w:sz w:val="22"/>
          <w:szCs w:val="22"/>
          <w:lang w:eastAsia="en-US"/>
        </w:rPr>
        <w:tab/>
        <w:t>Algoritmos de criptografía de clave pública para firma electrónica avanzada.</w:t>
      </w:r>
    </w:p>
    <w:p w:rsidR="00887FF3" w:rsidRPr="001C21CA" w:rsidRDefault="00887FF3" w:rsidP="00887FF3">
      <w:pPr>
        <w:spacing w:line="360" w:lineRule="auto"/>
        <w:ind w:left="567" w:right="539"/>
        <w:jc w:val="both"/>
        <w:rPr>
          <w:rFonts w:ascii="Palatino Linotype" w:eastAsia="Calibri" w:hAnsi="Palatino Linotype" w:cs="Tahoma"/>
          <w:bCs/>
          <w:i/>
          <w:sz w:val="22"/>
          <w:szCs w:val="22"/>
          <w:lang w:eastAsia="en-US"/>
        </w:rPr>
      </w:pPr>
      <w:r w:rsidRPr="001C21CA">
        <w:rPr>
          <w:rFonts w:ascii="Palatino Linotype" w:eastAsia="Calibri" w:hAnsi="Palatino Linotype" w:cs="Tahoma"/>
          <w:bCs/>
          <w:i/>
          <w:sz w:val="22"/>
          <w:szCs w:val="22"/>
          <w:lang w:eastAsia="en-US"/>
        </w:rPr>
        <w:t>•</w:t>
      </w:r>
      <w:r w:rsidRPr="001C21CA">
        <w:rPr>
          <w:rFonts w:ascii="Palatino Linotype" w:eastAsia="Calibri" w:hAnsi="Palatino Linotype" w:cs="Tahoma"/>
          <w:bCs/>
          <w:i/>
          <w:sz w:val="22"/>
          <w:szCs w:val="22"/>
          <w:lang w:eastAsia="en-US"/>
        </w:rPr>
        <w:tab/>
        <w:t>Especificaciones de conversión de la firma electrónica avanzada a Base 64.</w:t>
      </w:r>
    </w:p>
    <w:p w:rsidR="00887FF3" w:rsidRPr="001C21CA" w:rsidRDefault="00887FF3" w:rsidP="00887FF3">
      <w:pPr>
        <w:spacing w:line="360" w:lineRule="auto"/>
        <w:ind w:left="567" w:right="539"/>
        <w:jc w:val="both"/>
        <w:rPr>
          <w:rFonts w:ascii="Palatino Linotype" w:eastAsia="Calibri" w:hAnsi="Palatino Linotype" w:cs="Tahoma"/>
          <w:bCs/>
          <w:i/>
          <w:sz w:val="22"/>
          <w:szCs w:val="22"/>
          <w:lang w:eastAsia="en-US"/>
        </w:rPr>
      </w:pPr>
      <w:r w:rsidRPr="001C21CA">
        <w:rPr>
          <w:rFonts w:ascii="Palatino Linotype" w:eastAsia="Calibri" w:hAnsi="Palatino Linotype" w:cs="Tahoma"/>
          <w:bCs/>
          <w:i/>
          <w:sz w:val="22"/>
          <w:szCs w:val="22"/>
          <w:lang w:eastAsia="en-US"/>
        </w:rPr>
        <w:t>Para la generación de sellos digitales se utiliza criptografía de clave pública aplicada a una cadena original.</w:t>
      </w:r>
    </w:p>
    <w:p w:rsidR="00887FF3" w:rsidRPr="001C21CA" w:rsidRDefault="00887FF3" w:rsidP="00887FF3">
      <w:pPr>
        <w:spacing w:line="360" w:lineRule="auto"/>
        <w:ind w:left="567" w:right="539"/>
        <w:jc w:val="both"/>
        <w:rPr>
          <w:rFonts w:ascii="Palatino Linotype" w:eastAsia="Calibri" w:hAnsi="Palatino Linotype" w:cs="Tahoma"/>
          <w:bCs/>
          <w:i/>
          <w:sz w:val="22"/>
          <w:szCs w:val="22"/>
          <w:lang w:eastAsia="en-US"/>
        </w:rPr>
      </w:pPr>
    </w:p>
    <w:p w:rsidR="00887FF3" w:rsidRPr="001C21CA" w:rsidRDefault="00887FF3" w:rsidP="00887FF3">
      <w:pPr>
        <w:spacing w:line="360" w:lineRule="auto"/>
        <w:ind w:left="567" w:right="539"/>
        <w:jc w:val="both"/>
        <w:rPr>
          <w:rFonts w:ascii="Palatino Linotype" w:eastAsia="Calibri" w:hAnsi="Palatino Linotype" w:cs="Tahoma"/>
          <w:bCs/>
          <w:i/>
          <w:sz w:val="22"/>
          <w:szCs w:val="22"/>
          <w:lang w:eastAsia="en-US"/>
        </w:rPr>
      </w:pPr>
      <w:r w:rsidRPr="001C21CA">
        <w:rPr>
          <w:rFonts w:ascii="Palatino Linotype" w:eastAsia="Calibri" w:hAnsi="Palatino Linotype" w:cs="Tahoma"/>
          <w:bCs/>
          <w:i/>
          <w:sz w:val="22"/>
          <w:szCs w:val="22"/>
          <w:lang w:eastAsia="en-US"/>
        </w:rPr>
        <w:t>Criptografía de la Clave Pública</w:t>
      </w:r>
    </w:p>
    <w:p w:rsidR="00887FF3" w:rsidRPr="001C21CA" w:rsidRDefault="00887FF3" w:rsidP="00887FF3">
      <w:pPr>
        <w:spacing w:line="360" w:lineRule="auto"/>
        <w:ind w:left="567" w:right="539"/>
        <w:jc w:val="both"/>
        <w:rPr>
          <w:rFonts w:ascii="Palatino Linotype" w:eastAsia="Calibri" w:hAnsi="Palatino Linotype" w:cs="Tahoma"/>
          <w:bCs/>
          <w:i/>
          <w:sz w:val="22"/>
          <w:szCs w:val="22"/>
          <w:lang w:eastAsia="en-US"/>
        </w:rPr>
      </w:pPr>
      <w:r w:rsidRPr="001C21CA">
        <w:rPr>
          <w:rFonts w:ascii="Palatino Linotype" w:eastAsia="Calibri" w:hAnsi="Palatino Linotype" w:cs="Tahoma"/>
          <w:bCs/>
          <w:i/>
          <w:sz w:val="22"/>
          <w:szCs w:val="22"/>
          <w:lang w:eastAsia="en-US"/>
        </w:rPr>
        <w:lastRenderedPageBreak/>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887FF3" w:rsidRPr="001C21CA" w:rsidRDefault="00887FF3" w:rsidP="00887FF3">
      <w:pPr>
        <w:spacing w:line="360" w:lineRule="auto"/>
        <w:jc w:val="both"/>
        <w:rPr>
          <w:rFonts w:ascii="Palatino Linotype" w:hAnsi="Palatino Linotype" w:cs="Tahoma"/>
          <w:bCs/>
          <w:sz w:val="22"/>
          <w:szCs w:val="22"/>
        </w:rPr>
      </w:pPr>
      <w:r w:rsidRPr="001C21CA">
        <w:rPr>
          <w:rFonts w:ascii="Palatino Linotype" w:hAnsi="Palatino Linotype" w:cs="Tahoma"/>
          <w:bCs/>
          <w:sz w:val="22"/>
          <w:szCs w:val="22"/>
        </w:rPr>
        <w:t> </w:t>
      </w:r>
    </w:p>
    <w:p w:rsidR="00887FF3" w:rsidRPr="001C21CA" w:rsidRDefault="00887FF3" w:rsidP="00887FF3">
      <w:pPr>
        <w:pStyle w:val="Prrafodelista"/>
        <w:spacing w:line="360" w:lineRule="auto"/>
        <w:ind w:left="0"/>
        <w:jc w:val="both"/>
        <w:rPr>
          <w:rFonts w:ascii="Palatino Linotype" w:hAnsi="Palatino Linotype" w:cs="Tahoma"/>
          <w:bCs/>
        </w:rPr>
      </w:pPr>
      <w:r w:rsidRPr="001C21CA">
        <w:rPr>
          <w:rFonts w:ascii="Palatino Linotype" w:hAnsi="Palatino Linotype" w:cs="Tahoma"/>
          <w:bCs/>
        </w:rPr>
        <w:t xml:space="preserve">Es decir, por sí solos </w:t>
      </w:r>
      <w:r w:rsidRPr="001C21CA">
        <w:rPr>
          <w:rFonts w:ascii="Palatino Linotype" w:hAnsi="Palatino Linotype" w:cs="Tahoma"/>
          <w:b/>
          <w:bCs/>
        </w:rPr>
        <w:t>las cadenas originales y los sellos originales no contienen datos personales confidenciales</w:t>
      </w:r>
      <w:r w:rsidRPr="001C21CA">
        <w:rPr>
          <w:rFonts w:ascii="Palatino Linotype" w:hAnsi="Palatino Linotype" w:cs="Tahoma"/>
          <w:bCs/>
        </w:rPr>
        <w:t>,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887FF3" w:rsidRPr="001C21CA" w:rsidRDefault="00887FF3" w:rsidP="00887FF3">
      <w:pPr>
        <w:pStyle w:val="Prrafodelista"/>
        <w:spacing w:line="360" w:lineRule="auto"/>
        <w:ind w:left="0"/>
        <w:jc w:val="both"/>
        <w:rPr>
          <w:rFonts w:ascii="Palatino Linotype" w:hAnsi="Palatino Linotype" w:cs="Tahoma"/>
          <w:bCs/>
        </w:rPr>
      </w:pPr>
    </w:p>
    <w:p w:rsidR="00887FF3" w:rsidRPr="001C21CA" w:rsidRDefault="00887FF3" w:rsidP="00887FF3">
      <w:pPr>
        <w:pStyle w:val="Prrafodelista"/>
        <w:spacing w:line="360" w:lineRule="auto"/>
        <w:ind w:left="0"/>
        <w:jc w:val="both"/>
        <w:rPr>
          <w:rFonts w:ascii="Palatino Linotype" w:hAnsi="Palatino Linotype" w:cs="Tahoma"/>
          <w:bCs/>
        </w:rPr>
      </w:pPr>
      <w:r w:rsidRPr="001C21CA">
        <w:rPr>
          <w:rFonts w:ascii="Palatino Linotype" w:hAnsi="Palatino Linotype" w:cs="Tahoma"/>
          <w:bCs/>
        </w:rPr>
        <w:t xml:space="preserve">Por otra parte, por lo que hace </w:t>
      </w:r>
      <w:r w:rsidRPr="001C21CA">
        <w:rPr>
          <w:rFonts w:ascii="Palatino Linotype" w:hAnsi="Palatino Linotype" w:cs="Tahoma"/>
          <w:b/>
          <w:bCs/>
          <w:u w:val="single"/>
        </w:rPr>
        <w:t>Folio Fiscal</w:t>
      </w:r>
      <w:r w:rsidRPr="001C21CA">
        <w:rPr>
          <w:rFonts w:ascii="Palatino Linotype" w:hAnsi="Palatino Linotype" w:cs="Tahoma"/>
          <w:bCs/>
        </w:rPr>
        <w:t>,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887FF3" w:rsidRPr="001C21CA" w:rsidRDefault="00887FF3" w:rsidP="00887FF3">
      <w:pPr>
        <w:pStyle w:val="Prrafodelista"/>
        <w:spacing w:line="360" w:lineRule="auto"/>
        <w:ind w:left="0"/>
        <w:jc w:val="both"/>
        <w:rPr>
          <w:rFonts w:ascii="Palatino Linotype" w:hAnsi="Palatino Linotype" w:cs="Tahoma"/>
          <w:bCs/>
        </w:rPr>
      </w:pPr>
    </w:p>
    <w:p w:rsidR="00887FF3" w:rsidRPr="001C21CA" w:rsidRDefault="00887FF3" w:rsidP="00485DA1">
      <w:pPr>
        <w:spacing w:line="360" w:lineRule="auto"/>
        <w:jc w:val="center"/>
        <w:rPr>
          <w:rFonts w:ascii="Palatino Linotype" w:hAnsi="Palatino Linotype" w:cs="Tahoma"/>
          <w:bCs/>
          <w:sz w:val="22"/>
          <w:szCs w:val="22"/>
        </w:rPr>
      </w:pPr>
      <w:r w:rsidRPr="001C21CA">
        <w:rPr>
          <w:rFonts w:ascii="Palatino Linotype" w:hAnsi="Palatino Linotype" w:cs="Tahoma"/>
          <w:bCs/>
          <w:noProof/>
          <w:sz w:val="22"/>
          <w:szCs w:val="22"/>
        </w:rPr>
        <w:drawing>
          <wp:inline distT="0" distB="0" distL="0" distR="0" wp14:anchorId="7C1F5033" wp14:editId="5854B601">
            <wp:extent cx="3906317" cy="295779"/>
            <wp:effectExtent l="0" t="0" r="0" b="9525"/>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extLst>
                        <a:ext uri="{28A0092B-C50C-407E-A947-70E740481C1C}">
                          <a14:useLocalDpi xmlns:a14="http://schemas.microsoft.com/office/drawing/2010/main" val="0"/>
                        </a:ext>
                      </a:extLst>
                    </a:blip>
                    <a:srcRect t="40505" r="32588" b="47482"/>
                    <a:stretch/>
                  </pic:blipFill>
                  <pic:spPr bwMode="auto">
                    <a:xfrm>
                      <a:off x="0" y="0"/>
                      <a:ext cx="4345931" cy="329066"/>
                    </a:xfrm>
                    <a:prstGeom prst="rect">
                      <a:avLst/>
                    </a:prstGeom>
                    <a:noFill/>
                    <a:ln>
                      <a:noFill/>
                    </a:ln>
                    <a:extLst>
                      <a:ext uri="{53640926-AAD7-44D8-BBD7-CCE9431645EC}">
                        <a14:shadowObscured xmlns:a14="http://schemas.microsoft.com/office/drawing/2010/main"/>
                      </a:ext>
                    </a:extLst>
                  </pic:spPr>
                </pic:pic>
              </a:graphicData>
            </a:graphic>
          </wp:inline>
        </w:drawing>
      </w:r>
    </w:p>
    <w:p w:rsidR="00887FF3" w:rsidRPr="001C21CA" w:rsidRDefault="00887FF3" w:rsidP="00887FF3">
      <w:pPr>
        <w:pStyle w:val="Prrafodelista"/>
        <w:spacing w:line="360" w:lineRule="auto"/>
        <w:ind w:left="0"/>
        <w:jc w:val="both"/>
        <w:rPr>
          <w:rFonts w:ascii="Palatino Linotype" w:hAnsi="Palatino Linotype" w:cs="Tahoma"/>
          <w:bCs/>
        </w:rPr>
      </w:pPr>
      <w:r w:rsidRPr="001C21CA">
        <w:rPr>
          <w:rFonts w:ascii="Palatino Linotype" w:hAnsi="Palatino Linotype" w:cs="Tahoma"/>
          <w:bCs/>
        </w:rPr>
        <w:lastRenderedPageBreak/>
        <w:t xml:space="preserve">En ese contexto, de la misma manera que en los casos previamente analizados, </w:t>
      </w:r>
      <w:r w:rsidRPr="001C21CA">
        <w:rPr>
          <w:rFonts w:ascii="Palatino Linotype" w:hAnsi="Palatino Linotype" w:cs="Tahoma"/>
          <w:bCs/>
          <w:u w:val="single"/>
        </w:rPr>
        <w:t>el folio fiscal, no contiene datos personales del emisor y tampoco se puede obtener información confidencial con el mismo</w:t>
      </w:r>
      <w:r w:rsidRPr="001C21CA">
        <w:rPr>
          <w:rFonts w:ascii="Palatino Linotype" w:hAnsi="Palatino Linotype" w:cs="Tahoma"/>
          <w:bCs/>
        </w:rPr>
        <w:t xml:space="preserve">,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 </w:t>
      </w:r>
    </w:p>
    <w:p w:rsidR="00887FF3" w:rsidRPr="001C21CA" w:rsidRDefault="00887FF3" w:rsidP="00887FF3">
      <w:pPr>
        <w:pStyle w:val="Prrafodelista"/>
        <w:spacing w:line="360" w:lineRule="auto"/>
        <w:ind w:left="0"/>
        <w:jc w:val="both"/>
        <w:rPr>
          <w:rFonts w:ascii="Palatino Linotype" w:hAnsi="Palatino Linotype" w:cs="Arial"/>
        </w:rPr>
      </w:pPr>
    </w:p>
    <w:p w:rsidR="00887FF3" w:rsidRPr="001C21CA" w:rsidRDefault="00887FF3" w:rsidP="00887FF3">
      <w:pPr>
        <w:pStyle w:val="Prrafodelista"/>
        <w:spacing w:line="360" w:lineRule="auto"/>
        <w:ind w:left="0"/>
        <w:jc w:val="both"/>
        <w:rPr>
          <w:rFonts w:ascii="Palatino Linotype" w:hAnsi="Palatino Linotype" w:cs="Arial"/>
          <w:b/>
        </w:rPr>
      </w:pPr>
      <w:r w:rsidRPr="001C21CA">
        <w:rPr>
          <w:rFonts w:ascii="Palatino Linotype" w:hAnsi="Palatino Linotype" w:cs="Arial"/>
          <w:b/>
        </w:rPr>
        <w:t>V. Firma de servidores públicos.</w:t>
      </w: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color w:val="000000"/>
          <w:u w:val="single"/>
        </w:rPr>
      </w:pPr>
      <w:r w:rsidRPr="001C21CA">
        <w:rPr>
          <w:rFonts w:ascii="Palatino Linotype" w:eastAsia="Palatino Linotype" w:hAnsi="Palatino Linotype" w:cs="Palatino Linotype"/>
          <w:color w:val="000000"/>
        </w:rPr>
        <w:t xml:space="preserve">La </w:t>
      </w:r>
      <w:r w:rsidRPr="001C21CA">
        <w:rPr>
          <w:rFonts w:ascii="Palatino Linotype" w:eastAsia="Palatino Linotype" w:hAnsi="Palatino Linotype" w:cs="Palatino Linotype"/>
          <w:b/>
          <w:color w:val="000000"/>
        </w:rPr>
        <w:t xml:space="preserve">firma </w:t>
      </w:r>
      <w:r w:rsidRPr="001C21CA">
        <w:rPr>
          <w:rFonts w:ascii="Palatino Linotype" w:eastAsia="Palatino Linotype" w:hAnsi="Palatino Linotype" w:cs="Palatino Linotype"/>
          <w:color w:val="000000"/>
        </w:rPr>
        <w:t xml:space="preserve">constituye un dato personal confidencial y únicamente será público dicho dato cuando sirva para la emisión de un acto de autoridad, en ejercicio de sus funciones, en el caso se considera que al tratarse de recibos de nómina por la prestación de servicios como servidores públicos y realizar actividades laborales en una institución pública se considera que </w:t>
      </w:r>
      <w:r w:rsidRPr="001C21CA">
        <w:rPr>
          <w:rFonts w:ascii="Palatino Linotype" w:eastAsia="Palatino Linotype" w:hAnsi="Palatino Linotype" w:cs="Palatino Linotype"/>
          <w:color w:val="000000"/>
          <w:u w:val="single"/>
        </w:rPr>
        <w:t>su firma es pública, ya que acepta la conformidad del pago por la prestación de sus servicios.</w:t>
      </w: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De esta manera, se colige que la firma de servidores públicos, vinculada al ejercicio de la función pública es información de naturaleza pública, pues documenta y rinde cuentas sobre el debido ejercicio de los recursos públicos en contraprestación a sus servicios prestados. La publicidad de dicho dato, se robustece, con el Criterio de Interpretación, de la Segunda Época, con clave de control SO/002/2019, emitido por el Instituto Nacional de Transparencia, Acceso a la Información y Protección de Datos Personales, que establece lo siguiente</w:t>
      </w:r>
      <w:r w:rsidRPr="001C21CA">
        <w:rPr>
          <w:rFonts w:ascii="Palatino Linotype" w:eastAsia="Palatino Linotype" w:hAnsi="Palatino Linotype" w:cs="Palatino Linotype"/>
          <w:color w:val="000000"/>
          <w:sz w:val="22"/>
          <w:szCs w:val="22"/>
        </w:rPr>
        <w:t>:</w:t>
      </w:r>
    </w:p>
    <w:p w:rsidR="00887FF3" w:rsidRPr="001C21CA" w:rsidRDefault="00887FF3" w:rsidP="00887FF3">
      <w:pPr>
        <w:shd w:val="clear" w:color="auto" w:fill="FFFFFF"/>
        <w:spacing w:line="276" w:lineRule="auto"/>
        <w:ind w:left="851" w:right="902"/>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sz w:val="22"/>
          <w:szCs w:val="22"/>
        </w:rPr>
        <w:lastRenderedPageBreak/>
        <w:t> </w:t>
      </w:r>
      <w:r w:rsidRPr="001C21CA">
        <w:rPr>
          <w:rFonts w:ascii="Palatino Linotype" w:eastAsia="Palatino Linotype" w:hAnsi="Palatino Linotype" w:cs="Palatino Linotype"/>
          <w:b/>
          <w:i/>
          <w:sz w:val="22"/>
          <w:szCs w:val="22"/>
        </w:rPr>
        <w:t>“Firma y rúbrica de servidores públicos.</w:t>
      </w:r>
      <w:r w:rsidRPr="001C21CA">
        <w:rPr>
          <w:rFonts w:ascii="Palatino Linotype" w:eastAsia="Palatino Linotype" w:hAnsi="Palatino Linotype" w:cs="Palatino Linotype"/>
          <w:i/>
          <w:sz w:val="22"/>
          <w:szCs w:val="22"/>
        </w:rPr>
        <w:t> Si bien la firma y la rúbrica son datos personales confidenciales, cuando un servidor público emite un acto como autoridad, en ejercicio de las funciones que tiene conferidas, la firma o rúbrica mediante la cual se valida dicho acto es pública.”</w:t>
      </w:r>
    </w:p>
    <w:p w:rsidR="00887FF3" w:rsidRPr="001C21CA" w:rsidRDefault="00887FF3" w:rsidP="00887FF3">
      <w:pPr>
        <w:spacing w:line="360" w:lineRule="auto"/>
        <w:jc w:val="both"/>
        <w:rPr>
          <w:rFonts w:ascii="Palatino Linotype" w:hAnsi="Palatino Linotype" w:cs="Arial"/>
          <w:shd w:val="clear" w:color="auto" w:fill="FFFFFF"/>
        </w:rPr>
      </w:pPr>
    </w:p>
    <w:p w:rsidR="00887FF3" w:rsidRPr="001C21CA" w:rsidRDefault="00887FF3" w:rsidP="00887FF3">
      <w:pPr>
        <w:spacing w:line="360" w:lineRule="auto"/>
        <w:jc w:val="both"/>
        <w:rPr>
          <w:rFonts w:ascii="Palatino Linotype" w:hAnsi="Palatino Linotype" w:cs="Arial"/>
          <w:shd w:val="clear" w:color="auto" w:fill="FFFFFF"/>
        </w:rPr>
      </w:pPr>
      <w:r w:rsidRPr="001C21CA">
        <w:rPr>
          <w:rFonts w:ascii="Palatino Linotype" w:hAnsi="Palatino Linotype" w:cs="Arial"/>
          <w:shd w:val="clear" w:color="auto" w:fill="FFFFFF"/>
        </w:rPr>
        <w:t xml:space="preserve">Por lo que, es de recordarse que los datos personales sensibles son los datos referentes a la esfera más íntima de su titular cuya utilización indebida puede dar origen a discriminación o conlleve un riesgo grave para éste, dentro de los cuales se encuentran los datos biométricos los cuales son aquellos datos relacionados con propiedades biológicas, características fisiológicas o rasgos la personalidad que mediante métodos automáticos identifican rasgos físicos únicos e intransferibles de nosotros, como la huella dactilar, geometría de la mano, características de iris y retina, código genético u otros. </w:t>
      </w:r>
    </w:p>
    <w:p w:rsidR="00887FF3" w:rsidRPr="001C21CA" w:rsidRDefault="00887FF3" w:rsidP="00887FF3">
      <w:pPr>
        <w:tabs>
          <w:tab w:val="left" w:pos="4962"/>
        </w:tabs>
        <w:spacing w:line="360" w:lineRule="auto"/>
        <w:jc w:val="both"/>
        <w:rPr>
          <w:rFonts w:ascii="Palatino Linotype" w:eastAsia="Palatino Linotype" w:hAnsi="Palatino Linotype" w:cs="Palatino Linotype"/>
          <w:sz w:val="22"/>
          <w:szCs w:val="22"/>
        </w:rPr>
      </w:pPr>
    </w:p>
    <w:p w:rsidR="00887FF3" w:rsidRPr="001C21CA" w:rsidRDefault="00887FF3" w:rsidP="00887FF3">
      <w:pPr>
        <w:spacing w:line="360" w:lineRule="auto"/>
        <w:jc w:val="both"/>
        <w:rPr>
          <w:rFonts w:ascii="Palatino Linotype" w:hAnsi="Palatino Linotype" w:cs="Tahoma"/>
          <w:b/>
          <w:bCs/>
          <w:iCs/>
          <w:color w:val="000000"/>
        </w:rPr>
      </w:pPr>
      <w:r w:rsidRPr="001C21CA">
        <w:rPr>
          <w:rFonts w:ascii="Palatino Linotype" w:hAnsi="Palatino Linotype" w:cs="Tahoma"/>
          <w:bCs/>
          <w:lang w:val="es-ES"/>
        </w:rPr>
        <w:t xml:space="preserve">Sobre dicho dato, cabe precisar que, en el presente caso, se trata de los servidores públicos que firman sus recibos de nómina  en su calidad de servidores públicos así como aquellos que plasman su huella dactilar, es de señalar que la firma es un dato personal y únicamente </w:t>
      </w:r>
      <w:r w:rsidRPr="001C21CA">
        <w:rPr>
          <w:rFonts w:ascii="Palatino Linotype" w:hAnsi="Palatino Linotype" w:cs="Tahoma"/>
          <w:b/>
          <w:bCs/>
          <w:lang w:val="es-ES"/>
        </w:rPr>
        <w:t>será público dicho dato cuando sirva para la emisión de un acto de autoridad, en ejercicio de sus funciones</w:t>
      </w:r>
      <w:r w:rsidRPr="001C21CA">
        <w:rPr>
          <w:rFonts w:ascii="Palatino Linotype" w:eastAsia="Palatino Linotype" w:hAnsi="Palatino Linotype" w:cs="Palatino Linotype"/>
        </w:rPr>
        <w:t>.</w:t>
      </w:r>
    </w:p>
    <w:p w:rsidR="00887FF3" w:rsidRPr="001C21CA" w:rsidRDefault="00887FF3" w:rsidP="00887FF3">
      <w:pPr>
        <w:tabs>
          <w:tab w:val="left" w:pos="567"/>
        </w:tabs>
        <w:spacing w:line="360" w:lineRule="auto"/>
        <w:contextualSpacing/>
        <w:jc w:val="both"/>
        <w:rPr>
          <w:rFonts w:ascii="Palatino Linotype" w:eastAsia="Calibri" w:hAnsi="Palatino Linotype" w:cs="Arial"/>
          <w:sz w:val="22"/>
          <w:szCs w:val="22"/>
        </w:rPr>
      </w:pPr>
    </w:p>
    <w:p w:rsidR="00887FF3" w:rsidRPr="001C21CA" w:rsidRDefault="00DE42FD" w:rsidP="00887FF3">
      <w:pPr>
        <w:tabs>
          <w:tab w:val="left" w:pos="567"/>
        </w:tabs>
        <w:spacing w:line="360" w:lineRule="auto"/>
        <w:contextualSpacing/>
        <w:jc w:val="both"/>
        <w:rPr>
          <w:rFonts w:ascii="Palatino Linotype" w:eastAsia="Palatino Linotype" w:hAnsi="Palatino Linotype" w:cs="Palatino Linotype"/>
          <w:color w:val="000000"/>
        </w:rPr>
      </w:pPr>
      <w:r w:rsidRPr="001C21CA">
        <w:rPr>
          <w:rFonts w:ascii="Palatino Linotype" w:eastAsia="Calibri" w:hAnsi="Palatino Linotype" w:cs="Arial"/>
        </w:rPr>
        <w:t>De lo anterior</w:t>
      </w:r>
      <w:r w:rsidR="00887FF3" w:rsidRPr="001C21CA">
        <w:rPr>
          <w:rFonts w:ascii="Palatino Linotype" w:eastAsia="Calibri" w:hAnsi="Palatino Linotype" w:cs="Arial"/>
        </w:rPr>
        <w:t xml:space="preserve">, al analizar la respuesta proporcionada por el Sujeto Obligado </w:t>
      </w:r>
      <w:r w:rsidR="00887FF3" w:rsidRPr="001C21CA">
        <w:rPr>
          <w:rFonts w:ascii="Palatino Linotype" w:eastAsia="Palatino Linotype" w:hAnsi="Palatino Linotype" w:cs="Palatino Linotype"/>
          <w:color w:val="000000"/>
        </w:rPr>
        <w:t xml:space="preserve">no se puede acreditar que se haya realizado una búsqueda exhaustiva y razonable de la información pues en respuesta además manifestó anexar un soporte documental sin que se advierta en el Sistema Electrónico SAIMEX, ya que es de recordar que la búsqueda exhaustiva de la información es considerada una </w:t>
      </w:r>
      <w:r w:rsidR="00887FF3" w:rsidRPr="001C21CA">
        <w:rPr>
          <w:rFonts w:ascii="Palatino Linotype" w:eastAsia="Palatino Linotype" w:hAnsi="Palatino Linotype" w:cs="Palatino Linotype"/>
          <w:b/>
          <w:color w:val="000000"/>
        </w:rPr>
        <w:t xml:space="preserve">actividad necesaria e indispensable para la correcta atención de las solicitudes de información que permite la localización de aquella </w:t>
      </w:r>
      <w:r w:rsidR="00887FF3" w:rsidRPr="001C21CA">
        <w:rPr>
          <w:rFonts w:ascii="Palatino Linotype" w:eastAsia="Palatino Linotype" w:hAnsi="Palatino Linotype" w:cs="Palatino Linotype"/>
          <w:b/>
          <w:color w:val="000000"/>
        </w:rPr>
        <w:lastRenderedPageBreak/>
        <w:t>documentación requerida por el solicitante</w:t>
      </w:r>
      <w:r w:rsidR="00887FF3" w:rsidRPr="001C21CA">
        <w:rPr>
          <w:rFonts w:ascii="Palatino Linotype" w:eastAsia="Palatino Linotype" w:hAnsi="Palatino Linotype" w:cs="Palatino Linotype"/>
          <w:color w:val="000000"/>
        </w:rPr>
        <w:t>; por lo que, el indicar los archivos en donde se efectuó la búsqueda constituye un elemento necesario que permite a este Instituto tener la certeza de que la información se trató de localizar.</w:t>
      </w:r>
    </w:p>
    <w:p w:rsidR="00887FF3" w:rsidRPr="001C21CA" w:rsidRDefault="00887FF3" w:rsidP="00887FF3">
      <w:pPr>
        <w:tabs>
          <w:tab w:val="left" w:pos="567"/>
        </w:tabs>
        <w:spacing w:line="360" w:lineRule="auto"/>
        <w:contextualSpacing/>
        <w:jc w:val="both"/>
        <w:rPr>
          <w:rFonts w:ascii="Palatino Linotype" w:eastAsia="Calibri" w:hAnsi="Palatino Linotype" w:cs="Arial"/>
        </w:rPr>
      </w:pPr>
    </w:p>
    <w:p w:rsidR="00DE42FD" w:rsidRPr="001C21CA" w:rsidRDefault="00DE42FD" w:rsidP="00DE42FD">
      <w:pPr>
        <w:pStyle w:val="Prrafodelista"/>
        <w:tabs>
          <w:tab w:val="left" w:pos="426"/>
        </w:tabs>
        <w:spacing w:before="240" w:after="240" w:line="360" w:lineRule="auto"/>
        <w:ind w:left="0" w:right="51"/>
        <w:jc w:val="both"/>
        <w:rPr>
          <w:rFonts w:ascii="Palatino Linotype" w:hAnsi="Palatino Linotype" w:cs="Tahoma"/>
          <w:color w:val="0D0D0D" w:themeColor="text1" w:themeTint="F2"/>
          <w:u w:val="single"/>
        </w:rPr>
      </w:pPr>
      <w:r w:rsidRPr="001C21CA">
        <w:rPr>
          <w:rFonts w:ascii="Palatino Linotype" w:hAnsi="Palatino Linotype"/>
          <w:lang w:val="es-ES"/>
        </w:rPr>
        <w:t xml:space="preserve">En este sentido el Sujeto Obligado advirtió que respecto la información requerida por el Recurrente </w:t>
      </w:r>
      <w:r w:rsidRPr="001C21CA">
        <w:rPr>
          <w:rFonts w:ascii="Palatino Linotype" w:hAnsi="Palatino Linotype" w:cs="Arial"/>
          <w:bCs/>
        </w:rPr>
        <w:t xml:space="preserve">para la expedición de la información deberá pagar una tarifa por lo anterior </w:t>
      </w:r>
      <w:r w:rsidRPr="001C21CA">
        <w:rPr>
          <w:rFonts w:ascii="Palatino Linotype" w:hAnsi="Palatino Linotype" w:cs="Tahoma"/>
          <w:color w:val="0D0D0D" w:themeColor="text1" w:themeTint="F2"/>
          <w:u w:val="single"/>
        </w:rPr>
        <w:t>se advierte que con el pronunciamiento brindado en respuesta acepto generar, poseer y administrar la información requerida por el Recurrente al manifestarle que para requerir la información debía cubrir un costo.</w:t>
      </w:r>
    </w:p>
    <w:p w:rsidR="00DE42FD" w:rsidRPr="001C21CA" w:rsidRDefault="00DE42FD" w:rsidP="00DE42FD">
      <w:pPr>
        <w:pStyle w:val="Prrafodelista"/>
        <w:tabs>
          <w:tab w:val="left" w:pos="426"/>
        </w:tabs>
        <w:spacing w:before="240" w:after="240" w:line="360" w:lineRule="auto"/>
        <w:ind w:left="0" w:right="51"/>
        <w:jc w:val="both"/>
        <w:rPr>
          <w:rFonts w:ascii="Palatino Linotype" w:hAnsi="Palatino Linotype" w:cs="Arial"/>
          <w:bCs/>
        </w:rPr>
      </w:pPr>
    </w:p>
    <w:p w:rsidR="00DE42FD" w:rsidRPr="001C21CA" w:rsidRDefault="00DE42FD" w:rsidP="00DE42FD">
      <w:pPr>
        <w:pStyle w:val="Prrafodelista"/>
        <w:tabs>
          <w:tab w:val="left" w:pos="851"/>
        </w:tabs>
        <w:spacing w:before="240" w:after="240" w:line="360" w:lineRule="auto"/>
        <w:ind w:left="0" w:right="49"/>
        <w:jc w:val="both"/>
        <w:rPr>
          <w:rFonts w:ascii="Palatino Linotype" w:hAnsi="Palatino Linotype" w:cs="Arial"/>
        </w:rPr>
      </w:pPr>
      <w:r w:rsidRPr="001C21CA">
        <w:rPr>
          <w:rFonts w:ascii="Palatino Linotype" w:hAnsi="Palatino Linotype"/>
          <w:lang w:val="es-ES"/>
        </w:rPr>
        <w:t xml:space="preserve">De lo anterior es imprescindible traer a colación </w:t>
      </w:r>
      <w:r w:rsidRPr="001C21CA">
        <w:rPr>
          <w:rFonts w:ascii="Palatino Linotype" w:hAnsi="Palatino Linotype" w:cs="Arial"/>
        </w:rPr>
        <w:t xml:space="preserve">la fracción II del artículo 2 de la Ley de Transparencia y Acceso a la Información Pública del Estado de México y Municipios, menciona que son objetivos de la misma, proveer lo necesario para garantizar a toda persona el derecho de acceso a la información pública, a través de procedimientos sencillos, expeditos, oportunos y </w:t>
      </w:r>
      <w:r w:rsidRPr="001C21CA">
        <w:rPr>
          <w:rFonts w:ascii="Palatino Linotype" w:hAnsi="Palatino Linotype" w:cs="Arial"/>
          <w:b/>
        </w:rPr>
        <w:t xml:space="preserve">gratuitos; </w:t>
      </w:r>
      <w:r w:rsidRPr="001C21CA">
        <w:rPr>
          <w:rFonts w:ascii="Palatino Linotype" w:hAnsi="Palatino Linotype" w:cs="Arial"/>
        </w:rPr>
        <w:t xml:space="preserve">mientras que los diversos 17 y 150, hacen referencia a que la búsqueda y acceso a la información es gratuita y sólo se cubrirá en su caso, los gastos de reproducción, por la modalidad de entrega solicitada, o por el envió de conformidad con los derechos, productos y aprovechamientos establecidos en la legislación aplicable, toda vez que </w:t>
      </w:r>
      <w:r w:rsidRPr="001C21CA">
        <w:rPr>
          <w:rFonts w:ascii="Palatino Linotype" w:hAnsi="Palatino Linotype" w:cs="Arial"/>
          <w:u w:val="single"/>
        </w:rPr>
        <w:t>el procedimiento de acceso a la información es la garantía primaria del derecho en cuestión y se rige por los principios de simplicidad, rapidez</w:t>
      </w:r>
      <w:r w:rsidRPr="001C21CA">
        <w:rPr>
          <w:rFonts w:ascii="Palatino Linotype" w:hAnsi="Palatino Linotype" w:cs="Arial"/>
          <w:b/>
          <w:u w:val="single"/>
        </w:rPr>
        <w:t>, gratuidad</w:t>
      </w:r>
      <w:r w:rsidRPr="001C21CA">
        <w:rPr>
          <w:rFonts w:ascii="Palatino Linotype" w:hAnsi="Palatino Linotype" w:cs="Arial"/>
          <w:u w:val="single"/>
        </w:rPr>
        <w:t>, auxilio y orientación a los particulares</w:t>
      </w:r>
      <w:r w:rsidRPr="001C21CA">
        <w:rPr>
          <w:rFonts w:ascii="Palatino Linotype" w:hAnsi="Palatino Linotype" w:cs="Arial"/>
        </w:rPr>
        <w:t xml:space="preserve">, en virtud de que constituye el primer paso para integrar activamente a la ciudadanía en la acción gubernamental, toda vez que con la información proporcionada por medio de las políticas de </w:t>
      </w:r>
      <w:r w:rsidRPr="001C21CA">
        <w:rPr>
          <w:rFonts w:ascii="Palatino Linotype" w:hAnsi="Palatino Linotype" w:cs="Arial"/>
        </w:rPr>
        <w:lastRenderedPageBreak/>
        <w:t>transparencia, los ciudadanos son participes de las acciones de gobierno, lo que favorece la rendición de cuentas.</w:t>
      </w:r>
    </w:p>
    <w:p w:rsidR="00DE42FD" w:rsidRPr="001C21CA" w:rsidRDefault="00DE42FD" w:rsidP="00DE42FD">
      <w:pPr>
        <w:pStyle w:val="Prrafodelista"/>
        <w:tabs>
          <w:tab w:val="left" w:pos="851"/>
        </w:tabs>
        <w:spacing w:before="240" w:after="240" w:line="360" w:lineRule="auto"/>
        <w:ind w:left="0" w:right="49"/>
        <w:jc w:val="both"/>
        <w:rPr>
          <w:rFonts w:ascii="Palatino Linotype" w:hAnsi="Palatino Linotype" w:cs="Arial"/>
        </w:rPr>
      </w:pPr>
    </w:p>
    <w:p w:rsidR="00DE42FD" w:rsidRPr="001C21CA" w:rsidRDefault="00DE42FD" w:rsidP="00DE42FD">
      <w:pPr>
        <w:pStyle w:val="Prrafodelista"/>
        <w:tabs>
          <w:tab w:val="left" w:pos="851"/>
        </w:tabs>
        <w:spacing w:before="240" w:after="240" w:line="360" w:lineRule="auto"/>
        <w:ind w:left="0" w:right="49"/>
        <w:jc w:val="both"/>
        <w:rPr>
          <w:rFonts w:ascii="Palatino Linotype" w:hAnsi="Palatino Linotype" w:cs="Arial"/>
        </w:rPr>
      </w:pPr>
      <w:r w:rsidRPr="001C21CA">
        <w:rPr>
          <w:rFonts w:ascii="Palatino Linotype" w:hAnsi="Palatino Linotype" w:cs="Arial"/>
        </w:rPr>
        <w:t xml:space="preserve">De tal manera que por regla general, la entrega de la información que se solicite en ejercicio del derecho de acceso a la información pública, </w:t>
      </w:r>
      <w:r w:rsidRPr="001C21CA">
        <w:rPr>
          <w:rFonts w:ascii="Palatino Linotype" w:hAnsi="Palatino Linotype" w:cs="Arial"/>
          <w:b/>
        </w:rPr>
        <w:t>deberá ser en completa congruencia con el principio de gratuidad</w:t>
      </w:r>
      <w:r w:rsidRPr="001C21CA">
        <w:rPr>
          <w:rFonts w:ascii="Palatino Linotype" w:hAnsi="Palatino Linotype" w:cs="Arial"/>
        </w:rPr>
        <w:t xml:space="preserve"> y solamente en casos excepcionales procederá al cobro para la entrega de la información, situación que ocurrirá en caso de que se tenga que generar un gasto por la reproducción, por la modalidad de entrega solicitada, o por el envió, mismo que se relaciona con lo establecido en el artículo 174 de la Ley de la Materia.</w:t>
      </w:r>
    </w:p>
    <w:p w:rsidR="00DE42FD" w:rsidRPr="001C21CA" w:rsidRDefault="00DE42FD" w:rsidP="00DE42FD">
      <w:pPr>
        <w:pStyle w:val="Prrafodelista"/>
        <w:tabs>
          <w:tab w:val="left" w:pos="851"/>
        </w:tabs>
        <w:spacing w:before="240" w:after="240" w:line="360" w:lineRule="auto"/>
        <w:ind w:left="0" w:right="49"/>
        <w:jc w:val="both"/>
        <w:rPr>
          <w:rFonts w:ascii="Palatino Linotype" w:hAnsi="Palatino Linotype" w:cs="Arial"/>
        </w:rPr>
      </w:pPr>
    </w:p>
    <w:p w:rsidR="00DE42FD" w:rsidRPr="001C21CA" w:rsidRDefault="00DE42FD" w:rsidP="00DE42FD">
      <w:pPr>
        <w:pStyle w:val="Prrafodelista"/>
        <w:tabs>
          <w:tab w:val="left" w:pos="851"/>
        </w:tabs>
        <w:spacing w:before="240" w:after="240" w:line="360" w:lineRule="auto"/>
        <w:ind w:left="0" w:right="49"/>
        <w:jc w:val="both"/>
        <w:rPr>
          <w:rFonts w:ascii="Palatino Linotype" w:hAnsi="Palatino Linotype"/>
        </w:rPr>
      </w:pPr>
      <w:r w:rsidRPr="001C21CA">
        <w:rPr>
          <w:rFonts w:ascii="Palatino Linotype" w:hAnsi="Palatino Linotype"/>
        </w:rPr>
        <w:t xml:space="preserve">Ley de la Materia estableció el cobró de derechos para la entrega de la información con el objeto de que se cubran los costos de los materiales utilizados en la reproducción de la información, el costo por el envió de la misma o el pago por la certificación; sin embargo en el caso particular que se comenta no se estima que se actualice ninguno de esos supuestos y </w:t>
      </w:r>
      <w:r w:rsidRPr="001C21CA">
        <w:rPr>
          <w:rFonts w:ascii="Palatino Linotype" w:hAnsi="Palatino Linotype"/>
          <w:b/>
        </w:rPr>
        <w:t>no debe perderse de vista que la parte solicitante requirió la información, a través del SAIMEX, haciendo hincapié que el SAIMEX es una herramienta que permita que la información remitida por dicha vía pueda ser descargada en cualquier ordenamiento tecnológico y si los particulares lo desean sea impresa y así obtener la calidad de copias simples,</w:t>
      </w:r>
      <w:r w:rsidRPr="001C21CA">
        <w:rPr>
          <w:rFonts w:ascii="Palatino Linotype" w:hAnsi="Palatino Linotype"/>
        </w:rPr>
        <w:t xml:space="preserve"> por lo que ello únicamente implica la digitalización o escaneo de la información a entregar, lo cual no conlleva la utilización de materiales que generen un costo para el Sujeto Obligado.</w:t>
      </w:r>
    </w:p>
    <w:p w:rsidR="00DE42FD" w:rsidRPr="001C21CA" w:rsidRDefault="00DE42FD" w:rsidP="00DE42FD">
      <w:pPr>
        <w:pStyle w:val="Prrafodelista"/>
        <w:tabs>
          <w:tab w:val="left" w:pos="851"/>
        </w:tabs>
        <w:spacing w:before="240" w:after="240" w:line="360" w:lineRule="auto"/>
        <w:ind w:left="0" w:right="49"/>
        <w:jc w:val="both"/>
        <w:rPr>
          <w:rFonts w:ascii="Palatino Linotype" w:hAnsi="Palatino Linotype"/>
        </w:rPr>
      </w:pPr>
    </w:p>
    <w:p w:rsidR="00DE42FD" w:rsidRPr="001C21CA" w:rsidRDefault="00DE42FD" w:rsidP="00DE42FD">
      <w:pPr>
        <w:pStyle w:val="Prrafodelista"/>
        <w:spacing w:before="240" w:after="240" w:line="360" w:lineRule="auto"/>
        <w:ind w:left="0"/>
        <w:jc w:val="both"/>
        <w:rPr>
          <w:rFonts w:ascii="Palatino Linotype" w:hAnsi="Palatino Linotype" w:cs="Arial"/>
        </w:rPr>
      </w:pPr>
      <w:r w:rsidRPr="001C21CA">
        <w:rPr>
          <w:rFonts w:ascii="Palatino Linotype" w:hAnsi="Palatino Linotype"/>
        </w:rPr>
        <w:lastRenderedPageBreak/>
        <w:t xml:space="preserve">Aunado a lo anterior, </w:t>
      </w:r>
      <w:r w:rsidRPr="001C21CA">
        <w:rPr>
          <w:rFonts w:ascii="Palatino Linotype" w:hAnsi="Palatino Linotype" w:cs="Arial"/>
        </w:rPr>
        <w:t xml:space="preserve">la exposición de motivos de la Ley de Transparencia y Acceso a la Información Pública del Estado de México y Municipios, señala que se adoptara una ruta regida por el principio de progresividad en la materia, que implique que haya una plena interconectividad entre las plataformas estatales existentes, las cuales deberán acoplarse a la plataforma nacional, lo que implica, en un primer momento utilizar la información digitalizada por la propia función del gobierno y en datos abiertos, a su vez en el artículo </w:t>
      </w:r>
      <w:r w:rsidRPr="001C21CA">
        <w:rPr>
          <w:rFonts w:ascii="Palatino Linotype" w:hAnsi="Palatino Linotype" w:cs="Arial"/>
          <w:b/>
          <w:bCs/>
        </w:rPr>
        <w:t>24 fracción XXIII dispone como obligación de los entes públicos, la de procurar la digitalización de toda la información pública en su poder</w:t>
      </w:r>
      <w:r w:rsidRPr="001C21CA">
        <w:rPr>
          <w:rFonts w:ascii="Palatino Linotype" w:hAnsi="Palatino Linotype" w:cs="Arial"/>
        </w:rPr>
        <w:t xml:space="preserve">, mientras que diverso 175 prevé que la información que deban publicar los sujetos obligados en términos de la Ley o deba ser generada de manera electrónica, según lo dispongan las disposiciones legales o administrativas </w:t>
      </w:r>
      <w:r w:rsidRPr="001C21CA">
        <w:rPr>
          <w:rFonts w:ascii="Palatino Linotype" w:hAnsi="Palatino Linotype" w:cs="Arial"/>
          <w:b/>
        </w:rPr>
        <w:t>no podrán tener ningún costo, incluyendo aquella que se hubiera digitalizado previamente por cualquier motivo, y aún menos en aquellos casos en que la modalidad de entrega sea por medio de la plataforma o vía electrónica.</w:t>
      </w:r>
    </w:p>
    <w:p w:rsidR="00DE42FD" w:rsidRPr="001C21CA" w:rsidRDefault="00DE42FD" w:rsidP="00887FF3">
      <w:pPr>
        <w:tabs>
          <w:tab w:val="left" w:pos="567"/>
        </w:tabs>
        <w:spacing w:line="360" w:lineRule="auto"/>
        <w:contextualSpacing/>
        <w:jc w:val="both"/>
        <w:rPr>
          <w:rFonts w:ascii="Palatino Linotype" w:eastAsia="Calibri" w:hAnsi="Palatino Linotype" w:cs="Arial"/>
        </w:rPr>
      </w:pPr>
    </w:p>
    <w:p w:rsidR="00887FF3" w:rsidRPr="001C21CA" w:rsidRDefault="00887FF3" w:rsidP="00887FF3">
      <w:pP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Lo anterior ocasiona que en el caso no se cumpliera con el principio de búsqueda exhaustiva de la información requerida, cuyo alcance se encuentra establecido en el Criterio Reiterado 02/19 emitido por el Pleno de este Organismo Garante, a saber:</w:t>
      </w:r>
    </w:p>
    <w:p w:rsidR="00887FF3" w:rsidRPr="001C21CA" w:rsidRDefault="00887FF3" w:rsidP="00887FF3">
      <w:pPr>
        <w:spacing w:line="276" w:lineRule="auto"/>
        <w:ind w:left="567" w:right="706"/>
        <w:jc w:val="both"/>
        <w:rPr>
          <w:rFonts w:ascii="Palatino Linotype" w:eastAsia="Palatino Linotype" w:hAnsi="Palatino Linotype" w:cs="Palatino Linotype"/>
          <w:i/>
          <w:color w:val="000000"/>
          <w:sz w:val="22"/>
          <w:szCs w:val="22"/>
        </w:rPr>
      </w:pPr>
      <w:r w:rsidRPr="001C21CA">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1C21CA">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w:t>
      </w:r>
      <w:r w:rsidRPr="001C21CA">
        <w:rPr>
          <w:rFonts w:ascii="Palatino Linotype" w:eastAsia="Palatino Linotype" w:hAnsi="Palatino Linotype" w:cs="Palatino Linotype"/>
          <w:i/>
          <w:color w:val="000000"/>
          <w:sz w:val="22"/>
          <w:szCs w:val="22"/>
        </w:rPr>
        <w:lastRenderedPageBreak/>
        <w:t>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rsidR="002E05B2" w:rsidRPr="001C21CA" w:rsidRDefault="002E05B2" w:rsidP="00887FF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Por lo que, resulta aplicable el Criterio 02/17 emitido por el Peno del Instituto Nacional de Transparencia y Acceso a la Información y Protección de Datos Personales, de título y texto siguientes:</w:t>
      </w:r>
    </w:p>
    <w:p w:rsidR="00887FF3" w:rsidRPr="001C21CA" w:rsidRDefault="00887FF3" w:rsidP="00887FF3">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r w:rsidRPr="001C21CA">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1C21CA">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1C21CA">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1C21CA">
        <w:rPr>
          <w:rFonts w:ascii="Palatino Linotype" w:eastAsia="Palatino Linotype" w:hAnsi="Palatino Linotype" w:cs="Palatino Linotype"/>
          <w:i/>
          <w:color w:val="000000"/>
          <w:sz w:val="22"/>
          <w:szCs w:val="22"/>
        </w:rPr>
        <w:t xml:space="preserve">; mientras que </w:t>
      </w:r>
      <w:r w:rsidRPr="001C21CA">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1C21CA">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887FF3" w:rsidRPr="001C21CA" w:rsidRDefault="00887FF3" w:rsidP="00887FF3">
      <w:pPr>
        <w:spacing w:line="360" w:lineRule="auto"/>
        <w:jc w:val="both"/>
        <w:rPr>
          <w:rFonts w:ascii="Palatino Linotype" w:eastAsia="Palatino Linotype" w:hAnsi="Palatino Linotype" w:cs="Palatino Linotype"/>
        </w:rPr>
      </w:pP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lastRenderedPageBreak/>
        <w:t xml:space="preserve">Por otro lado, derivado de la información que se ordena entregar pudiera existir información de la </w:t>
      </w:r>
      <w:r w:rsidRPr="001C21CA">
        <w:rPr>
          <w:rFonts w:ascii="Palatino Linotype" w:eastAsia="Palatino Linotype" w:hAnsi="Palatino Linotype" w:cs="Palatino Linotype"/>
          <w:b/>
        </w:rPr>
        <w:t>Dirección de Seguridad Pública del Ayuntamiento o su equivalente,</w:t>
      </w:r>
      <w:r w:rsidRPr="001C21CA">
        <w:rPr>
          <w:rFonts w:ascii="Palatino Linotype" w:eastAsia="Palatino Linotype" w:hAnsi="Palatino Linotype" w:cs="Palatino Linotype"/>
        </w:rPr>
        <w:t xml:space="preserve"> la cual ponga en riesgo los integrantes de las corporaciones policiacas, esto es así derivado de las funciones encomendadas en términos del artículo 21 párrafo noveno de la Constitución Política de los Estados Unidos Mexicanos, de las cuales comprende la prevención de los delitos, investigación y persecución para hacerla efectiva, lo cual permite a esta Ponencia proteger los datos de los servidores públicos que integran dicha Dirección </w:t>
      </w:r>
      <w:r w:rsidRPr="001C21CA">
        <w:rPr>
          <w:rFonts w:ascii="Palatino Linotype" w:eastAsia="Palatino Linotype" w:hAnsi="Palatino Linotype" w:cs="Palatino Linotype"/>
          <w:b/>
        </w:rPr>
        <w:t>sólo por cuanto hace al nombre</w:t>
      </w:r>
      <w:r w:rsidRPr="001C21CA">
        <w:rPr>
          <w:rFonts w:ascii="Palatino Linotype" w:eastAsia="Palatino Linotype" w:hAnsi="Palatino Linotype" w:cs="Palatino Linotype"/>
        </w:rPr>
        <w:t xml:space="preserve"> </w:t>
      </w:r>
      <w:r w:rsidRPr="001C21CA">
        <w:rPr>
          <w:rFonts w:ascii="Palatino Linotype" w:eastAsia="Palatino Linotype" w:hAnsi="Palatino Linotype" w:cs="Palatino Linotype"/>
          <w:b/>
        </w:rPr>
        <w:t>dejando intocable el rubro del cargo</w:t>
      </w:r>
      <w:r w:rsidRPr="001C21CA">
        <w:rPr>
          <w:rFonts w:ascii="Palatino Linotype" w:eastAsia="Palatino Linotype" w:hAnsi="Palatino Linotype" w:cs="Palatino Linotype"/>
        </w:rPr>
        <w:t xml:space="preserve">; circunstancia que en nada afecta al derecho tutelado por este Organismo Garante sino por el contrario también reafirma su compromiso con la rendición de cuentas del Estado y la protección a grupos vulnerables de acuerdo al cargo de seguridad Municipal, por lo que deberá testarse de igual manera sólo el nombre de los servidores públicos de la Policía Municipal </w:t>
      </w:r>
      <w:r w:rsidRPr="001C21CA">
        <w:rPr>
          <w:rFonts w:ascii="Palatino Linotype" w:eastAsia="Palatino Linotype" w:hAnsi="Palatino Linotype" w:cs="Palatino Linotype"/>
          <w:b/>
        </w:rPr>
        <w:t>que desempeñen funciones operativas</w:t>
      </w:r>
      <w:r w:rsidRPr="001C21CA">
        <w:rPr>
          <w:rFonts w:ascii="Palatino Linotype" w:eastAsia="Palatino Linotype" w:hAnsi="Palatino Linotype" w:cs="Palatino Linotype"/>
        </w:rPr>
        <w:t>.</w:t>
      </w: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rPr>
      </w:pPr>
    </w:p>
    <w:p w:rsidR="00887FF3" w:rsidRPr="001C21CA" w:rsidRDefault="00887FF3" w:rsidP="00887FF3">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t xml:space="preserve">Al respecto, la información </w:t>
      </w:r>
      <w:r w:rsidRPr="001C21CA">
        <w:rPr>
          <w:rFonts w:ascii="Palatino Linotype" w:eastAsia="Palatino Linotype" w:hAnsi="Palatino Linotype" w:cs="Palatino Linotype"/>
          <w:b/>
        </w:rPr>
        <w:t>de los elementos que realizan funciones operativas, entre ellos su nombre debe ser protegido</w:t>
      </w:r>
      <w:r w:rsidRPr="001C21CA">
        <w:rPr>
          <w:rFonts w:ascii="Palatino Linotype" w:eastAsia="Palatino Linotype" w:hAnsi="Palatino Linotype" w:cs="Palatino Linotype"/>
        </w:rPr>
        <w:t xml:space="preserve"> con la finalidad de evitar la identificación de las personas al amparo de la protección a la vida, salud y seguridad; porque los miembros de las instituciones policiales o que realizan actividades operativas en materia de seguridad pública, se encuentran en un régimen de excepción a diferencia de los servidores públicos con funciones administrativas, ello obedece a que el sólo ejercicio de las funciones que tienen encomendadas lleva implícito el riesgo a su integridad, toda vez que son responsables de procurar el orden, la estabilidad y la defensa de la sociedad a la que pertenecen, lo que se traduce en la prevención de delitos y combate a los delincuentes.</w:t>
      </w:r>
    </w:p>
    <w:p w:rsidR="00887FF3" w:rsidRPr="001C21CA" w:rsidRDefault="00887FF3" w:rsidP="00887FF3">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lastRenderedPageBreak/>
        <w:t xml:space="preserve">Robustece lo anterior el Criterio Reiterado 09/2024 emitido por este órgano Garante, el cual establece la clasificación del nombre del personal operativo de seguridad como información reservada; </w:t>
      </w:r>
    </w:p>
    <w:p w:rsidR="00887FF3" w:rsidRPr="001C21CA" w:rsidRDefault="00887FF3" w:rsidP="00887FF3">
      <w:pPr>
        <w:ind w:left="708"/>
        <w:jc w:val="both"/>
        <w:rPr>
          <w:rFonts w:ascii="Palatino Linotype" w:eastAsia="Palatino Linotype" w:hAnsi="Palatino Linotype" w:cs="Palatino Linotype"/>
          <w:i/>
          <w:sz w:val="22"/>
          <w:szCs w:val="22"/>
        </w:rPr>
      </w:pPr>
      <w:r w:rsidRPr="001C21CA">
        <w:rPr>
          <w:rFonts w:ascii="Palatino Linotype" w:eastAsia="Palatino Linotype" w:hAnsi="Palatino Linotype" w:cs="Palatino Linotype"/>
          <w:b/>
          <w:i/>
          <w:sz w:val="22"/>
          <w:szCs w:val="22"/>
        </w:rPr>
        <w:t xml:space="preserve">NOMBRE DE PERSONAL OPERATIVO DE  SEGURIDAD PÚBLICA. PROCEDE SU CLASIFICACIÓN COMO INFORMACIÓN RESERVADA. </w:t>
      </w:r>
      <w:r w:rsidRPr="001C21CA">
        <w:rPr>
          <w:rFonts w:ascii="Palatino Linotype" w:eastAsia="Palatino Linotype" w:hAnsi="Palatino Linotype" w:cs="Palatino Linotype"/>
          <w:i/>
          <w:sz w:val="22"/>
          <w:szCs w:val="22"/>
        </w:rPr>
        <w:t>El nombre del personal operativo de seguridad pública debe clasificarse como información reservada previa acreditación de la prueba de daño, ya que su publicidad podría entorpecer las tareas de seguridad pública y poner en riesgo la vida, la seguridad o la salud del servidor público, ya que los vuelve plenamente identificables ante grupos delictivos. Sin embargo, esta causal de reserva por regla general no puede aplicar al personal administrativo y de mando medio y superior, al no realizar funciones operativas de seguridad pública.</w:t>
      </w:r>
    </w:p>
    <w:p w:rsidR="00887FF3" w:rsidRPr="001C21CA" w:rsidRDefault="00887FF3" w:rsidP="00887FF3">
      <w:pPr>
        <w:spacing w:line="276" w:lineRule="auto"/>
        <w:jc w:val="both"/>
        <w:rPr>
          <w:rFonts w:ascii="Palatino Linotype" w:eastAsia="Palatino Linotype" w:hAnsi="Palatino Linotype" w:cs="Palatino Linotype"/>
          <w:i/>
          <w:sz w:val="23"/>
          <w:szCs w:val="23"/>
        </w:rPr>
      </w:pPr>
    </w:p>
    <w:p w:rsidR="00887FF3" w:rsidRPr="001C21CA" w:rsidRDefault="00887FF3" w:rsidP="00887FF3">
      <w:pPr>
        <w:spacing w:line="276" w:lineRule="auto"/>
        <w:ind w:left="1560" w:firstLine="708"/>
        <w:jc w:val="both"/>
        <w:rPr>
          <w:rFonts w:ascii="Palatino Linotype" w:eastAsia="Palatino Linotype" w:hAnsi="Palatino Linotype" w:cs="Palatino Linotype"/>
          <w:b/>
          <w:i/>
          <w:sz w:val="16"/>
          <w:szCs w:val="16"/>
        </w:rPr>
      </w:pPr>
      <w:r w:rsidRPr="001C21CA">
        <w:rPr>
          <w:rFonts w:ascii="Palatino Linotype" w:eastAsia="Palatino Linotype" w:hAnsi="Palatino Linotype" w:cs="Palatino Linotype"/>
          <w:b/>
          <w:i/>
          <w:sz w:val="16"/>
          <w:szCs w:val="16"/>
        </w:rPr>
        <w:t>Precedentes:</w:t>
      </w:r>
    </w:p>
    <w:p w:rsidR="00887FF3" w:rsidRPr="001C21CA" w:rsidRDefault="00887FF3" w:rsidP="00887FF3">
      <w:pPr>
        <w:numPr>
          <w:ilvl w:val="0"/>
          <w:numId w:val="1"/>
        </w:numPr>
        <w:pBdr>
          <w:top w:val="nil"/>
          <w:left w:val="nil"/>
          <w:bottom w:val="nil"/>
          <w:right w:val="nil"/>
          <w:between w:val="nil"/>
        </w:pBdr>
        <w:ind w:left="1560"/>
        <w:jc w:val="both"/>
        <w:rPr>
          <w:i/>
          <w:color w:val="000000"/>
          <w:sz w:val="16"/>
          <w:szCs w:val="16"/>
        </w:rPr>
      </w:pPr>
      <w:r w:rsidRPr="001C21CA">
        <w:rPr>
          <w:rFonts w:ascii="Palatino Linotype" w:eastAsia="Palatino Linotype" w:hAnsi="Palatino Linotype" w:cs="Palatino Linotype"/>
          <w:i/>
          <w:color w:val="000000"/>
          <w:sz w:val="16"/>
          <w:szCs w:val="16"/>
        </w:rPr>
        <w:t>En materia de acceso a la información pública. 03148/INFOEM/IP/RR/2023 y Acumulados. Aprobada por unanimidad de votos emitiendo voto particular los Comisionados Luis Gustavo Parra Noriega y Guadalupe Ramírez Peña. Ayuntamiento de Tlalmanalco. Comisionada ponente María del Rosario Mejía Ayala. Sesión 04-2024.</w:t>
      </w:r>
    </w:p>
    <w:p w:rsidR="00887FF3" w:rsidRPr="001C21CA" w:rsidRDefault="00887FF3" w:rsidP="00887FF3">
      <w:pPr>
        <w:numPr>
          <w:ilvl w:val="0"/>
          <w:numId w:val="1"/>
        </w:numPr>
        <w:pBdr>
          <w:top w:val="nil"/>
          <w:left w:val="nil"/>
          <w:bottom w:val="nil"/>
          <w:right w:val="nil"/>
          <w:between w:val="nil"/>
        </w:pBdr>
        <w:ind w:left="1560"/>
        <w:jc w:val="both"/>
        <w:rPr>
          <w:i/>
          <w:color w:val="000000"/>
          <w:sz w:val="16"/>
          <w:szCs w:val="16"/>
        </w:rPr>
      </w:pPr>
      <w:r w:rsidRPr="001C21CA">
        <w:rPr>
          <w:rFonts w:ascii="Palatino Linotype" w:eastAsia="Palatino Linotype" w:hAnsi="Palatino Linotype" w:cs="Palatino Linotype"/>
          <w:i/>
          <w:color w:val="000000"/>
          <w:sz w:val="16"/>
          <w:szCs w:val="16"/>
        </w:rPr>
        <w:t>En materia de acceso a la información pública. 06111/INFOEM/IP/RR/2023. Aprobada por unanimidad de votos emitiendo voto particular los Comisionados José Martínez Vilchis, María del Rosario Mejía Ayala, Sharon Cristina Morales Martínez, Luis Gustavo Parra Noriega y Guadalupe Ramírez Peña. Ayuntamiento de Nicolás Romero. Comisionada ponente Sharon Cristina Morales Martínez. Sesión 07-2024.</w:t>
      </w:r>
    </w:p>
    <w:p w:rsidR="00887FF3" w:rsidRPr="001C21CA" w:rsidRDefault="00887FF3" w:rsidP="00887FF3">
      <w:pPr>
        <w:numPr>
          <w:ilvl w:val="0"/>
          <w:numId w:val="1"/>
        </w:numPr>
        <w:pBdr>
          <w:top w:val="nil"/>
          <w:left w:val="nil"/>
          <w:bottom w:val="nil"/>
          <w:right w:val="nil"/>
          <w:between w:val="nil"/>
        </w:pBdr>
        <w:ind w:left="1560"/>
        <w:jc w:val="both"/>
        <w:rPr>
          <w:i/>
          <w:color w:val="000000"/>
        </w:rPr>
      </w:pPr>
      <w:r w:rsidRPr="001C21CA">
        <w:rPr>
          <w:rFonts w:ascii="Palatino Linotype" w:eastAsia="Palatino Linotype" w:hAnsi="Palatino Linotype" w:cs="Palatino Linotype"/>
          <w:i/>
          <w:color w:val="000000"/>
          <w:sz w:val="16"/>
          <w:szCs w:val="16"/>
        </w:rPr>
        <w:t>En materia de acceso a la información pública. 04497/INFOEM/IP/RR/2023. Aprobada por unanimidad de votos emitiendo voto particular los Comisionados Luis Gustavo Parra Noriega y Guadalupe Ramírez Peña. Ayuntamiento de Tezoyuca. Comisionada ponente Sharon Cristina Morales Martínez. Sesión 07-2024</w:t>
      </w:r>
      <w:r w:rsidRPr="001C21CA">
        <w:rPr>
          <w:rFonts w:ascii="Palatino Linotype" w:eastAsia="Palatino Linotype" w:hAnsi="Palatino Linotype" w:cs="Palatino Linotype"/>
          <w:i/>
          <w:color w:val="000000"/>
          <w:sz w:val="20"/>
          <w:szCs w:val="20"/>
        </w:rPr>
        <w:t>.</w:t>
      </w:r>
    </w:p>
    <w:p w:rsidR="00887FF3" w:rsidRPr="001C21CA" w:rsidRDefault="00887FF3" w:rsidP="00887FF3">
      <w:pPr>
        <w:spacing w:line="360" w:lineRule="auto"/>
        <w:jc w:val="both"/>
        <w:rPr>
          <w:rFonts w:ascii="Palatino Linotype" w:eastAsia="Palatino Linotype" w:hAnsi="Palatino Linotype" w:cs="Palatino Linotype"/>
          <w:i/>
        </w:rPr>
      </w:pPr>
    </w:p>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 así como para la elaboración de versiones públicas, al aplicar la prueba de daño correspondiente.</w:t>
      </w:r>
    </w:p>
    <w:p w:rsidR="00887FF3" w:rsidRPr="001C21CA" w:rsidRDefault="00887FF3" w:rsidP="00887FF3">
      <w:pPr>
        <w:pBdr>
          <w:top w:val="nil"/>
          <w:left w:val="nil"/>
          <w:bottom w:val="nil"/>
          <w:right w:val="nil"/>
          <w:between w:val="nil"/>
        </w:pBdr>
        <w:spacing w:line="360" w:lineRule="auto"/>
        <w:jc w:val="both"/>
      </w:pPr>
    </w:p>
    <w:p w:rsidR="00887FF3" w:rsidRPr="001C21CA" w:rsidRDefault="00887FF3" w:rsidP="00887FF3">
      <w:pPr>
        <w:pBdr>
          <w:top w:val="nil"/>
          <w:left w:val="nil"/>
          <w:bottom w:val="nil"/>
          <w:right w:val="nil"/>
          <w:between w:val="nil"/>
        </w:pBdr>
        <w:spacing w:line="360" w:lineRule="auto"/>
        <w:jc w:val="both"/>
      </w:pPr>
      <w:r w:rsidRPr="001C21CA">
        <w:rPr>
          <w:rFonts w:ascii="Palatino Linotype" w:eastAsia="Palatino Linotype" w:hAnsi="Palatino Linotype" w:cs="Palatino Linotype"/>
        </w:rPr>
        <w:lastRenderedPageBreak/>
        <w:t>Como se ha referido es procedente la clasificación de la información como reservada, con el fin de no poner en riesgo su vida, salud y seguridad, dado que los hace identificables, y para no comprometer el cumplimiento de los objetivos en materia de seguridad pública, o bien, la consecución de la investigación de probables hechos delictivos y/o faltas administrativas; así como evitar que células delictivas neutralizar las acciones en materia de seguridad pública para la preservación del orden y la paz pública, por lo que, no se trata de una medida desproporcional, ni excesiva.</w:t>
      </w:r>
    </w:p>
    <w:p w:rsidR="00887FF3" w:rsidRPr="001C21CA" w:rsidRDefault="00887FF3" w:rsidP="00887FF3">
      <w:pPr>
        <w:spacing w:line="360" w:lineRule="auto"/>
      </w:pPr>
    </w:p>
    <w:p w:rsidR="00887FF3" w:rsidRPr="001C21CA" w:rsidRDefault="00887FF3" w:rsidP="00887FF3">
      <w:pPr>
        <w:pBdr>
          <w:top w:val="nil"/>
          <w:left w:val="nil"/>
          <w:bottom w:val="nil"/>
          <w:right w:val="nil"/>
          <w:between w:val="nil"/>
        </w:pBdr>
        <w:spacing w:line="360" w:lineRule="auto"/>
        <w:jc w:val="both"/>
      </w:pPr>
      <w:r w:rsidRPr="001C21CA">
        <w:rPr>
          <w:rFonts w:ascii="Palatino Linotype" w:eastAsia="Palatino Linotype" w:hAnsi="Palatino Linotype" w:cs="Palatino Linotype"/>
        </w:rPr>
        <w:t>En ese entendido, la leyenda de clasificación que se genere, deberá establecer ambos supuestos de clasificación: reserva y confidencialidad, en congruencia con los requisitos establecidos en los lineamientos citados.</w:t>
      </w:r>
    </w:p>
    <w:p w:rsidR="00887FF3" w:rsidRPr="001C21CA" w:rsidRDefault="00887FF3" w:rsidP="00887FF3">
      <w:pPr>
        <w:spacing w:line="360" w:lineRule="auto"/>
      </w:pPr>
    </w:p>
    <w:p w:rsidR="00887FF3" w:rsidRPr="001C21CA" w:rsidRDefault="00887FF3" w:rsidP="00887FF3">
      <w:pPr>
        <w:pBdr>
          <w:top w:val="nil"/>
          <w:left w:val="nil"/>
          <w:bottom w:val="nil"/>
          <w:right w:val="nil"/>
          <w:between w:val="nil"/>
        </w:pBdr>
        <w:spacing w:line="360" w:lineRule="auto"/>
        <w:jc w:val="both"/>
      </w:pPr>
      <w:r w:rsidRPr="001C21CA">
        <w:rPr>
          <w:rFonts w:ascii="Palatino Linotype" w:eastAsia="Palatino Linotype" w:hAnsi="Palatino Linotype" w:cs="Palatino Linotype"/>
        </w:rPr>
        <w:t xml:space="preserve">En este marco, cabe señalar que, si bien es cierto este Instituto de Transparencia, Acceso a la Información Pública y Protección de Datos Personales del Estado de México y Municipios tiene la misión de garantizar el derecho de acceso a la información pública de los particulares; también lo es que debe cuidar la protección de datos personales y sobre todo cuando traen implícito que se ponga en riesgo la vida o integridad de una persona, resulta necesario traer por analogía, el criterio de interpretación histórico </w:t>
      </w:r>
      <w:r w:rsidRPr="001C21CA">
        <w:rPr>
          <w:rFonts w:ascii="Palatino Linotype" w:eastAsia="Palatino Linotype" w:hAnsi="Palatino Linotype" w:cs="Palatino Linotype"/>
          <w:b/>
        </w:rPr>
        <w:t>06/09</w:t>
      </w:r>
      <w:r w:rsidRPr="001C21CA">
        <w:rPr>
          <w:rFonts w:ascii="Palatino Linotype" w:eastAsia="Palatino Linotype" w:hAnsi="Palatino Linotype" w:cs="Palatino Linotype"/>
        </w:rPr>
        <w:t>, emitido por el entonces Instituto Federal de Acceso a la Información y Protección de Datos ahora Instituto Nacional de Transparencia, Acceso a la Información y Protección de Datos Personales, INAI, que establece lo siguiente:</w:t>
      </w:r>
    </w:p>
    <w:p w:rsidR="00887FF3" w:rsidRPr="001C21CA" w:rsidRDefault="00887FF3" w:rsidP="00887FF3">
      <w:pPr>
        <w:pBdr>
          <w:top w:val="nil"/>
          <w:left w:val="nil"/>
          <w:bottom w:val="nil"/>
          <w:right w:val="nil"/>
          <w:between w:val="nil"/>
        </w:pBdr>
        <w:ind w:left="864" w:right="864"/>
        <w:jc w:val="both"/>
        <w:rPr>
          <w:sz w:val="22"/>
          <w:szCs w:val="22"/>
        </w:rPr>
      </w:pPr>
      <w:r w:rsidRPr="001C21CA">
        <w:rPr>
          <w:rFonts w:ascii="Palatino Linotype" w:eastAsia="Palatino Linotype" w:hAnsi="Palatino Linotype" w:cs="Palatino Linotype"/>
          <w:b/>
          <w:i/>
          <w:sz w:val="22"/>
          <w:szCs w:val="22"/>
        </w:rPr>
        <w:t>Nombres de servidores públicos dedicados a actividades en materia de seguridad, por excepción pueden considerarse información reservada.</w:t>
      </w:r>
      <w:r w:rsidRPr="001C21CA">
        <w:rPr>
          <w:rFonts w:ascii="Palatino Linotype" w:eastAsia="Palatino Linotype" w:hAnsi="Palatino Linotype" w:cs="Palatino Linotype"/>
          <w:i/>
          <w:sz w:val="22"/>
          <w:szCs w:val="22"/>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w:t>
      </w:r>
      <w:r w:rsidRPr="001C21CA">
        <w:rPr>
          <w:rFonts w:ascii="Palatino Linotype" w:eastAsia="Palatino Linotype" w:hAnsi="Palatino Linotype" w:cs="Palatino Linotype"/>
          <w:i/>
          <w:sz w:val="22"/>
          <w:szCs w:val="22"/>
        </w:rPr>
        <w:lastRenderedPageBreak/>
        <w:t>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rsidR="00887FF3" w:rsidRPr="001C21CA" w:rsidRDefault="00887FF3" w:rsidP="00887FF3"/>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rPr>
      </w:pPr>
    </w:p>
    <w:p w:rsidR="00887FF3" w:rsidRPr="001C21CA" w:rsidRDefault="00887FF3" w:rsidP="00887FF3">
      <w:pPr>
        <w:pBdr>
          <w:top w:val="nil"/>
          <w:left w:val="nil"/>
          <w:bottom w:val="nil"/>
          <w:right w:val="nil"/>
          <w:between w:val="nil"/>
        </w:pBdr>
        <w:spacing w:line="360" w:lineRule="auto"/>
        <w:jc w:val="both"/>
      </w:pPr>
      <w:r w:rsidRPr="001C21CA">
        <w:rPr>
          <w:rFonts w:ascii="Palatino Linotype" w:eastAsia="Palatino Linotype" w:hAnsi="Palatino Linotype" w:cs="Palatino Linotype"/>
        </w:rPr>
        <w:t xml:space="preserve">De dicho criterio, se desprende que existen funciones a cargo de servidores públicos, tendentes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w:t>
      </w:r>
      <w:r w:rsidRPr="001C21CA">
        <w:rPr>
          <w:rFonts w:ascii="Palatino Linotype" w:eastAsia="Palatino Linotype" w:hAnsi="Palatino Linotype" w:cs="Palatino Linotype"/>
          <w:b/>
        </w:rPr>
        <w:t>funciones de carácter operativo.</w:t>
      </w:r>
    </w:p>
    <w:p w:rsidR="00887FF3" w:rsidRPr="001C21CA" w:rsidRDefault="00887FF3" w:rsidP="00887FF3">
      <w:pPr>
        <w:spacing w:line="360" w:lineRule="auto"/>
      </w:pPr>
    </w:p>
    <w:p w:rsidR="00887FF3" w:rsidRPr="001C21CA" w:rsidRDefault="00887FF3" w:rsidP="00887FF3">
      <w:pPr>
        <w:pBdr>
          <w:top w:val="nil"/>
          <w:left w:val="nil"/>
          <w:bottom w:val="nil"/>
          <w:right w:val="nil"/>
          <w:between w:val="nil"/>
        </w:pBdr>
        <w:spacing w:line="360" w:lineRule="auto"/>
        <w:jc w:val="both"/>
      </w:pPr>
      <w:r w:rsidRPr="001C21CA">
        <w:rPr>
          <w:rFonts w:ascii="Palatino Linotype" w:eastAsia="Palatino Linotype" w:hAnsi="Palatino Linotype" w:cs="Palatino Linotype"/>
        </w:rPr>
        <w:t>Sirven de sustento a lo anterior las tesis jurisprudenciales emitidas por la Suprema corte de Justicia de la Nación, que son del literal siguiente:</w:t>
      </w:r>
    </w:p>
    <w:p w:rsidR="00887FF3" w:rsidRPr="001C21CA" w:rsidRDefault="00887FF3" w:rsidP="00887FF3">
      <w:pPr>
        <w:pBdr>
          <w:top w:val="nil"/>
          <w:left w:val="nil"/>
          <w:bottom w:val="nil"/>
          <w:right w:val="nil"/>
          <w:between w:val="nil"/>
        </w:pBdr>
        <w:ind w:left="864" w:right="864"/>
        <w:jc w:val="both"/>
        <w:rPr>
          <w:rFonts w:ascii="Palatino Linotype" w:eastAsia="Palatino Linotype" w:hAnsi="Palatino Linotype" w:cs="Palatino Linotype"/>
          <w:b/>
          <w:i/>
          <w:sz w:val="22"/>
          <w:szCs w:val="22"/>
        </w:rPr>
      </w:pPr>
      <w:r w:rsidRPr="001C21CA">
        <w:rPr>
          <w:rFonts w:ascii="Palatino Linotype" w:eastAsia="Palatino Linotype" w:hAnsi="Palatino Linotype" w:cs="Palatino Linotype"/>
          <w:b/>
          <w:i/>
          <w:sz w:val="22"/>
          <w:szCs w:val="22"/>
        </w:rPr>
        <w:t xml:space="preserve">DERECHO A LA INFORMACIÓN. SU EJERCICIO SE ENCUENTRA LIMITADO TANTO POR LOS INTERESES NACIONALES Y DE LA SOCIEDAD, COMO POR LOS DERECHOS DE TERCEROS. </w:t>
      </w:r>
      <w:r w:rsidRPr="001C21CA">
        <w:rPr>
          <w:rFonts w:ascii="Palatino Linotype" w:eastAsia="Palatino Linotype" w:hAnsi="Palatino Linotype" w:cs="Palatino Linotype"/>
          <w:i/>
          <w:sz w:val="22"/>
          <w:szCs w:val="22"/>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w:t>
      </w:r>
      <w:r w:rsidRPr="001C21CA">
        <w:rPr>
          <w:rFonts w:ascii="Palatino Linotype" w:eastAsia="Palatino Linotype" w:hAnsi="Palatino Linotype" w:cs="Palatino Linotype"/>
          <w:i/>
          <w:sz w:val="22"/>
          <w:szCs w:val="22"/>
        </w:rPr>
        <w:lastRenderedPageBreak/>
        <w:t xml:space="preserve">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1C21CA">
        <w:rPr>
          <w:rFonts w:ascii="Palatino Linotype" w:eastAsia="Palatino Linotype" w:hAnsi="Palatino Linotype" w:cs="Palatino Linotype"/>
          <w:b/>
          <w:i/>
          <w:sz w:val="22"/>
          <w:szCs w:val="22"/>
        </w:rPr>
        <w:t>restringen el acceso a la información en esta materia, en razón de que su conocimiento público puede generar daños a los intereses nacionales y, por el otro, sancionan la inobservancia de esa reserva;</w:t>
      </w:r>
      <w:r w:rsidRPr="001C21CA">
        <w:rPr>
          <w:rFonts w:ascii="Palatino Linotype" w:eastAsia="Palatino Linotype" w:hAnsi="Palatino Linotype" w:cs="Palatino Linotype"/>
          <w:i/>
          <w:sz w:val="22"/>
          <w:szCs w:val="22"/>
        </w:rPr>
        <w:t xml:space="preserve"> por lo que hace al interés social, se cuenta con normas que tienden a proteger la averiguación de los delitos, la salud y la moral públicas, </w:t>
      </w:r>
      <w:r w:rsidRPr="001C21CA">
        <w:rPr>
          <w:rFonts w:ascii="Palatino Linotype" w:eastAsia="Palatino Linotype" w:hAnsi="Palatino Linotype" w:cs="Palatino Linotype"/>
          <w:b/>
          <w:i/>
          <w:sz w:val="22"/>
          <w:szCs w:val="22"/>
        </w:rPr>
        <w:t>mientras que por lo que respecta a la protección de la persona existen normas que protegen el derecho a la vida o a la privacidad de los gobernados.</w:t>
      </w:r>
    </w:p>
    <w:p w:rsidR="002E05B2" w:rsidRPr="001C21CA" w:rsidRDefault="002E05B2" w:rsidP="00887FF3">
      <w:pPr>
        <w:pBdr>
          <w:top w:val="nil"/>
          <w:left w:val="nil"/>
          <w:bottom w:val="nil"/>
          <w:right w:val="nil"/>
          <w:between w:val="nil"/>
        </w:pBdr>
        <w:ind w:left="864" w:right="864"/>
        <w:jc w:val="both"/>
        <w:rPr>
          <w:sz w:val="22"/>
          <w:szCs w:val="22"/>
        </w:rPr>
      </w:pPr>
    </w:p>
    <w:p w:rsidR="00887FF3" w:rsidRPr="001C21CA" w:rsidRDefault="00887FF3" w:rsidP="00887FF3">
      <w:pPr>
        <w:rPr>
          <w:sz w:val="22"/>
          <w:szCs w:val="22"/>
        </w:rPr>
      </w:pPr>
    </w:p>
    <w:p w:rsidR="00887FF3" w:rsidRPr="001C21CA" w:rsidRDefault="00887FF3" w:rsidP="00887FF3">
      <w:pPr>
        <w:pBdr>
          <w:top w:val="nil"/>
          <w:left w:val="nil"/>
          <w:bottom w:val="nil"/>
          <w:right w:val="nil"/>
          <w:between w:val="nil"/>
        </w:pBdr>
        <w:ind w:left="864" w:right="864"/>
        <w:jc w:val="both"/>
        <w:rPr>
          <w:sz w:val="22"/>
          <w:szCs w:val="22"/>
        </w:rPr>
      </w:pPr>
      <w:r w:rsidRPr="001C21CA">
        <w:rPr>
          <w:rFonts w:ascii="Palatino Linotype" w:eastAsia="Palatino Linotype" w:hAnsi="Palatino Linotype" w:cs="Palatino Linotype"/>
          <w:b/>
          <w:i/>
          <w:sz w:val="22"/>
          <w:szCs w:val="22"/>
        </w:rPr>
        <w:t>TRANSPARENCIA Y ACCESO A LA INFORMACIÓN PÚBLICA GUBERNAMENTAL. EL ARTÍCULO 14, FRACCIÓN I, DE LA LEY FEDERAL RELATIVA, NO VIOLA LA GARANTÍA DE ACCESO A LA INFORMACIÓN.</w:t>
      </w:r>
      <w:r w:rsidRPr="001C21CA">
        <w:rPr>
          <w:rFonts w:ascii="Palatino Linotype" w:eastAsia="Palatino Linotype" w:hAnsi="Palatino Linotype" w:cs="Palatino Linotype"/>
          <w:i/>
          <w:sz w:val="22"/>
          <w:szCs w:val="22"/>
        </w:rPr>
        <w:t xml:space="preserve"> 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1C21CA">
        <w:rPr>
          <w:rFonts w:ascii="Palatino Linotype" w:eastAsia="Palatino Linotype" w:hAnsi="Palatino Linotype" w:cs="Palatino Linotype"/>
          <w:b/>
          <w:i/>
          <w:sz w:val="22"/>
          <w:szCs w:val="22"/>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1C21CA">
        <w:rPr>
          <w:rFonts w:ascii="Palatino Linotype" w:eastAsia="Palatino Linotype" w:hAnsi="Palatino Linotype" w:cs="Palatino Linotype"/>
          <w:i/>
          <w:sz w:val="22"/>
          <w:szCs w:val="22"/>
        </w:rPr>
        <w:t xml:space="preserve">, la cual debe ser adecuada y necesaria para alcanzar el </w:t>
      </w:r>
      <w:r w:rsidRPr="001C21CA">
        <w:rPr>
          <w:rFonts w:ascii="Palatino Linotype" w:eastAsia="Palatino Linotype" w:hAnsi="Palatino Linotype" w:cs="Palatino Linotype"/>
          <w:i/>
          <w:sz w:val="22"/>
          <w:szCs w:val="22"/>
        </w:rPr>
        <w:lastRenderedPageBreak/>
        <w:t>fin perseguido, de manera que las ventajas obtenidas con la reserva compensen el sacrificio que ésta implique para los titulares de la garantía individual mencionada o para la sociedad en general.</w:t>
      </w:r>
    </w:p>
    <w:p w:rsidR="00887FF3" w:rsidRPr="001C21CA" w:rsidRDefault="00887FF3" w:rsidP="00887FF3"/>
    <w:p w:rsidR="00887FF3" w:rsidRPr="001C21CA" w:rsidRDefault="00887FF3" w:rsidP="00887FF3">
      <w:pPr>
        <w:pBdr>
          <w:top w:val="nil"/>
          <w:left w:val="nil"/>
          <w:bottom w:val="nil"/>
          <w:right w:val="nil"/>
          <w:between w:val="nil"/>
        </w:pBdr>
        <w:spacing w:line="360" w:lineRule="auto"/>
        <w:jc w:val="both"/>
        <w:rPr>
          <w:rFonts w:ascii="Palatino Linotype" w:eastAsia="Palatino Linotype" w:hAnsi="Palatino Linotype" w:cs="Palatino Linotype"/>
        </w:rPr>
      </w:pPr>
    </w:p>
    <w:p w:rsidR="00887FF3" w:rsidRPr="001C21CA" w:rsidRDefault="00887FF3" w:rsidP="00887FF3">
      <w:pPr>
        <w:pBdr>
          <w:top w:val="nil"/>
          <w:left w:val="nil"/>
          <w:bottom w:val="nil"/>
          <w:right w:val="nil"/>
          <w:between w:val="nil"/>
        </w:pBdr>
        <w:spacing w:line="360" w:lineRule="auto"/>
        <w:jc w:val="both"/>
      </w:pPr>
      <w:r w:rsidRPr="001C21CA">
        <w:rPr>
          <w:rFonts w:ascii="Palatino Linotype" w:eastAsia="Palatino Linotype" w:hAnsi="Palatino Linotype" w:cs="Palatino Linotype"/>
        </w:rPr>
        <w:t xml:space="preserve">El Acuerdo de Clasificación de Información, se emitirá en términos de lo dispuesto tanto como en los en los artículos 128 y 129 de la Ley de Transparencia y Acceso a la Información Pública del Estado de México y Municipios, como en los Lineamientos Generales en Materia de Clasificación y Desclasificación de la Información, así como para la elaboración de Versiones Públicas, publicados en el Diario Oficial de la Federación en fecha quince de abril de la presente anualidad, mediante ACUERDO del Consejo Nacional del Sistema Nacional de Transparencia, Acceso a la Información Pública y Protección de Datos Personales, motivando la referida clasificación al señalar las </w:t>
      </w:r>
      <w:r w:rsidRPr="001C21CA">
        <w:rPr>
          <w:rFonts w:ascii="Palatino Linotype" w:eastAsia="Palatino Linotype" w:hAnsi="Palatino Linotype" w:cs="Palatino Linotype"/>
          <w:b/>
          <w:u w:val="single"/>
        </w:rPr>
        <w:t>razones, motivos o circunstancias especiales</w:t>
      </w:r>
      <w:r w:rsidRPr="001C21CA">
        <w:rPr>
          <w:rFonts w:ascii="Palatino Linotype" w:eastAsia="Palatino Linotype" w:hAnsi="Palatino Linotype" w:cs="Palatino Linotype"/>
        </w:rPr>
        <w:t xml:space="preserve"> que lo llevaron a concluir que el caso concreto, se ajustó a los supuestos previstos en la normatividad legal invocada como fundamento, para dichos efectos, debe proceder a su vez a realizar una prueba de daño, en la que se justificaran las razones, motivos y circunstancias que avalen que la divulgación de la información representa un riesgo real, demostrable e identificable de perjuicio significativo al interés público o a la seguridad nacional; que el riesgo de perjuicio que supondría la divulgación supera el interés público general de que se difunda, y que la limitación sea adecuada al principio de proporcionalidad y representa el medio menos restrictivo disponible para evitar el perjuicio.</w:t>
      </w:r>
    </w:p>
    <w:p w:rsidR="00887FF3" w:rsidRPr="001C21CA" w:rsidRDefault="00887FF3" w:rsidP="00887FF3">
      <w:pPr>
        <w:spacing w:line="360" w:lineRule="auto"/>
        <w:jc w:val="both"/>
        <w:rPr>
          <w:rFonts w:ascii="Palatino Linotype" w:eastAsia="Palatino Linotype" w:hAnsi="Palatino Linotype" w:cs="Palatino Linotype"/>
        </w:rPr>
      </w:pPr>
    </w:p>
    <w:p w:rsidR="00887FF3" w:rsidRPr="001C21CA" w:rsidRDefault="00887FF3" w:rsidP="00887FF3">
      <w:pPr>
        <w:keepNext/>
        <w:keepLines/>
        <w:spacing w:line="360" w:lineRule="auto"/>
        <w:jc w:val="both"/>
        <w:outlineLvl w:val="2"/>
        <w:rPr>
          <w:rFonts w:ascii="Palatino Linotype" w:eastAsia="Palatino Linotype" w:hAnsi="Palatino Linotype" w:cstheme="majorBidi"/>
          <w:b/>
          <w:i/>
          <w:color w:val="000000" w:themeColor="text1"/>
          <w:u w:val="single"/>
          <w:lang w:val="es-ES_tradnl"/>
        </w:rPr>
      </w:pPr>
      <w:r w:rsidRPr="001C21CA">
        <w:rPr>
          <w:rFonts w:ascii="Palatino Linotype" w:eastAsia="Palatino Linotype" w:hAnsi="Palatino Linotype" w:cstheme="majorBidi"/>
          <w:b/>
          <w:i/>
          <w:color w:val="000000" w:themeColor="text1"/>
          <w:u w:val="single"/>
          <w:lang w:val="es-ES_tradnl"/>
        </w:rPr>
        <w:lastRenderedPageBreak/>
        <w:t>DE LA VERSIÓN PÚBLICA</w:t>
      </w:r>
    </w:p>
    <w:p w:rsidR="00887FF3" w:rsidRPr="001C21CA" w:rsidRDefault="00887FF3" w:rsidP="00887FF3">
      <w:pPr>
        <w:spacing w:line="360" w:lineRule="auto"/>
        <w:jc w:val="both"/>
        <w:rPr>
          <w:rFonts w:ascii="Palatino Linotype" w:eastAsia="Palatino Linotype" w:hAnsi="Palatino Linotype" w:cs="Palatino Linotype"/>
          <w:lang w:val="es-ES_tradnl"/>
        </w:rPr>
      </w:pPr>
      <w:r w:rsidRPr="001C21CA">
        <w:rPr>
          <w:rFonts w:ascii="Palatino Linotype" w:eastAsia="Palatino Linotype" w:hAnsi="Palatino Linotype" w:cs="Palatino Linotype"/>
          <w:lang w:val="es-ES_tradnl"/>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Artículo 3.</w:t>
      </w:r>
      <w:r w:rsidRPr="001C21CA">
        <w:rPr>
          <w:rFonts w:ascii="Palatino Linotype" w:eastAsia="Palatino Linotype" w:hAnsi="Palatino Linotype" w:cs="Palatino Linotype"/>
          <w:i/>
          <w:sz w:val="20"/>
          <w:szCs w:val="20"/>
          <w:lang w:val="es-ES_tradnl"/>
        </w:rPr>
        <w:t xml:space="preserve"> Para los efectos de la presente Ley se entenderá por:</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i/>
          <w:sz w:val="20"/>
          <w:szCs w:val="20"/>
          <w:lang w:val="es-ES_tradnl"/>
        </w:rPr>
        <w:t>[…]</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IX. Datos personales:</w:t>
      </w:r>
      <w:r w:rsidRPr="001C21CA">
        <w:rPr>
          <w:rFonts w:ascii="Palatino Linotype" w:eastAsia="Palatino Linotype" w:hAnsi="Palatino Linotype" w:cs="Palatino Linotype"/>
          <w:i/>
          <w:sz w:val="20"/>
          <w:szCs w:val="20"/>
          <w:lang w:val="es-ES_tradnl"/>
        </w:rPr>
        <w:t xml:space="preserve"> La información concerniente a una persona, identificada o identificable según lo dispuesto por la Ley de Protección de Datos Personales del Estado de México; </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XX.</w:t>
      </w:r>
      <w:r w:rsidRPr="001C21CA">
        <w:rPr>
          <w:rFonts w:ascii="Palatino Linotype" w:eastAsia="Palatino Linotype" w:hAnsi="Palatino Linotype" w:cs="Palatino Linotype"/>
          <w:i/>
          <w:sz w:val="20"/>
          <w:szCs w:val="20"/>
          <w:lang w:val="es-ES_tradnl"/>
        </w:rPr>
        <w:t xml:space="preserve"> </w:t>
      </w:r>
      <w:r w:rsidRPr="001C21CA">
        <w:rPr>
          <w:rFonts w:ascii="Palatino Linotype" w:eastAsia="Palatino Linotype" w:hAnsi="Palatino Linotype" w:cs="Palatino Linotype"/>
          <w:b/>
          <w:i/>
          <w:sz w:val="20"/>
          <w:szCs w:val="20"/>
          <w:lang w:val="es-ES_tradnl"/>
        </w:rPr>
        <w:t>Información clasificada:</w:t>
      </w:r>
      <w:r w:rsidRPr="001C21CA">
        <w:rPr>
          <w:rFonts w:ascii="Palatino Linotype" w:eastAsia="Palatino Linotype" w:hAnsi="Palatino Linotype" w:cs="Palatino Linotype"/>
          <w:i/>
          <w:sz w:val="20"/>
          <w:szCs w:val="20"/>
          <w:lang w:val="es-ES_tradnl"/>
        </w:rPr>
        <w:t xml:space="preserve"> Aquella considerada por la presente Ley como reservada o confidencial;</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XXI.</w:t>
      </w:r>
      <w:r w:rsidRPr="001C21CA">
        <w:rPr>
          <w:rFonts w:ascii="Palatino Linotype" w:eastAsia="Palatino Linotype" w:hAnsi="Palatino Linotype" w:cs="Palatino Linotype"/>
          <w:i/>
          <w:sz w:val="20"/>
          <w:szCs w:val="20"/>
          <w:lang w:val="es-ES_tradnl"/>
        </w:rPr>
        <w:t xml:space="preserve"> </w:t>
      </w:r>
      <w:r w:rsidRPr="001C21CA">
        <w:rPr>
          <w:rFonts w:ascii="Palatino Linotype" w:eastAsia="Palatino Linotype" w:hAnsi="Palatino Linotype" w:cs="Palatino Linotype"/>
          <w:b/>
          <w:i/>
          <w:sz w:val="20"/>
          <w:szCs w:val="20"/>
          <w:lang w:val="es-ES_tradnl"/>
        </w:rPr>
        <w:t>Información confidencial:</w:t>
      </w:r>
      <w:r w:rsidRPr="001C21CA">
        <w:rPr>
          <w:rFonts w:ascii="Palatino Linotype" w:eastAsia="Palatino Linotype" w:hAnsi="Palatino Linotype" w:cs="Palatino Linotype"/>
          <w:i/>
          <w:sz w:val="20"/>
          <w:szCs w:val="20"/>
          <w:lang w:val="es-ES_tradn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XLV.</w:t>
      </w:r>
      <w:r w:rsidRPr="001C21CA">
        <w:rPr>
          <w:rFonts w:ascii="Palatino Linotype" w:eastAsia="Palatino Linotype" w:hAnsi="Palatino Linotype" w:cs="Palatino Linotype"/>
          <w:i/>
          <w:sz w:val="20"/>
          <w:szCs w:val="20"/>
          <w:lang w:val="es-ES_tradnl"/>
        </w:rPr>
        <w:t xml:space="preserve"> </w:t>
      </w:r>
      <w:r w:rsidRPr="001C21CA">
        <w:rPr>
          <w:rFonts w:ascii="Palatino Linotype" w:eastAsia="Palatino Linotype" w:hAnsi="Palatino Linotype" w:cs="Palatino Linotype"/>
          <w:b/>
          <w:i/>
          <w:sz w:val="20"/>
          <w:szCs w:val="20"/>
          <w:lang w:val="es-ES_tradnl"/>
        </w:rPr>
        <w:t>Versión pública:</w:t>
      </w:r>
      <w:r w:rsidRPr="001C21CA">
        <w:rPr>
          <w:rFonts w:ascii="Palatino Linotype" w:eastAsia="Palatino Linotype" w:hAnsi="Palatino Linotype" w:cs="Palatino Linotype"/>
          <w:i/>
          <w:sz w:val="20"/>
          <w:szCs w:val="20"/>
          <w:lang w:val="es-ES_tradnl"/>
        </w:rPr>
        <w:t xml:space="preserve"> Documento en el que se elimine, suprime o borra la información clasificada como reservada o confidencial para permitir su acceso.</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i/>
          <w:sz w:val="20"/>
          <w:szCs w:val="20"/>
          <w:lang w:val="es-ES_tradnl"/>
        </w:rPr>
        <w:t>[…]</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 xml:space="preserve">Artículo 91. </w:t>
      </w:r>
      <w:r w:rsidRPr="001C21CA">
        <w:rPr>
          <w:rFonts w:ascii="Palatino Linotype" w:eastAsia="Palatino Linotype" w:hAnsi="Palatino Linotype" w:cs="Palatino Linotype"/>
          <w:i/>
          <w:sz w:val="20"/>
          <w:szCs w:val="20"/>
          <w:lang w:val="es-ES_tradnl"/>
        </w:rPr>
        <w:t>El acceso a la información pública será restringido excepcionalmente, cuando ésta sea clasificada como reservada o confidencial.</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Artículo 132.</w:t>
      </w:r>
      <w:r w:rsidRPr="001C21CA">
        <w:rPr>
          <w:rFonts w:ascii="Palatino Linotype" w:eastAsia="Palatino Linotype" w:hAnsi="Palatino Linotype" w:cs="Palatino Linotype"/>
          <w:i/>
          <w:sz w:val="20"/>
          <w:szCs w:val="20"/>
          <w:lang w:val="es-ES_tradnl"/>
        </w:rPr>
        <w:t xml:space="preserve"> </w:t>
      </w:r>
      <w:r w:rsidRPr="001C21CA">
        <w:rPr>
          <w:rFonts w:ascii="Palatino Linotype" w:eastAsia="Palatino Linotype" w:hAnsi="Palatino Linotype" w:cs="Palatino Linotype"/>
          <w:i/>
          <w:sz w:val="20"/>
          <w:szCs w:val="20"/>
          <w:u w:val="single"/>
          <w:lang w:val="es-ES_tradnl"/>
        </w:rPr>
        <w:t>La clasificación de la información se llevará a cabo en el momento en que</w:t>
      </w:r>
      <w:r w:rsidRPr="001C21CA">
        <w:rPr>
          <w:rFonts w:ascii="Palatino Linotype" w:eastAsia="Palatino Linotype" w:hAnsi="Palatino Linotype" w:cs="Palatino Linotype"/>
          <w:i/>
          <w:sz w:val="20"/>
          <w:szCs w:val="20"/>
          <w:lang w:val="es-ES_tradnl"/>
        </w:rPr>
        <w:t>:</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I.</w:t>
      </w:r>
      <w:r w:rsidRPr="001C21CA">
        <w:rPr>
          <w:rFonts w:ascii="Palatino Linotype" w:eastAsia="Palatino Linotype" w:hAnsi="Palatino Linotype" w:cs="Palatino Linotype"/>
          <w:i/>
          <w:sz w:val="20"/>
          <w:szCs w:val="20"/>
          <w:lang w:val="es-ES_tradnl"/>
        </w:rPr>
        <w:t xml:space="preserve"> Se reciba una solicitud de acceso a la información;</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II.</w:t>
      </w:r>
      <w:r w:rsidRPr="001C21CA">
        <w:rPr>
          <w:rFonts w:ascii="Palatino Linotype" w:eastAsia="Palatino Linotype" w:hAnsi="Palatino Linotype" w:cs="Palatino Linotype"/>
          <w:i/>
          <w:sz w:val="20"/>
          <w:szCs w:val="20"/>
          <w:lang w:val="es-ES_tradnl"/>
        </w:rPr>
        <w:t xml:space="preserve"> </w:t>
      </w:r>
      <w:r w:rsidRPr="001C21CA">
        <w:rPr>
          <w:rFonts w:ascii="Palatino Linotype" w:eastAsia="Palatino Linotype" w:hAnsi="Palatino Linotype" w:cs="Palatino Linotype"/>
          <w:i/>
          <w:sz w:val="20"/>
          <w:szCs w:val="20"/>
          <w:u w:val="single"/>
          <w:lang w:val="es-ES_tradnl"/>
        </w:rPr>
        <w:t>Se determine mediante resolución de autoridad competente; o</w:t>
      </w:r>
    </w:p>
    <w:p w:rsidR="00887FF3" w:rsidRPr="001C21CA" w:rsidRDefault="00887FF3" w:rsidP="00887FF3">
      <w:pPr>
        <w:ind w:left="567" w:right="567"/>
        <w:jc w:val="both"/>
        <w:rPr>
          <w:rFonts w:ascii="Palatino Linotype" w:eastAsia="Palatino Linotype" w:hAnsi="Palatino Linotype" w:cs="Palatino Linotype"/>
          <w:i/>
          <w:sz w:val="20"/>
          <w:szCs w:val="20"/>
          <w:u w:val="single"/>
          <w:lang w:val="es-ES_tradnl"/>
        </w:rPr>
      </w:pPr>
      <w:r w:rsidRPr="001C21CA">
        <w:rPr>
          <w:rFonts w:ascii="Palatino Linotype" w:eastAsia="Palatino Linotype" w:hAnsi="Palatino Linotype" w:cs="Palatino Linotype"/>
          <w:b/>
          <w:i/>
          <w:sz w:val="20"/>
          <w:szCs w:val="20"/>
          <w:lang w:val="es-ES_tradnl"/>
        </w:rPr>
        <w:t>III.</w:t>
      </w:r>
      <w:r w:rsidRPr="001C21CA">
        <w:rPr>
          <w:rFonts w:ascii="Palatino Linotype" w:eastAsia="Palatino Linotype" w:hAnsi="Palatino Linotype" w:cs="Palatino Linotype"/>
          <w:i/>
          <w:sz w:val="20"/>
          <w:szCs w:val="20"/>
          <w:lang w:val="es-ES_tradnl"/>
        </w:rPr>
        <w:t xml:space="preserve"> </w:t>
      </w:r>
      <w:r w:rsidRPr="001C21CA">
        <w:rPr>
          <w:rFonts w:ascii="Palatino Linotype" w:eastAsia="Palatino Linotype" w:hAnsi="Palatino Linotype" w:cs="Palatino Linotype"/>
          <w:i/>
          <w:sz w:val="20"/>
          <w:szCs w:val="20"/>
          <w:u w:val="single"/>
          <w:lang w:val="es-ES_tradnl"/>
        </w:rPr>
        <w:t>Se generen versiones públicas para dar cumplimiento a las obligaciones de transparencia previstas en esta Ley.</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i/>
          <w:sz w:val="20"/>
          <w:szCs w:val="20"/>
          <w:lang w:val="es-ES_tradnl"/>
        </w:rPr>
        <w:t>[…]</w:t>
      </w:r>
    </w:p>
    <w:p w:rsidR="00887FF3" w:rsidRPr="001C21CA" w:rsidRDefault="00887FF3" w:rsidP="00887FF3">
      <w:pPr>
        <w:spacing w:line="360" w:lineRule="auto"/>
        <w:jc w:val="both"/>
        <w:rPr>
          <w:rFonts w:ascii="Palatino Linotype" w:eastAsia="Palatino Linotype" w:hAnsi="Palatino Linotype" w:cs="Palatino Linotype"/>
          <w:i/>
          <w:lang w:val="es-ES_tradnl"/>
        </w:rPr>
      </w:pPr>
    </w:p>
    <w:p w:rsidR="00887FF3" w:rsidRPr="001C21CA" w:rsidRDefault="00887FF3" w:rsidP="00887FF3">
      <w:pPr>
        <w:spacing w:line="360" w:lineRule="auto"/>
        <w:jc w:val="both"/>
        <w:rPr>
          <w:rFonts w:ascii="Palatino Linotype" w:eastAsia="Palatino Linotype" w:hAnsi="Palatino Linotype" w:cs="Palatino Linotype"/>
          <w:lang w:val="es-ES_tradnl"/>
        </w:rPr>
      </w:pPr>
      <w:r w:rsidRPr="001C21CA">
        <w:rPr>
          <w:rFonts w:ascii="Palatino Linotype" w:eastAsia="Palatino Linotype" w:hAnsi="Palatino Linotype" w:cs="Palatino Linotype"/>
          <w:lang w:val="es-ES_tradn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887FF3" w:rsidRPr="001C21CA" w:rsidRDefault="00887FF3" w:rsidP="00887FF3">
      <w:pPr>
        <w:pStyle w:val="Sinespaciado"/>
        <w:rPr>
          <w:rFonts w:eastAsia="Palatino Linotype"/>
          <w:lang w:eastAsia="es-MX"/>
        </w:rPr>
      </w:pPr>
    </w:p>
    <w:p w:rsidR="00887FF3" w:rsidRPr="001C21CA" w:rsidRDefault="00887FF3" w:rsidP="00887FF3">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lastRenderedPageBreak/>
        <w:t>Asimismo, resulta aplicable el contenido del criterio orientador 01/19 emitido por el entonces Instituto Nacional de Transparencia, Acceso a la Información, y Protección de Datos Personales, INAI, que lleva por rubro y texto los siguientes;</w:t>
      </w:r>
    </w:p>
    <w:p w:rsidR="00887FF3" w:rsidRPr="001C21CA" w:rsidRDefault="00887FF3" w:rsidP="00887FF3">
      <w:pPr>
        <w:ind w:left="567" w:right="616"/>
        <w:jc w:val="both"/>
        <w:rPr>
          <w:rFonts w:ascii="Palatino Linotype" w:eastAsia="Palatino Linotype" w:hAnsi="Palatino Linotype" w:cs="Palatino Linotype"/>
          <w:i/>
        </w:rPr>
      </w:pPr>
      <w:r w:rsidRPr="001C21CA">
        <w:rPr>
          <w:rFonts w:ascii="Palatino Linotype" w:eastAsia="Palatino Linotype" w:hAnsi="Palatino Linotype" w:cs="Palatino Linotype"/>
          <w:b/>
          <w:i/>
        </w:rPr>
        <w:t>“Datos de identificación del representante o apoderado legal.</w:t>
      </w:r>
      <w:r w:rsidRPr="001C21CA">
        <w:rPr>
          <w:rFonts w:ascii="Palatino Linotype" w:eastAsia="Palatino Linotype" w:hAnsi="Palatino Linotype" w:cs="Palatino Linotype"/>
          <w:i/>
        </w:rPr>
        <w:t xml:space="preserve"> </w:t>
      </w:r>
      <w:r w:rsidRPr="001C21CA">
        <w:rPr>
          <w:rFonts w:ascii="Palatino Linotype" w:eastAsia="Palatino Linotype" w:hAnsi="Palatino Linotype" w:cs="Palatino Linotype"/>
          <w:b/>
          <w:i/>
        </w:rPr>
        <w:t xml:space="preserve">Naturaleza jurídica. </w:t>
      </w:r>
      <w:r w:rsidRPr="001C21CA">
        <w:rPr>
          <w:rFonts w:ascii="Palatino Linotype" w:eastAsia="Palatino Linotype" w:hAnsi="Palatino Linotype" w:cs="Palatino Linotype"/>
          <w:i/>
        </w:rPr>
        <w:t xml:space="preserve">El nombre, la firma y la rúbrica de una persona física, que actúe como representante o apoderado legal de un tercero que haya celebrado un acto jurídico, con algún sujeto obligado, </w:t>
      </w:r>
      <w:r w:rsidRPr="001C21CA">
        <w:rPr>
          <w:rFonts w:ascii="Palatino Linotype" w:eastAsia="Palatino Linotype" w:hAnsi="Palatino Linotype" w:cs="Palatino Linotype"/>
          <w:b/>
          <w:i/>
        </w:rPr>
        <w:t>es información pública, en razón de que tales datos fueron proporcionados con el objeto de expresar el consentimiento obligacional del tercero y otorgar validez a dicho instrumento jurídico</w:t>
      </w:r>
      <w:r w:rsidRPr="001C21CA">
        <w:rPr>
          <w:rFonts w:ascii="Palatino Linotype" w:eastAsia="Palatino Linotype" w:hAnsi="Palatino Linotype" w:cs="Palatino Linotype"/>
          <w:i/>
        </w:rPr>
        <w:t>.”</w:t>
      </w:r>
    </w:p>
    <w:p w:rsidR="00887FF3" w:rsidRPr="001C21CA" w:rsidRDefault="00887FF3" w:rsidP="00887FF3">
      <w:pPr>
        <w:spacing w:line="360" w:lineRule="auto"/>
        <w:jc w:val="both"/>
        <w:rPr>
          <w:rFonts w:ascii="Palatino Linotype" w:eastAsia="Palatino Linotype" w:hAnsi="Palatino Linotype" w:cs="Palatino Linotype"/>
          <w:lang w:val="es-ES_tradnl"/>
        </w:rPr>
      </w:pPr>
    </w:p>
    <w:p w:rsidR="00887FF3" w:rsidRPr="001C21CA" w:rsidRDefault="00887FF3" w:rsidP="00887FF3">
      <w:pPr>
        <w:spacing w:line="360" w:lineRule="auto"/>
        <w:jc w:val="both"/>
        <w:rPr>
          <w:rFonts w:ascii="Palatino Linotype" w:eastAsia="Palatino Linotype" w:hAnsi="Palatino Linotype" w:cs="Palatino Linotype"/>
          <w:lang w:val="es-ES_tradnl"/>
        </w:rPr>
      </w:pPr>
      <w:r w:rsidRPr="001C21CA">
        <w:rPr>
          <w:rFonts w:ascii="Palatino Linotype" w:eastAsia="Palatino Linotype" w:hAnsi="Palatino Linotype" w:cs="Palatino Linotype"/>
          <w:lang w:val="es-ES_tradnl"/>
        </w:rPr>
        <w:t xml:space="preserve">Por otro lado, los </w:t>
      </w:r>
      <w:r w:rsidRPr="001C21CA">
        <w:rPr>
          <w:rFonts w:ascii="Palatino Linotype" w:eastAsia="Palatino Linotype" w:hAnsi="Palatino Linotype" w:cs="Palatino Linotype"/>
          <w:iCs/>
          <w:lang w:val="es-ES_tradnl"/>
        </w:rPr>
        <w:t>Lineamientos Generales en Materia de Clasificación y Desclasificación de la Información, así como para la elaboración de Versiones Públicas</w:t>
      </w:r>
      <w:r w:rsidRPr="001C21CA">
        <w:rPr>
          <w:rFonts w:ascii="Palatino Linotype" w:eastAsia="Palatino Linotype" w:hAnsi="Palatino Linotype" w:cs="Palatino Linotype"/>
          <w:lang w:val="es-ES_tradn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887FF3" w:rsidRPr="001C21CA" w:rsidRDefault="00887FF3" w:rsidP="00887FF3">
      <w:pPr>
        <w:spacing w:line="360" w:lineRule="auto"/>
        <w:jc w:val="both"/>
        <w:rPr>
          <w:rFonts w:ascii="Palatino Linotype" w:eastAsia="Palatino Linotype" w:hAnsi="Palatino Linotype" w:cs="Palatino Linotype"/>
          <w:lang w:val="es-ES_tradnl"/>
        </w:rPr>
      </w:pPr>
    </w:p>
    <w:p w:rsidR="00887FF3" w:rsidRPr="001C21CA" w:rsidRDefault="00887FF3" w:rsidP="00887FF3">
      <w:pPr>
        <w:spacing w:line="360" w:lineRule="auto"/>
        <w:jc w:val="both"/>
        <w:rPr>
          <w:rFonts w:ascii="Palatino Linotype" w:eastAsia="Palatino Linotype" w:hAnsi="Palatino Linotype" w:cs="Palatino Linotype"/>
          <w:lang w:val="es-ES_tradnl"/>
        </w:rPr>
      </w:pPr>
      <w:r w:rsidRPr="001C21CA">
        <w:rPr>
          <w:rFonts w:ascii="Palatino Linotype" w:eastAsia="Palatino Linotype" w:hAnsi="Palatino Linotype" w:cs="Palatino Linotype"/>
          <w:lang w:val="es-ES_tradnl"/>
        </w:rPr>
        <w:t xml:space="preserve">Por otro lado, los </w:t>
      </w:r>
      <w:r w:rsidRPr="001C21CA">
        <w:rPr>
          <w:rFonts w:ascii="Palatino Linotype" w:eastAsia="Palatino Linotype" w:hAnsi="Palatino Linotype" w:cs="Palatino Linotype"/>
          <w:iCs/>
          <w:lang w:val="es-ES_tradnl"/>
        </w:rPr>
        <w:t>Lineamientos Generales en Materia de Clasificación y Desclasificación de la Información, así como para la elaboración de Versiones Públicas</w:t>
      </w:r>
      <w:r w:rsidRPr="001C21CA">
        <w:rPr>
          <w:rFonts w:ascii="Palatino Linotype" w:eastAsia="Palatino Linotype" w:hAnsi="Palatino Linotype" w:cs="Palatino Linotype"/>
          <w:lang w:val="es-ES_tradnl"/>
        </w:rPr>
        <w:t xml:space="preserve">,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w:t>
      </w:r>
      <w:r w:rsidRPr="001C21CA">
        <w:rPr>
          <w:rFonts w:ascii="Palatino Linotype" w:eastAsia="Palatino Linotype" w:hAnsi="Palatino Linotype" w:cs="Palatino Linotype"/>
          <w:lang w:val="es-ES_tradnl"/>
        </w:rPr>
        <w:lastRenderedPageBreak/>
        <w:t>información que posean, desclasificarán y generarán, en su caso, versiones públicas de expedientes o documentos que contengan partes o secciones clasificadas.</w:t>
      </w:r>
    </w:p>
    <w:p w:rsidR="00887FF3" w:rsidRPr="001C21CA" w:rsidRDefault="00887FF3" w:rsidP="00887FF3">
      <w:pPr>
        <w:spacing w:line="360" w:lineRule="auto"/>
        <w:jc w:val="both"/>
        <w:rPr>
          <w:rFonts w:ascii="Palatino Linotype" w:eastAsia="Palatino Linotype" w:hAnsi="Palatino Linotype" w:cs="Palatino Linotype"/>
          <w:lang w:val="es-ES_tradnl"/>
        </w:rPr>
      </w:pPr>
    </w:p>
    <w:p w:rsidR="00887FF3" w:rsidRPr="001C21CA" w:rsidRDefault="00887FF3" w:rsidP="00887FF3">
      <w:pPr>
        <w:spacing w:line="360" w:lineRule="auto"/>
        <w:jc w:val="both"/>
        <w:rPr>
          <w:rFonts w:ascii="Palatino Linotype" w:eastAsia="Palatino Linotype" w:hAnsi="Palatino Linotype" w:cs="Palatino Linotype"/>
          <w:lang w:val="es-ES_tradnl"/>
        </w:rPr>
      </w:pPr>
      <w:r w:rsidRPr="001C21CA">
        <w:rPr>
          <w:rFonts w:ascii="Palatino Linotype" w:eastAsia="Palatino Linotype" w:hAnsi="Palatino Linotype" w:cs="Palatino Linotype"/>
          <w:lang w:val="es-ES_tradnl"/>
        </w:rPr>
        <w:t>Entorno a lo que aquí nos interesa, los Lineamientos Quincuagésimo sexto, Quincuagésimo séptimo y Quincuagésimo octavo, establecen lo siguiente:</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Quincuagésimo sexto.</w:t>
      </w:r>
      <w:r w:rsidRPr="001C21CA">
        <w:rPr>
          <w:rFonts w:ascii="Palatino Linotype" w:eastAsia="Palatino Linotype" w:hAnsi="Palatino Linotype" w:cs="Palatino Linotype"/>
          <w:i/>
          <w:sz w:val="20"/>
          <w:szCs w:val="20"/>
          <w:lang w:val="es-ES_tradnl"/>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Quincuagésimo séptimo.</w:t>
      </w:r>
      <w:r w:rsidRPr="001C21CA">
        <w:rPr>
          <w:rFonts w:ascii="Palatino Linotype" w:eastAsia="Palatino Linotype" w:hAnsi="Palatino Linotype" w:cs="Palatino Linotype"/>
          <w:i/>
          <w:sz w:val="20"/>
          <w:szCs w:val="20"/>
          <w:lang w:val="es-ES_tradnl"/>
        </w:rPr>
        <w:t xml:space="preserve"> Se considera, en principio, como información pública y no podrá omitirse de las versiones públicas la siguiente:</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i/>
          <w:sz w:val="20"/>
          <w:szCs w:val="20"/>
          <w:lang w:val="es-ES_tradnl"/>
        </w:rPr>
        <w:t xml:space="preserve"> </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i/>
          <w:sz w:val="20"/>
          <w:szCs w:val="20"/>
          <w:lang w:val="es-ES_tradnl"/>
        </w:rPr>
        <w:t xml:space="preserve">I. La relativa a las Obligaciones de Transparencia que contempla el Título V de la Ley General y las demás disposiciones legales aplicables; </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i/>
          <w:sz w:val="20"/>
          <w:szCs w:val="20"/>
          <w:lang w:val="es-ES_tradnl"/>
        </w:rPr>
        <w:t xml:space="preserve">II. El nombre de los integrantes de los sujetos obligados en los documentos, y sus firmas autógrafas o digitales, cuando sean utilizados en el ejercicio de las facultades conferidas para el desempeño del servicio público, y </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i/>
          <w:sz w:val="20"/>
          <w:szCs w:val="20"/>
          <w:lang w:val="es-ES_tradnl"/>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i/>
          <w:sz w:val="20"/>
          <w:szCs w:val="20"/>
          <w:lang w:val="es-ES_tradnl"/>
        </w:rPr>
        <w:t xml:space="preserve">Lo anterior, siempre y cuando no se acredite alguna causal de clasificación, prevista en las leyes o en los tratados internacionales suscritos por el Estado mexicano. </w:t>
      </w: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p>
    <w:p w:rsidR="00887FF3" w:rsidRPr="001C21CA" w:rsidRDefault="00887FF3" w:rsidP="00887FF3">
      <w:pPr>
        <w:ind w:left="567" w:right="567"/>
        <w:jc w:val="both"/>
        <w:rPr>
          <w:rFonts w:ascii="Palatino Linotype" w:eastAsia="Palatino Linotype" w:hAnsi="Palatino Linotype" w:cs="Palatino Linotype"/>
          <w:i/>
          <w:sz w:val="20"/>
          <w:szCs w:val="20"/>
          <w:lang w:val="es-ES_tradnl"/>
        </w:rPr>
      </w:pPr>
      <w:r w:rsidRPr="001C21CA">
        <w:rPr>
          <w:rFonts w:ascii="Palatino Linotype" w:eastAsia="Palatino Linotype" w:hAnsi="Palatino Linotype" w:cs="Palatino Linotype"/>
          <w:b/>
          <w:i/>
          <w:sz w:val="20"/>
          <w:szCs w:val="20"/>
          <w:lang w:val="es-ES_tradnl"/>
        </w:rPr>
        <w:t>Quincuagésimo octavo.</w:t>
      </w:r>
      <w:r w:rsidRPr="001C21CA">
        <w:rPr>
          <w:rFonts w:ascii="Palatino Linotype" w:eastAsia="Palatino Linotype" w:hAnsi="Palatino Linotype" w:cs="Palatino Linotype"/>
          <w:i/>
          <w:sz w:val="20"/>
          <w:szCs w:val="20"/>
          <w:lang w:val="es-ES_tradnl"/>
        </w:rPr>
        <w:t xml:space="preserve"> Los sujetos obligados garantizarán que los sistemas o medios empleados para eliminar la información en las versiones públicas sean irreversibles, de tal forma que no permitan la recuperación o la visualización de la misma.</w:t>
      </w:r>
    </w:p>
    <w:p w:rsidR="00887FF3" w:rsidRPr="001C21CA" w:rsidRDefault="00887FF3" w:rsidP="00887FF3">
      <w:pPr>
        <w:spacing w:line="360" w:lineRule="auto"/>
        <w:jc w:val="both"/>
        <w:rPr>
          <w:rFonts w:ascii="Palatino Linotype" w:eastAsia="Palatino Linotype" w:hAnsi="Palatino Linotype" w:cs="Palatino Linotype"/>
          <w:i/>
          <w:lang w:val="es-ES_tradnl"/>
        </w:rPr>
      </w:pPr>
    </w:p>
    <w:p w:rsidR="00887FF3" w:rsidRPr="001C21CA" w:rsidRDefault="00887FF3" w:rsidP="00887FF3">
      <w:pPr>
        <w:spacing w:line="360" w:lineRule="auto"/>
        <w:jc w:val="both"/>
        <w:rPr>
          <w:rFonts w:ascii="Palatino Linotype" w:eastAsia="Palatino Linotype" w:hAnsi="Palatino Linotype" w:cs="Palatino Linotype"/>
          <w:lang w:val="es-ES_tradnl"/>
        </w:rPr>
      </w:pPr>
      <w:r w:rsidRPr="001C21CA">
        <w:rPr>
          <w:rFonts w:ascii="Palatino Linotype" w:eastAsia="Palatino Linotype" w:hAnsi="Palatino Linotype" w:cs="Palatino Linotype"/>
          <w:lang w:val="es-ES_tradnl"/>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w:t>
      </w:r>
      <w:r w:rsidRPr="001C21CA">
        <w:rPr>
          <w:rFonts w:ascii="Palatino Linotype" w:eastAsia="Palatino Linotype" w:hAnsi="Palatino Linotype" w:cs="Palatino Linotype"/>
          <w:lang w:val="es-ES_tradnl"/>
        </w:rPr>
        <w:lastRenderedPageBreak/>
        <w:t>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rsidR="00887FF3" w:rsidRPr="001C21CA" w:rsidRDefault="00887FF3" w:rsidP="00887FF3">
      <w:pPr>
        <w:spacing w:line="360" w:lineRule="auto"/>
        <w:jc w:val="both"/>
        <w:rPr>
          <w:rFonts w:ascii="Palatino Linotype" w:hAnsi="Palatino Linotype" w:cs="Arial"/>
        </w:rPr>
      </w:pPr>
    </w:p>
    <w:p w:rsidR="00887FF3" w:rsidRPr="001C21CA" w:rsidRDefault="00887FF3" w:rsidP="00887FF3">
      <w:pPr>
        <w:spacing w:line="360" w:lineRule="auto"/>
        <w:jc w:val="both"/>
        <w:rPr>
          <w:rFonts w:ascii="Palatino Linotype" w:hAnsi="Palatino Linotype" w:cs="Arial"/>
        </w:rPr>
      </w:pPr>
      <w:r w:rsidRPr="001C21CA">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rsidR="00887FF3" w:rsidRPr="001C21CA" w:rsidRDefault="00887FF3" w:rsidP="00887FF3">
      <w:pPr>
        <w:spacing w:line="360" w:lineRule="auto"/>
        <w:jc w:val="both"/>
        <w:rPr>
          <w:rFonts w:ascii="Palatino Linotype" w:hAnsi="Palatino Linotype" w:cs="Arial"/>
        </w:rPr>
      </w:pPr>
    </w:p>
    <w:p w:rsidR="00887FF3" w:rsidRPr="001C21CA" w:rsidRDefault="00887FF3" w:rsidP="00887FF3">
      <w:pPr>
        <w:spacing w:line="360" w:lineRule="auto"/>
        <w:jc w:val="both"/>
        <w:rPr>
          <w:rFonts w:ascii="Palatino Linotype" w:hAnsi="Palatino Linotype" w:cs="Arial"/>
        </w:rPr>
      </w:pPr>
      <w:r w:rsidRPr="001C21CA">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rsidR="00887FF3" w:rsidRPr="001C21CA" w:rsidRDefault="00887FF3" w:rsidP="00887FF3">
      <w:pPr>
        <w:spacing w:line="360" w:lineRule="auto"/>
        <w:ind w:left="567" w:right="567"/>
        <w:jc w:val="both"/>
        <w:rPr>
          <w:rFonts w:ascii="Palatino Linotype" w:hAnsi="Palatino Linotype" w:cs="Arial"/>
          <w:i/>
          <w:sz w:val="22"/>
          <w:szCs w:val="22"/>
        </w:rPr>
      </w:pPr>
      <w:r w:rsidRPr="001C21CA">
        <w:rPr>
          <w:rFonts w:ascii="Palatino Linotype" w:hAnsi="Palatino Linotype" w:cs="Arial"/>
          <w:b/>
          <w:i/>
          <w:sz w:val="22"/>
          <w:szCs w:val="22"/>
        </w:rPr>
        <w:lastRenderedPageBreak/>
        <w:t>FUNDAMENTACIÓN Y MOTIVACIÓN</w:t>
      </w:r>
      <w:r w:rsidRPr="001C21CA">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rsidR="00887FF3" w:rsidRPr="001C21CA" w:rsidRDefault="00887FF3" w:rsidP="00887FF3">
      <w:pPr>
        <w:spacing w:line="360" w:lineRule="auto"/>
        <w:jc w:val="both"/>
        <w:rPr>
          <w:rFonts w:ascii="Palatino Linotype" w:hAnsi="Palatino Linotype" w:cs="Arial"/>
        </w:rPr>
      </w:pPr>
    </w:p>
    <w:p w:rsidR="00887FF3" w:rsidRPr="001C21CA" w:rsidRDefault="00887FF3" w:rsidP="00887FF3">
      <w:pPr>
        <w:spacing w:line="360" w:lineRule="auto"/>
        <w:jc w:val="both"/>
        <w:rPr>
          <w:rFonts w:ascii="Palatino Linotype" w:hAnsi="Palatino Linotype" w:cs="Arial"/>
        </w:rPr>
      </w:pPr>
      <w:r w:rsidRPr="001C21CA">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rsidR="00887FF3" w:rsidRPr="001C21CA" w:rsidRDefault="00887FF3" w:rsidP="00887FF3">
      <w:pPr>
        <w:spacing w:line="360" w:lineRule="auto"/>
        <w:ind w:left="567" w:right="567"/>
        <w:jc w:val="both"/>
        <w:rPr>
          <w:rFonts w:ascii="Palatino Linotype" w:hAnsi="Palatino Linotype" w:cs="Arial"/>
          <w:i/>
          <w:sz w:val="22"/>
          <w:szCs w:val="22"/>
        </w:rPr>
      </w:pPr>
      <w:r w:rsidRPr="001C21CA">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1C21CA">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w:t>
      </w:r>
      <w:r w:rsidRPr="001C21CA">
        <w:rPr>
          <w:rFonts w:ascii="Palatino Linotype" w:hAnsi="Palatino Linotype" w:cs="Arial"/>
          <w:i/>
          <w:sz w:val="22"/>
          <w:szCs w:val="22"/>
        </w:rPr>
        <w:lastRenderedPageBreak/>
        <w:t>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887FF3" w:rsidRPr="001C21CA" w:rsidRDefault="00887FF3" w:rsidP="00887FF3">
      <w:pPr>
        <w:spacing w:line="360" w:lineRule="auto"/>
        <w:jc w:val="both"/>
        <w:rPr>
          <w:rFonts w:ascii="Palatino Linotype" w:hAnsi="Palatino Linotype" w:cs="Arial"/>
        </w:rPr>
      </w:pPr>
    </w:p>
    <w:p w:rsidR="00887FF3" w:rsidRPr="001C21CA" w:rsidRDefault="00887FF3" w:rsidP="00887FF3">
      <w:pPr>
        <w:spacing w:line="360" w:lineRule="auto"/>
        <w:jc w:val="both"/>
        <w:rPr>
          <w:rFonts w:ascii="Palatino Linotype" w:hAnsi="Palatino Linotype" w:cs="Arial"/>
        </w:rPr>
      </w:pPr>
      <w:r w:rsidRPr="001C21CA">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rsidR="00887FF3" w:rsidRPr="001C21CA" w:rsidRDefault="00887FF3" w:rsidP="00887FF3">
      <w:pPr>
        <w:spacing w:line="360" w:lineRule="auto"/>
        <w:jc w:val="both"/>
        <w:rPr>
          <w:rFonts w:ascii="Palatino Linotype" w:hAnsi="Palatino Linotype" w:cs="Arial"/>
        </w:rPr>
      </w:pPr>
    </w:p>
    <w:p w:rsidR="00887FF3" w:rsidRPr="001C21CA" w:rsidRDefault="00887FF3" w:rsidP="00887FF3">
      <w:pPr>
        <w:spacing w:line="360" w:lineRule="auto"/>
        <w:jc w:val="both"/>
        <w:rPr>
          <w:rFonts w:ascii="Palatino Linotype" w:hAnsi="Palatino Linotype" w:cs="Arial"/>
        </w:rPr>
      </w:pPr>
      <w:r w:rsidRPr="001C21CA">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rsidR="00887FF3" w:rsidRPr="001C21CA" w:rsidRDefault="00887FF3" w:rsidP="00887FF3">
      <w:pPr>
        <w:tabs>
          <w:tab w:val="left" w:pos="709"/>
        </w:tabs>
        <w:spacing w:before="240" w:line="360" w:lineRule="auto"/>
        <w:ind w:right="51"/>
        <w:jc w:val="both"/>
        <w:rPr>
          <w:rFonts w:ascii="Palatino Linotype" w:eastAsia="Palatino Linotype" w:hAnsi="Palatino Linotype" w:cs="Palatino Linotype"/>
        </w:rPr>
      </w:pPr>
      <w:r w:rsidRPr="001C21CA">
        <w:rPr>
          <w:rFonts w:ascii="Palatino Linotype" w:eastAsia="Palatino Linotype" w:hAnsi="Palatino Linotype" w:cs="Palatino Linotype"/>
        </w:rPr>
        <w:lastRenderedPageBreak/>
        <w:t xml:space="preserve">En mérito de lo expuesto en líneas anteriores, resultan parcialmente fundados los motivos de inconformidad vertidos por </w:t>
      </w:r>
      <w:r w:rsidRPr="001C21CA">
        <w:rPr>
          <w:rFonts w:ascii="Palatino Linotype" w:eastAsia="Palatino Linotype" w:hAnsi="Palatino Linotype" w:cs="Palatino Linotype"/>
          <w:b/>
        </w:rPr>
        <w:t xml:space="preserve">el Recurrente, </w:t>
      </w:r>
      <w:r w:rsidRPr="001C21CA">
        <w:rPr>
          <w:rFonts w:ascii="Palatino Linotype" w:eastAsia="Palatino Linotype" w:hAnsi="Palatino Linotype" w:cs="Palatino Linotype"/>
        </w:rPr>
        <w:t xml:space="preserve">por ello con fundamento en el artículo 186 fracción III de la Ley de Transparencia y Acceso a la Información Pública del Estado de México y Municipios, se </w:t>
      </w:r>
      <w:r w:rsidRPr="001C21CA">
        <w:rPr>
          <w:rFonts w:ascii="Palatino Linotype" w:eastAsia="Palatino Linotype" w:hAnsi="Palatino Linotype" w:cs="Palatino Linotype"/>
          <w:b/>
        </w:rPr>
        <w:t xml:space="preserve">REVOCA </w:t>
      </w:r>
      <w:r w:rsidRPr="001C21CA">
        <w:rPr>
          <w:rFonts w:ascii="Palatino Linotype" w:eastAsia="Palatino Linotype" w:hAnsi="Palatino Linotype" w:cs="Palatino Linotype"/>
        </w:rPr>
        <w:t>l</w:t>
      </w:r>
      <w:r w:rsidRPr="001C21CA">
        <w:t>a</w:t>
      </w:r>
      <w:r w:rsidRPr="001C21CA">
        <w:rPr>
          <w:rFonts w:ascii="Palatino Linotype" w:eastAsia="Palatino Linotype" w:hAnsi="Palatino Linotype" w:cs="Palatino Linotype"/>
        </w:rPr>
        <w:t xml:space="preserve"> respuesta a la solicitud de información </w:t>
      </w:r>
      <w:r w:rsidR="00DE42FD" w:rsidRPr="001C21CA">
        <w:rPr>
          <w:rFonts w:ascii="Palatino Linotype" w:hAnsi="Palatino Linotype"/>
          <w:b/>
          <w:bCs/>
        </w:rPr>
        <w:t>00621/JUCHITE/IP/2026</w:t>
      </w:r>
      <w:r w:rsidRPr="001C21CA">
        <w:rPr>
          <w:rFonts w:ascii="Palatino Linotype" w:eastAsia="Palatino Linotype" w:hAnsi="Palatino Linotype" w:cs="Palatino Linotype"/>
          <w:b/>
        </w:rPr>
        <w:t xml:space="preserve">, </w:t>
      </w:r>
      <w:r w:rsidRPr="001C21CA">
        <w:rPr>
          <w:rFonts w:ascii="Palatino Linotype" w:eastAsia="Palatino Linotype" w:hAnsi="Palatino Linotype" w:cs="Palatino Linotype"/>
        </w:rPr>
        <w:t xml:space="preserve">que ha sido materia del presente fallo. </w:t>
      </w:r>
    </w:p>
    <w:p w:rsidR="00887FF3" w:rsidRPr="001C21CA" w:rsidRDefault="00887FF3" w:rsidP="00887FF3">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r w:rsidRPr="001C21CA">
        <w:rPr>
          <w:rFonts w:ascii="Palatino Linotype" w:eastAsia="Palatino Linotype" w:hAnsi="Palatino Linotype" w:cs="Palatino Linotype"/>
          <w:color w:val="000000"/>
        </w:rPr>
        <w:t xml:space="preserve">Por lo antes expuesto y fundado es de resolverse y, </w:t>
      </w:r>
    </w:p>
    <w:p w:rsidR="00E440EE" w:rsidRPr="001C21CA" w:rsidRDefault="00E440EE" w:rsidP="00887FF3">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p>
    <w:p w:rsidR="00887FF3" w:rsidRPr="001C21CA" w:rsidRDefault="00887FF3" w:rsidP="00887FF3">
      <w:pPr>
        <w:spacing w:before="240" w:line="360" w:lineRule="auto"/>
        <w:jc w:val="center"/>
        <w:rPr>
          <w:rFonts w:ascii="Palatino Linotype" w:eastAsia="Palatino Linotype" w:hAnsi="Palatino Linotype" w:cs="Palatino Linotype"/>
          <w:b/>
          <w:sz w:val="28"/>
          <w:szCs w:val="28"/>
        </w:rPr>
      </w:pPr>
      <w:r w:rsidRPr="001C21CA">
        <w:rPr>
          <w:rFonts w:ascii="Palatino Linotype" w:eastAsia="Palatino Linotype" w:hAnsi="Palatino Linotype" w:cs="Palatino Linotype"/>
          <w:b/>
          <w:sz w:val="28"/>
          <w:szCs w:val="28"/>
        </w:rPr>
        <w:t>SE    RESUELVE</w:t>
      </w:r>
    </w:p>
    <w:p w:rsidR="00887FF3" w:rsidRPr="001C21CA" w:rsidRDefault="00887FF3" w:rsidP="00887FF3">
      <w:pPr>
        <w:spacing w:before="240" w:line="360" w:lineRule="auto"/>
        <w:jc w:val="center"/>
        <w:rPr>
          <w:rFonts w:ascii="Palatino Linotype" w:eastAsia="Palatino Linotype" w:hAnsi="Palatino Linotype" w:cs="Palatino Linotype"/>
          <w:b/>
          <w:sz w:val="28"/>
          <w:szCs w:val="28"/>
        </w:rPr>
      </w:pPr>
    </w:p>
    <w:p w:rsidR="00887FF3" w:rsidRPr="001C21CA" w:rsidRDefault="00887FF3" w:rsidP="00887FF3">
      <w:pPr>
        <w:spacing w:before="240"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b/>
        </w:rPr>
        <w:t>PRIMERO.</w:t>
      </w:r>
      <w:r w:rsidRPr="001C21CA">
        <w:rPr>
          <w:rFonts w:ascii="Palatino Linotype" w:eastAsia="Palatino Linotype" w:hAnsi="Palatino Linotype" w:cs="Palatino Linotype"/>
        </w:rPr>
        <w:t xml:space="preserve"> Se </w:t>
      </w:r>
      <w:r w:rsidRPr="001C21CA">
        <w:rPr>
          <w:rFonts w:ascii="Palatino Linotype" w:eastAsia="Palatino Linotype" w:hAnsi="Palatino Linotype" w:cs="Palatino Linotype"/>
          <w:b/>
        </w:rPr>
        <w:t>REVOCA</w:t>
      </w:r>
      <w:r w:rsidRPr="001C21CA">
        <w:rPr>
          <w:b/>
        </w:rPr>
        <w:t xml:space="preserve"> </w:t>
      </w:r>
      <w:r w:rsidRPr="001C21CA">
        <w:rPr>
          <w:rFonts w:ascii="Palatino Linotype" w:eastAsia="Palatino Linotype" w:hAnsi="Palatino Linotype" w:cs="Palatino Linotype"/>
        </w:rPr>
        <w:t xml:space="preserve">la respuesta entregada por </w:t>
      </w:r>
      <w:r w:rsidRPr="001C21CA">
        <w:rPr>
          <w:rFonts w:ascii="Palatino Linotype" w:eastAsia="Palatino Linotype" w:hAnsi="Palatino Linotype" w:cs="Palatino Linotype"/>
          <w:b/>
        </w:rPr>
        <w:t xml:space="preserve">EL SUJETO OBLIGADO, </w:t>
      </w:r>
      <w:r w:rsidRPr="001C21CA">
        <w:rPr>
          <w:rFonts w:ascii="Palatino Linotype" w:eastAsia="Palatino Linotype" w:hAnsi="Palatino Linotype" w:cs="Palatino Linotype"/>
        </w:rPr>
        <w:t>a la solicitud de información</w:t>
      </w:r>
      <w:r w:rsidRPr="001C21CA">
        <w:t xml:space="preserve"> con</w:t>
      </w:r>
      <w:r w:rsidRPr="001C21CA">
        <w:rPr>
          <w:rFonts w:ascii="Palatino Linotype" w:eastAsia="Palatino Linotype" w:hAnsi="Palatino Linotype" w:cs="Palatino Linotype"/>
        </w:rPr>
        <w:t xml:space="preserve"> número </w:t>
      </w:r>
      <w:r w:rsidR="00DE42FD" w:rsidRPr="001C21CA">
        <w:rPr>
          <w:rFonts w:ascii="Palatino Linotype" w:hAnsi="Palatino Linotype"/>
          <w:b/>
          <w:bCs/>
        </w:rPr>
        <w:t>00621/JUCHITE/IP/2026</w:t>
      </w:r>
      <w:r w:rsidR="00DE42FD" w:rsidRPr="001C21CA">
        <w:rPr>
          <w:rFonts w:ascii="Verdana" w:hAnsi="Verdana"/>
          <w:b/>
          <w:bCs/>
        </w:rPr>
        <w:t xml:space="preserve"> </w:t>
      </w:r>
      <w:r w:rsidRPr="001C21CA">
        <w:rPr>
          <w:rFonts w:ascii="Palatino Linotype" w:eastAsia="Palatino Linotype" w:hAnsi="Palatino Linotype" w:cs="Palatino Linotype"/>
          <w:b/>
        </w:rPr>
        <w:t xml:space="preserve">por </w:t>
      </w:r>
      <w:r w:rsidRPr="001C21CA">
        <w:rPr>
          <w:rFonts w:ascii="Palatino Linotype" w:eastAsia="Palatino Linotype" w:hAnsi="Palatino Linotype" w:cs="Palatino Linotype"/>
        </w:rPr>
        <w:t xml:space="preserve">resultar parcialmente fundados los motivos de inconformidad que arguye </w:t>
      </w:r>
      <w:r w:rsidRPr="001C21CA">
        <w:rPr>
          <w:rFonts w:ascii="Palatino Linotype" w:eastAsia="Palatino Linotype" w:hAnsi="Palatino Linotype" w:cs="Palatino Linotype"/>
          <w:b/>
        </w:rPr>
        <w:t xml:space="preserve">EL RECURRENTE, </w:t>
      </w:r>
      <w:r w:rsidRPr="001C21CA">
        <w:rPr>
          <w:rFonts w:ascii="Palatino Linotype" w:eastAsia="Palatino Linotype" w:hAnsi="Palatino Linotype" w:cs="Palatino Linotype"/>
        </w:rPr>
        <w:t xml:space="preserve">en términos del </w:t>
      </w:r>
      <w:r w:rsidRPr="001C21CA">
        <w:rPr>
          <w:rFonts w:ascii="Palatino Linotype" w:eastAsia="Palatino Linotype" w:hAnsi="Palatino Linotype" w:cs="Palatino Linotype"/>
          <w:b/>
        </w:rPr>
        <w:t xml:space="preserve">Considerando QUINTO </w:t>
      </w:r>
      <w:r w:rsidRPr="001C21CA">
        <w:rPr>
          <w:rFonts w:ascii="Palatino Linotype" w:eastAsia="Palatino Linotype" w:hAnsi="Palatino Linotype" w:cs="Palatino Linotype"/>
        </w:rPr>
        <w:t xml:space="preserve">de la presente resolución. </w:t>
      </w:r>
    </w:p>
    <w:p w:rsidR="00887FF3" w:rsidRPr="001C21CA" w:rsidRDefault="00887FF3" w:rsidP="00887FF3">
      <w:pPr>
        <w:spacing w:before="240" w:line="360" w:lineRule="auto"/>
        <w:jc w:val="both"/>
        <w:rPr>
          <w:rFonts w:ascii="Palatino Linotype" w:eastAsia="Palatino Linotype" w:hAnsi="Palatino Linotype" w:cs="Palatino Linotype"/>
        </w:rPr>
      </w:pPr>
    </w:p>
    <w:p w:rsidR="00DE42FD" w:rsidRPr="001C21CA" w:rsidRDefault="00887FF3" w:rsidP="00887FF3">
      <w:pPr>
        <w:spacing w:before="240" w:line="360" w:lineRule="auto"/>
        <w:ind w:right="49"/>
        <w:jc w:val="both"/>
        <w:rPr>
          <w:rFonts w:ascii="Palatino Linotype" w:eastAsia="Palatino Linotype" w:hAnsi="Palatino Linotype" w:cs="Palatino Linotype"/>
        </w:rPr>
      </w:pPr>
      <w:r w:rsidRPr="001C21CA">
        <w:rPr>
          <w:rFonts w:ascii="Palatino Linotype" w:eastAsia="Palatino Linotype" w:hAnsi="Palatino Linotype" w:cs="Palatino Linotype"/>
          <w:b/>
        </w:rPr>
        <w:t>SEGUNDO.</w:t>
      </w:r>
      <w:r w:rsidRPr="001C21CA">
        <w:rPr>
          <w:rFonts w:ascii="Palatino Linotype" w:eastAsia="Palatino Linotype" w:hAnsi="Palatino Linotype" w:cs="Palatino Linotype"/>
        </w:rPr>
        <w:t xml:space="preserve"> Se </w:t>
      </w:r>
      <w:r w:rsidRPr="001C21CA">
        <w:rPr>
          <w:rFonts w:ascii="Palatino Linotype" w:eastAsia="Palatino Linotype" w:hAnsi="Palatino Linotype" w:cs="Palatino Linotype"/>
          <w:b/>
        </w:rPr>
        <w:t>ORDENA</w:t>
      </w:r>
      <w:r w:rsidRPr="001C21CA">
        <w:rPr>
          <w:rFonts w:ascii="Palatino Linotype" w:eastAsia="Palatino Linotype" w:hAnsi="Palatino Linotype" w:cs="Palatino Linotype"/>
        </w:rPr>
        <w:t xml:space="preserve"> al </w:t>
      </w:r>
      <w:r w:rsidRPr="001C21CA">
        <w:rPr>
          <w:rFonts w:ascii="Palatino Linotype" w:eastAsia="Palatino Linotype" w:hAnsi="Palatino Linotype" w:cs="Palatino Linotype"/>
          <w:b/>
        </w:rPr>
        <w:t>SUJETO OBLIGADO</w:t>
      </w:r>
      <w:r w:rsidRPr="001C21CA">
        <w:rPr>
          <w:rFonts w:ascii="Palatino Linotype" w:eastAsia="Palatino Linotype" w:hAnsi="Palatino Linotype" w:cs="Palatino Linotype"/>
        </w:rPr>
        <w:t xml:space="preserve"> haga entrega al</w:t>
      </w:r>
      <w:r w:rsidRPr="001C21CA">
        <w:rPr>
          <w:rFonts w:ascii="Palatino Linotype" w:eastAsia="Palatino Linotype" w:hAnsi="Palatino Linotype" w:cs="Palatino Linotype"/>
          <w:b/>
        </w:rPr>
        <w:t xml:space="preserve"> RECURRENTE </w:t>
      </w:r>
      <w:r w:rsidRPr="001C21CA">
        <w:rPr>
          <w:rFonts w:ascii="Palatino Linotype" w:eastAsia="Palatino Linotype" w:hAnsi="Palatino Linotype" w:cs="Palatino Linotype"/>
        </w:rPr>
        <w:t xml:space="preserve">en términos del Considerando </w:t>
      </w:r>
      <w:r w:rsidRPr="001C21CA">
        <w:rPr>
          <w:rFonts w:ascii="Palatino Linotype" w:eastAsia="Palatino Linotype" w:hAnsi="Palatino Linotype" w:cs="Palatino Linotype"/>
          <w:b/>
        </w:rPr>
        <w:t xml:space="preserve">QUINTO </w:t>
      </w:r>
      <w:r w:rsidRPr="001C21CA">
        <w:rPr>
          <w:rFonts w:ascii="Palatino Linotype" w:eastAsia="Palatino Linotype" w:hAnsi="Palatino Linotype" w:cs="Palatino Linotype"/>
        </w:rPr>
        <w:t>previa búsqueda exhaustiva y razonable haga entrega al Recurrente a través de esta resolución</w:t>
      </w:r>
      <w:r w:rsidRPr="001C21CA">
        <w:rPr>
          <w:rFonts w:ascii="Palatino Linotype" w:eastAsia="Palatino Linotype" w:hAnsi="Palatino Linotype" w:cs="Palatino Linotype"/>
          <w:b/>
        </w:rPr>
        <w:t xml:space="preserve"> </w:t>
      </w:r>
      <w:r w:rsidRPr="001C21CA">
        <w:rPr>
          <w:rFonts w:ascii="Palatino Linotype" w:eastAsia="Palatino Linotype" w:hAnsi="Palatino Linotype" w:cs="Palatino Linotype"/>
        </w:rPr>
        <w:t xml:space="preserve">mediante del Sistema de Acceso a la Información Mexiquense </w:t>
      </w:r>
      <w:r w:rsidRPr="001C21CA">
        <w:rPr>
          <w:rFonts w:ascii="Palatino Linotype" w:eastAsia="Palatino Linotype" w:hAnsi="Palatino Linotype" w:cs="Palatino Linotype"/>
          <w:b/>
        </w:rPr>
        <w:t>(SAIMEX)</w:t>
      </w:r>
      <w:r w:rsidRPr="001C21CA">
        <w:rPr>
          <w:rFonts w:ascii="Palatino Linotype" w:eastAsia="Palatino Linotype" w:hAnsi="Palatino Linotype" w:cs="Palatino Linotype"/>
        </w:rPr>
        <w:t xml:space="preserve"> en versión pública de lo siguiente:</w:t>
      </w:r>
    </w:p>
    <w:p w:rsidR="00887FF3" w:rsidRPr="001C21CA" w:rsidRDefault="00DE42FD" w:rsidP="000914D2">
      <w:pPr>
        <w:pStyle w:val="Prrafodelista"/>
        <w:numPr>
          <w:ilvl w:val="6"/>
          <w:numId w:val="3"/>
        </w:numPr>
        <w:spacing w:line="360" w:lineRule="auto"/>
        <w:ind w:left="1418" w:hanging="284"/>
        <w:jc w:val="both"/>
        <w:rPr>
          <w:rFonts w:ascii="Palatino Linotype" w:eastAsia="Palatino Linotype" w:hAnsi="Palatino Linotype" w:cs="Palatino Linotype"/>
        </w:rPr>
      </w:pPr>
      <w:r w:rsidRPr="001C21CA">
        <w:rPr>
          <w:rFonts w:ascii="Palatino Linotype" w:hAnsi="Palatino Linotype"/>
          <w:color w:val="000000"/>
        </w:rPr>
        <w:t>R</w:t>
      </w:r>
      <w:r w:rsidR="00887FF3" w:rsidRPr="001C21CA">
        <w:rPr>
          <w:rFonts w:ascii="Palatino Linotype" w:hAnsi="Palatino Linotype"/>
          <w:color w:val="000000"/>
        </w:rPr>
        <w:t>ecibos de nómina</w:t>
      </w:r>
      <w:r w:rsidRPr="001C21CA">
        <w:rPr>
          <w:rFonts w:ascii="Palatino Linotype" w:hAnsi="Palatino Linotype"/>
          <w:color w:val="000000"/>
        </w:rPr>
        <w:t xml:space="preserve"> </w:t>
      </w:r>
      <w:r w:rsidRPr="001C21CA">
        <w:rPr>
          <w:rFonts w:ascii="Palatino Linotype" w:eastAsia="Palatino Linotype" w:hAnsi="Palatino Linotype" w:cs="Palatino Linotype"/>
        </w:rPr>
        <w:t>del personal adscrito al Sujeto Obligado del mes de abril de dos mil veintiséis</w:t>
      </w:r>
    </w:p>
    <w:p w:rsidR="00887FF3" w:rsidRPr="001C21CA" w:rsidRDefault="00887FF3" w:rsidP="00887FF3">
      <w:pPr>
        <w:pStyle w:val="Prrafodelista"/>
        <w:autoSpaceDE w:val="0"/>
        <w:autoSpaceDN w:val="0"/>
        <w:adjustRightInd w:val="0"/>
        <w:spacing w:line="360" w:lineRule="auto"/>
        <w:jc w:val="both"/>
        <w:rPr>
          <w:rFonts w:ascii="Palatino Linotype" w:hAnsi="Palatino Linotype"/>
          <w:i/>
        </w:rPr>
      </w:pPr>
      <w:r w:rsidRPr="001C21CA">
        <w:rPr>
          <w:rFonts w:ascii="Palatino Linotype" w:hAnsi="Palatino Linotype"/>
          <w:i/>
        </w:rPr>
        <w:lastRenderedPageBreak/>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Recurrente.</w:t>
      </w:r>
    </w:p>
    <w:p w:rsidR="00887FF3" w:rsidRPr="001C21CA" w:rsidRDefault="00887FF3" w:rsidP="00887FF3">
      <w:pPr>
        <w:pStyle w:val="Prrafodelista"/>
        <w:autoSpaceDE w:val="0"/>
        <w:autoSpaceDN w:val="0"/>
        <w:adjustRightInd w:val="0"/>
        <w:spacing w:line="360" w:lineRule="auto"/>
        <w:jc w:val="both"/>
        <w:rPr>
          <w:rFonts w:ascii="Palatino Linotype" w:hAnsi="Palatino Linotype"/>
          <w:i/>
        </w:rPr>
      </w:pPr>
    </w:p>
    <w:p w:rsidR="00887FF3" w:rsidRPr="001C21CA" w:rsidRDefault="00887FF3" w:rsidP="00887FF3">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b/>
          <w:sz w:val="28"/>
          <w:szCs w:val="28"/>
        </w:rPr>
        <w:t>TERCERO</w:t>
      </w:r>
      <w:r w:rsidRPr="001C21CA">
        <w:rPr>
          <w:rFonts w:ascii="Palatino Linotype" w:eastAsia="Palatino Linotype" w:hAnsi="Palatino Linotype" w:cs="Palatino Linotype"/>
          <w:b/>
        </w:rPr>
        <w:t>.</w:t>
      </w:r>
      <w:r w:rsidRPr="001C21CA">
        <w:rPr>
          <w:rFonts w:ascii="Palatino Linotype" w:eastAsia="Palatino Linotype" w:hAnsi="Palatino Linotype" w:cs="Palatino Linotype"/>
        </w:rPr>
        <w:t xml:space="preserve"> </w:t>
      </w:r>
      <w:r w:rsidRPr="001C21CA">
        <w:rPr>
          <w:rFonts w:ascii="Palatino Linotype" w:eastAsia="Palatino Linotype" w:hAnsi="Palatino Linotype" w:cs="Palatino Linotype"/>
          <w:b/>
        </w:rPr>
        <w:t>NOTIFÍQUESE</w:t>
      </w:r>
      <w:r w:rsidRPr="001C21CA">
        <w:rPr>
          <w:rFonts w:ascii="Palatino Linotype" w:eastAsia="Palatino Linotype" w:hAnsi="Palatino Linotype" w:cs="Palatino Linotype"/>
          <w:i/>
        </w:rPr>
        <w:t xml:space="preserve"> </w:t>
      </w:r>
      <w:r w:rsidRPr="001C21CA">
        <w:rPr>
          <w:rFonts w:ascii="Palatino Linotype" w:eastAsia="Palatino Linotype" w:hAnsi="Palatino Linotype" w:cs="Palatino Linotype"/>
        </w:rPr>
        <w:t xml:space="preserve">la presente resolución al Titular de la Unidad de Transparencia del Sujeto Obligado, </w:t>
      </w:r>
      <w:r w:rsidRPr="001C21CA">
        <w:rPr>
          <w:rFonts w:ascii="Palatino Linotype" w:eastAsia="Palatino Linotype" w:hAnsi="Palatino Linotype" w:cs="Palatino Linotype"/>
          <w:b/>
        </w:rPr>
        <w:t xml:space="preserve">vía </w:t>
      </w:r>
      <w:r w:rsidRPr="001C21CA">
        <w:rPr>
          <w:rFonts w:ascii="Palatino Linotype" w:eastAsia="Palatino Linotype" w:hAnsi="Palatino Linotype" w:cs="Palatino Linotype"/>
        </w:rPr>
        <w:t xml:space="preserve">Sistema de Acceso a la Información Mexiquense </w:t>
      </w:r>
      <w:r w:rsidRPr="001C21CA">
        <w:rPr>
          <w:rFonts w:ascii="Palatino Linotype" w:eastAsia="Palatino Linotype" w:hAnsi="Palatino Linotype" w:cs="Palatino Linotype"/>
          <w:b/>
        </w:rPr>
        <w:t>SAIMEX</w:t>
      </w:r>
      <w:r w:rsidRPr="001C21CA">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87FF3" w:rsidRPr="001C21CA" w:rsidRDefault="00887FF3" w:rsidP="00887FF3">
      <w:pPr>
        <w:spacing w:line="360" w:lineRule="auto"/>
        <w:jc w:val="both"/>
        <w:rPr>
          <w:rFonts w:ascii="Palatino Linotype" w:eastAsia="Palatino Linotype" w:hAnsi="Palatino Linotype" w:cs="Palatino Linotype"/>
        </w:rPr>
      </w:pPr>
    </w:p>
    <w:p w:rsidR="00887FF3" w:rsidRPr="001C21CA" w:rsidRDefault="00887FF3" w:rsidP="00887FF3">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b/>
          <w:sz w:val="26"/>
          <w:szCs w:val="26"/>
        </w:rPr>
        <w:t>CUARTO.</w:t>
      </w:r>
      <w:r w:rsidRPr="001C21CA">
        <w:rPr>
          <w:rFonts w:ascii="Palatino Linotype" w:eastAsia="Palatino Linotype" w:hAnsi="Palatino Linotype" w:cs="Palatino Linotype"/>
          <w:b/>
        </w:rPr>
        <w:t xml:space="preserve"> </w:t>
      </w:r>
      <w:r w:rsidRPr="001C21CA">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bookmarkStart w:id="5" w:name="_gjdgxs" w:colFirst="0" w:colLast="0"/>
      <w:bookmarkEnd w:id="5"/>
    </w:p>
    <w:p w:rsidR="00DE42FD" w:rsidRPr="001C21CA" w:rsidRDefault="00DE42FD" w:rsidP="00887FF3">
      <w:pPr>
        <w:spacing w:line="360" w:lineRule="auto"/>
        <w:jc w:val="both"/>
        <w:rPr>
          <w:rFonts w:ascii="Palatino Linotype" w:eastAsia="Palatino Linotype" w:hAnsi="Palatino Linotype" w:cs="Palatino Linotype"/>
        </w:rPr>
      </w:pPr>
    </w:p>
    <w:p w:rsidR="00887FF3" w:rsidRPr="001C21CA" w:rsidRDefault="00887FF3" w:rsidP="00887FF3">
      <w:pPr>
        <w:spacing w:line="360" w:lineRule="auto"/>
        <w:jc w:val="both"/>
        <w:rPr>
          <w:rFonts w:ascii="Palatino Linotype" w:eastAsia="Palatino Linotype" w:hAnsi="Palatino Linotype" w:cs="Palatino Linotype"/>
          <w:color w:val="222222"/>
        </w:rPr>
      </w:pPr>
      <w:r w:rsidRPr="001C21CA">
        <w:rPr>
          <w:rFonts w:ascii="Palatino Linotype" w:eastAsia="Palatino Linotype" w:hAnsi="Palatino Linotype" w:cs="Palatino Linotype"/>
          <w:b/>
          <w:sz w:val="28"/>
          <w:szCs w:val="28"/>
        </w:rPr>
        <w:lastRenderedPageBreak/>
        <w:t xml:space="preserve">QUINTO. </w:t>
      </w:r>
      <w:r w:rsidRPr="001C21CA">
        <w:rPr>
          <w:rFonts w:ascii="Palatino Linotype" w:eastAsia="Palatino Linotype" w:hAnsi="Palatino Linotype" w:cs="Palatino Linotype"/>
          <w:b/>
        </w:rPr>
        <w:t xml:space="preserve">NOTIFÍQUESE </w:t>
      </w:r>
      <w:r w:rsidRPr="001C21CA">
        <w:rPr>
          <w:rFonts w:ascii="Palatino Linotype" w:eastAsia="Palatino Linotype" w:hAnsi="Palatino Linotype" w:cs="Palatino Linotype"/>
        </w:rPr>
        <w:t xml:space="preserve">la presente resolución al </w:t>
      </w:r>
      <w:r w:rsidRPr="001C21CA">
        <w:rPr>
          <w:rFonts w:ascii="Palatino Linotype" w:eastAsia="Palatino Linotype" w:hAnsi="Palatino Linotype" w:cs="Palatino Linotype"/>
          <w:b/>
        </w:rPr>
        <w:t xml:space="preserve">RECURRENTE vía </w:t>
      </w:r>
      <w:r w:rsidRPr="001C21CA">
        <w:rPr>
          <w:rFonts w:ascii="Palatino Linotype" w:eastAsia="Palatino Linotype" w:hAnsi="Palatino Linotype" w:cs="Palatino Linotype"/>
        </w:rPr>
        <w:t xml:space="preserve">Sistema de Acceso a la Información Mexiquense </w:t>
      </w:r>
      <w:r w:rsidRPr="001C21CA">
        <w:rPr>
          <w:rFonts w:ascii="Palatino Linotype" w:eastAsia="Palatino Linotype" w:hAnsi="Palatino Linotype" w:cs="Palatino Linotype"/>
          <w:b/>
        </w:rPr>
        <w:t xml:space="preserve">(SAIMEX) </w:t>
      </w:r>
      <w:r w:rsidRPr="001C21CA">
        <w:rPr>
          <w:rFonts w:ascii="Palatino Linotype" w:eastAsia="Palatino Linotype" w:hAnsi="Palatino Linotype" w:cs="Palatino Linotype"/>
        </w:rPr>
        <w:t xml:space="preserve">y hágase de su conocimiento que, </w:t>
      </w:r>
      <w:r w:rsidRPr="001C21CA">
        <w:rPr>
          <w:rFonts w:ascii="Palatino Linotype" w:eastAsia="Palatino Linotype" w:hAnsi="Palatino Linotype" w:cs="Palatino Linotype"/>
          <w:color w:val="222222"/>
        </w:rPr>
        <w:t>de conformidad con lo establecido en el artículo 196, de la Ley de Transparencia y Acceso a la Información Pública del Estado de México y Municipios, podrá promover el Juicio de Amparo en los términos de las leyes aplicables.</w:t>
      </w:r>
    </w:p>
    <w:p w:rsidR="00887FF3" w:rsidRPr="001C21CA" w:rsidRDefault="00887FF3" w:rsidP="00887FF3">
      <w:pPr>
        <w:spacing w:line="360" w:lineRule="auto"/>
        <w:jc w:val="both"/>
        <w:rPr>
          <w:rFonts w:ascii="Palatino Linotype" w:eastAsia="Palatino Linotype" w:hAnsi="Palatino Linotype" w:cs="Palatino Linotype"/>
          <w:color w:val="222222"/>
        </w:rPr>
      </w:pPr>
    </w:p>
    <w:p w:rsidR="00887FF3" w:rsidRPr="001C21CA" w:rsidRDefault="00887FF3" w:rsidP="00887FF3">
      <w:pPr>
        <w:spacing w:line="360" w:lineRule="auto"/>
        <w:jc w:val="both"/>
        <w:rPr>
          <w:rFonts w:ascii="Palatino Linotype" w:eastAsia="Palatino Linotype" w:hAnsi="Palatino Linotype" w:cs="Palatino Linotype"/>
        </w:rPr>
      </w:pPr>
    </w:p>
    <w:p w:rsidR="00887FF3" w:rsidRPr="001C21CA" w:rsidRDefault="00887FF3" w:rsidP="00887FF3">
      <w:pPr>
        <w:spacing w:line="360" w:lineRule="auto"/>
        <w:jc w:val="both"/>
        <w:rPr>
          <w:rFonts w:ascii="Palatino Linotype" w:eastAsia="Palatino Linotype" w:hAnsi="Palatino Linotype" w:cs="Palatino Linotype"/>
        </w:rPr>
      </w:pPr>
      <w:r w:rsidRPr="001C21CA">
        <w:rPr>
          <w:rFonts w:ascii="Palatino Linotype" w:eastAsia="Palatino Linotype" w:hAnsi="Palatino Linotype" w:cs="Palatino Linotype"/>
        </w:rPr>
        <w:t xml:space="preserve">ASÍ LO RESUELVE, POR </w:t>
      </w:r>
      <w:r w:rsidRPr="001C21CA">
        <w:rPr>
          <w:rFonts w:ascii="Palatino Linotype" w:eastAsia="Palatino Linotype" w:hAnsi="Palatino Linotype" w:cs="Palatino Linotype"/>
          <w:b/>
        </w:rPr>
        <w:t>UNANIMIDAD DE VOTOS</w:t>
      </w:r>
      <w:r w:rsidRPr="001C21CA">
        <w:rPr>
          <w:rFonts w:ascii="Palatino Linotype" w:eastAsia="Palatino Linotype" w:hAnsi="Palatino Linotype" w:cs="Palatino Linotype"/>
        </w:rPr>
        <w:t xml:space="preserve">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0914D2" w:rsidRPr="001C21CA">
        <w:rPr>
          <w:rFonts w:ascii="Palatino Linotype" w:eastAsia="Palatino Linotype" w:hAnsi="Palatino Linotype" w:cs="Palatino Linotype"/>
        </w:rPr>
        <w:t>(</w:t>
      </w:r>
      <w:r w:rsidR="000914D2" w:rsidRPr="001C21CA">
        <w:rPr>
          <w:rFonts w:ascii="Palatino Linotype" w:eastAsia="Palatino Linotype" w:hAnsi="Palatino Linotype" w:cs="Palatino Linotype"/>
          <w:u w:val="single"/>
        </w:rPr>
        <w:t xml:space="preserve">VOTO PARTICULAR) </w:t>
      </w:r>
      <w:r w:rsidRPr="001C21CA">
        <w:rPr>
          <w:rFonts w:ascii="Palatino Linotype" w:eastAsia="Palatino Linotype" w:hAnsi="Palatino Linotype" w:cs="Palatino Linotype"/>
        </w:rPr>
        <w:t>Y GUADALUPE RAMÍREZ PEÑA</w:t>
      </w:r>
      <w:r w:rsidR="000914D2" w:rsidRPr="001C21CA">
        <w:rPr>
          <w:rFonts w:ascii="Palatino Linotype" w:eastAsia="Palatino Linotype" w:hAnsi="Palatino Linotype" w:cs="Palatino Linotype"/>
        </w:rPr>
        <w:t xml:space="preserve"> (</w:t>
      </w:r>
      <w:r w:rsidR="000914D2" w:rsidRPr="001C21CA">
        <w:rPr>
          <w:rFonts w:ascii="Palatino Linotype" w:eastAsia="Palatino Linotype" w:hAnsi="Palatino Linotype" w:cs="Palatino Linotype"/>
          <w:u w:val="single"/>
        </w:rPr>
        <w:t>VOTO PARTICULAR)</w:t>
      </w:r>
      <w:r w:rsidRPr="001C21CA">
        <w:rPr>
          <w:rFonts w:ascii="Palatino Linotype" w:eastAsia="Palatino Linotype" w:hAnsi="Palatino Linotype" w:cs="Palatino Linotype"/>
        </w:rPr>
        <w:t xml:space="preserve">, EN LA </w:t>
      </w:r>
      <w:r w:rsidR="000914D2" w:rsidRPr="001C21CA">
        <w:rPr>
          <w:rFonts w:ascii="Palatino Linotype" w:eastAsia="Palatino Linotype" w:hAnsi="Palatino Linotype" w:cs="Palatino Linotype"/>
          <w:b/>
        </w:rPr>
        <w:t>VIGÉSIMA NOVENA</w:t>
      </w:r>
      <w:r w:rsidRPr="001C21CA">
        <w:rPr>
          <w:rFonts w:ascii="Palatino Linotype" w:eastAsia="Palatino Linotype" w:hAnsi="Palatino Linotype" w:cs="Palatino Linotype"/>
          <w:b/>
        </w:rPr>
        <w:t xml:space="preserve"> </w:t>
      </w:r>
      <w:r w:rsidRPr="001C21CA">
        <w:rPr>
          <w:rFonts w:ascii="Palatino Linotype" w:eastAsia="Palatino Linotype" w:hAnsi="Palatino Linotype" w:cs="Palatino Linotype"/>
        </w:rPr>
        <w:t>S</w:t>
      </w:r>
      <w:r w:rsidRPr="001C21CA">
        <w:rPr>
          <w:rFonts w:ascii="Palatino Linotype" w:eastAsia="Palatino Linotype" w:hAnsi="Palatino Linotype" w:cs="Palatino Linotype"/>
          <w:b/>
        </w:rPr>
        <w:t xml:space="preserve">ESIÓN ORDINARIA CELEBRADA EL </w:t>
      </w:r>
      <w:r w:rsidR="000914D2" w:rsidRPr="001C21CA">
        <w:rPr>
          <w:rFonts w:ascii="Palatino Linotype" w:eastAsia="Palatino Linotype" w:hAnsi="Palatino Linotype" w:cs="Palatino Linotype"/>
          <w:b/>
        </w:rPr>
        <w:t>DIECINUEVE DE AGOSTO DE DOS MIL VEINTISÉIS</w:t>
      </w:r>
      <w:r w:rsidRPr="001C21CA">
        <w:rPr>
          <w:rFonts w:ascii="Palatino Linotype" w:eastAsia="Palatino Linotype" w:hAnsi="Palatino Linotype" w:cs="Palatino Linotype"/>
          <w:b/>
        </w:rPr>
        <w:t xml:space="preserve">, </w:t>
      </w:r>
      <w:r w:rsidRPr="001C21CA">
        <w:rPr>
          <w:rFonts w:ascii="Palatino Linotype" w:eastAsia="Palatino Linotype" w:hAnsi="Palatino Linotype" w:cs="Palatino Linotype"/>
        </w:rPr>
        <w:t>ANTE EL SECRETARIO TÉCNICO DEL PLENO, ALEXIS TAPIA RAMÍREZ. ------------------------------------------------------------------------------------------------------------------------------------------------</w:t>
      </w:r>
    </w:p>
    <w:p w:rsidR="00887FF3" w:rsidRDefault="00887FF3" w:rsidP="00887FF3">
      <w:pPr>
        <w:spacing w:line="360" w:lineRule="auto"/>
        <w:jc w:val="both"/>
        <w:rPr>
          <w:rFonts w:ascii="Palatino Linotype" w:eastAsia="Palatino Linotype" w:hAnsi="Palatino Linotype" w:cs="Palatino Linotype"/>
          <w:sz w:val="20"/>
          <w:szCs w:val="20"/>
        </w:rPr>
      </w:pPr>
      <w:r w:rsidRPr="001C21CA">
        <w:rPr>
          <w:rFonts w:ascii="Palatino Linotype" w:eastAsia="Palatino Linotype" w:hAnsi="Palatino Linotype" w:cs="Palatino Linotype"/>
          <w:sz w:val="20"/>
          <w:szCs w:val="20"/>
        </w:rPr>
        <w:t>JMV/CCR/NJMB</w:t>
      </w:r>
    </w:p>
    <w:p w:rsidR="00887FF3" w:rsidRDefault="00887FF3" w:rsidP="00887FF3">
      <w:pPr>
        <w:spacing w:line="360" w:lineRule="auto"/>
        <w:jc w:val="both"/>
        <w:rPr>
          <w:rFonts w:ascii="Palatino Linotype" w:eastAsia="Palatino Linotype" w:hAnsi="Palatino Linotype" w:cs="Palatino Linotype"/>
          <w:sz w:val="20"/>
          <w:szCs w:val="20"/>
        </w:rPr>
      </w:pPr>
    </w:p>
    <w:p w:rsidR="00887FF3" w:rsidRDefault="00887FF3" w:rsidP="00887FF3">
      <w:pPr>
        <w:spacing w:line="360" w:lineRule="auto"/>
        <w:jc w:val="both"/>
        <w:rPr>
          <w:rFonts w:ascii="Palatino Linotype" w:eastAsia="Palatino Linotype" w:hAnsi="Palatino Linotype" w:cs="Palatino Linotype"/>
          <w:sz w:val="20"/>
          <w:szCs w:val="20"/>
        </w:rPr>
      </w:pPr>
    </w:p>
    <w:p w:rsidR="00887FF3" w:rsidRDefault="00887FF3" w:rsidP="00887FF3">
      <w:pPr>
        <w:spacing w:line="360" w:lineRule="auto"/>
        <w:jc w:val="both"/>
        <w:rPr>
          <w:rFonts w:ascii="Palatino Linotype" w:eastAsia="Palatino Linotype" w:hAnsi="Palatino Linotype" w:cs="Palatino Linotype"/>
          <w:color w:val="000000"/>
          <w:sz w:val="20"/>
          <w:szCs w:val="20"/>
        </w:rPr>
      </w:pPr>
    </w:p>
    <w:p w:rsidR="00887FF3" w:rsidRDefault="00887FF3" w:rsidP="00887FF3">
      <w:pPr>
        <w:spacing w:line="360" w:lineRule="auto"/>
        <w:jc w:val="both"/>
        <w:rPr>
          <w:rFonts w:ascii="Palatino Linotype" w:eastAsia="Palatino Linotype" w:hAnsi="Palatino Linotype" w:cs="Palatino Linotype"/>
          <w:color w:val="000000"/>
          <w:sz w:val="20"/>
          <w:szCs w:val="20"/>
        </w:rPr>
      </w:pPr>
    </w:p>
    <w:p w:rsidR="00887FF3" w:rsidRDefault="00887FF3" w:rsidP="00887FF3">
      <w:pPr>
        <w:spacing w:line="360" w:lineRule="auto"/>
        <w:jc w:val="both"/>
        <w:rPr>
          <w:rFonts w:ascii="Palatino Linotype" w:eastAsia="Palatino Linotype" w:hAnsi="Palatino Linotype" w:cs="Palatino Linotype"/>
          <w:color w:val="000000"/>
          <w:sz w:val="20"/>
          <w:szCs w:val="20"/>
        </w:rPr>
      </w:pPr>
    </w:p>
    <w:p w:rsidR="00887FF3" w:rsidRDefault="00887FF3" w:rsidP="00887FF3">
      <w:pPr>
        <w:spacing w:line="360" w:lineRule="auto"/>
        <w:jc w:val="both"/>
        <w:rPr>
          <w:rFonts w:ascii="Palatino Linotype" w:eastAsia="Palatino Linotype" w:hAnsi="Palatino Linotype" w:cs="Palatino Linotype"/>
          <w:color w:val="000000"/>
          <w:sz w:val="20"/>
          <w:szCs w:val="20"/>
        </w:rPr>
      </w:pPr>
    </w:p>
    <w:p w:rsidR="00887FF3" w:rsidRDefault="00887FF3" w:rsidP="00887FF3">
      <w:pPr>
        <w:spacing w:line="360" w:lineRule="auto"/>
        <w:jc w:val="both"/>
        <w:rPr>
          <w:rFonts w:ascii="Palatino Linotype" w:eastAsia="Palatino Linotype" w:hAnsi="Palatino Linotype" w:cs="Palatino Linotype"/>
          <w:color w:val="000000"/>
          <w:sz w:val="20"/>
          <w:szCs w:val="20"/>
        </w:rPr>
      </w:pPr>
    </w:p>
    <w:tbl>
      <w:tblPr>
        <w:tblW w:w="9284" w:type="dxa"/>
        <w:tblLayout w:type="fixed"/>
        <w:tblLook w:val="0400" w:firstRow="0" w:lastRow="0" w:firstColumn="0" w:lastColumn="0" w:noHBand="0" w:noVBand="1"/>
      </w:tblPr>
      <w:tblGrid>
        <w:gridCol w:w="4282"/>
        <w:gridCol w:w="5002"/>
      </w:tblGrid>
      <w:tr w:rsidR="00CE4F62" w:rsidRPr="00473A89" w:rsidTr="00CC3CB0">
        <w:trPr>
          <w:trHeight w:val="2342"/>
        </w:trPr>
        <w:tc>
          <w:tcPr>
            <w:tcW w:w="9284" w:type="dxa"/>
            <w:gridSpan w:val="2"/>
          </w:tcPr>
          <w:p w:rsidR="00CE4F62" w:rsidRDefault="00CE4F62" w:rsidP="00CC3CB0">
            <w:pPr>
              <w:pStyle w:val="Sinespaciado"/>
              <w:jc w:val="center"/>
              <w:rPr>
                <w:rFonts w:ascii="Palatino Linotype" w:eastAsia="Palatino Linotype" w:hAnsi="Palatino Linotype"/>
                <w:sz w:val="23"/>
                <w:szCs w:val="23"/>
              </w:rPr>
            </w:pPr>
          </w:p>
          <w:p w:rsidR="00CE4F62" w:rsidRPr="00473A89" w:rsidRDefault="00CE4F62" w:rsidP="00CC3CB0">
            <w:pPr>
              <w:pStyle w:val="Sinespaciado"/>
              <w:jc w:val="center"/>
              <w:rPr>
                <w:rFonts w:ascii="Palatino Linotype" w:eastAsia="Palatino Linotype" w:hAnsi="Palatino Linotype"/>
                <w:sz w:val="23"/>
                <w:szCs w:val="23"/>
              </w:rPr>
            </w:pPr>
          </w:p>
          <w:p w:rsidR="00CE4F62" w:rsidRPr="00473A89" w:rsidRDefault="00CE4F62" w:rsidP="00CC3CB0">
            <w:pPr>
              <w:pStyle w:val="Sinespaciado"/>
              <w:jc w:val="center"/>
              <w:rPr>
                <w:rFonts w:ascii="Palatino Linotype" w:eastAsia="Palatino Linotype" w:hAnsi="Palatino Linotype"/>
                <w:sz w:val="23"/>
                <w:szCs w:val="23"/>
              </w:rPr>
            </w:pPr>
          </w:p>
          <w:p w:rsidR="00CE4F62" w:rsidRPr="00473A89" w:rsidRDefault="00CE4F62"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CE4F62" w:rsidRPr="00473A89" w:rsidRDefault="00CE4F62"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CE4F62" w:rsidRPr="00473A89" w:rsidRDefault="00CE4F62"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CE4F62" w:rsidRDefault="00CE4F62" w:rsidP="00CC3CB0">
            <w:pPr>
              <w:pStyle w:val="Sinespaciado"/>
              <w:jc w:val="center"/>
              <w:rPr>
                <w:rFonts w:ascii="Palatino Linotype" w:eastAsia="Palatino Linotype" w:hAnsi="Palatino Linotype"/>
                <w:sz w:val="23"/>
                <w:szCs w:val="23"/>
              </w:rPr>
            </w:pPr>
          </w:p>
          <w:p w:rsidR="00CE4F62" w:rsidRDefault="00CE4F62" w:rsidP="00CC3CB0">
            <w:pPr>
              <w:pStyle w:val="Sinespaciado"/>
              <w:jc w:val="center"/>
              <w:rPr>
                <w:rFonts w:ascii="Palatino Linotype" w:eastAsia="Palatino Linotype" w:hAnsi="Palatino Linotype"/>
                <w:sz w:val="23"/>
                <w:szCs w:val="23"/>
              </w:rPr>
            </w:pPr>
          </w:p>
          <w:p w:rsidR="00CE4F62" w:rsidRDefault="00CE4F62" w:rsidP="00CC3CB0">
            <w:pPr>
              <w:pStyle w:val="Sinespaciado"/>
              <w:jc w:val="center"/>
              <w:rPr>
                <w:rFonts w:ascii="Palatino Linotype" w:eastAsia="Palatino Linotype" w:hAnsi="Palatino Linotype"/>
                <w:sz w:val="23"/>
                <w:szCs w:val="23"/>
              </w:rPr>
            </w:pPr>
          </w:p>
          <w:p w:rsidR="00CE4F62" w:rsidRDefault="00CE4F62" w:rsidP="00CC3CB0">
            <w:pPr>
              <w:pStyle w:val="Sinespaciado"/>
              <w:jc w:val="center"/>
              <w:rPr>
                <w:rFonts w:ascii="Palatino Linotype" w:eastAsia="Palatino Linotype" w:hAnsi="Palatino Linotype"/>
                <w:sz w:val="23"/>
                <w:szCs w:val="23"/>
              </w:rPr>
            </w:pPr>
          </w:p>
          <w:p w:rsidR="00CE4F62" w:rsidRPr="00473A89" w:rsidRDefault="00CE4F62" w:rsidP="00CC3CB0">
            <w:pPr>
              <w:pStyle w:val="Sinespaciado"/>
              <w:jc w:val="center"/>
              <w:rPr>
                <w:rFonts w:ascii="Palatino Linotype" w:eastAsia="Palatino Linotype" w:hAnsi="Palatino Linotype"/>
                <w:sz w:val="23"/>
                <w:szCs w:val="23"/>
              </w:rPr>
            </w:pPr>
          </w:p>
        </w:tc>
      </w:tr>
      <w:tr w:rsidR="00CE4F62" w:rsidRPr="00473A89" w:rsidTr="00CC3CB0">
        <w:trPr>
          <w:trHeight w:val="422"/>
        </w:trPr>
        <w:tc>
          <w:tcPr>
            <w:tcW w:w="4282" w:type="dxa"/>
          </w:tcPr>
          <w:p w:rsidR="00CE4F62" w:rsidRPr="00473A89" w:rsidRDefault="00CE4F62" w:rsidP="00CC3CB0">
            <w:pPr>
              <w:pStyle w:val="Sinespaciado"/>
              <w:jc w:val="center"/>
              <w:rPr>
                <w:rFonts w:ascii="Palatino Linotype" w:eastAsia="Palatino Linotype" w:hAnsi="Palatino Linotype"/>
                <w:b/>
                <w:sz w:val="23"/>
                <w:szCs w:val="23"/>
              </w:rPr>
            </w:pPr>
          </w:p>
          <w:p w:rsidR="00CE4F62" w:rsidRPr="00473A89" w:rsidRDefault="00CE4F62"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CE4F62" w:rsidRPr="00473A89" w:rsidRDefault="00CE4F62"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CE4F62" w:rsidRPr="00473A89" w:rsidRDefault="00CE4F62"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CE4F62" w:rsidRPr="00473A89" w:rsidRDefault="00CE4F62" w:rsidP="00CC3CB0">
            <w:pPr>
              <w:pStyle w:val="Sinespaciado"/>
              <w:jc w:val="center"/>
              <w:rPr>
                <w:rFonts w:ascii="Palatino Linotype" w:eastAsia="Palatino Linotype" w:hAnsi="Palatino Linotype"/>
                <w:sz w:val="23"/>
                <w:szCs w:val="23"/>
              </w:rPr>
            </w:pPr>
          </w:p>
          <w:p w:rsidR="00CE4F62" w:rsidRPr="00473A89" w:rsidRDefault="00CE4F62" w:rsidP="00CC3CB0">
            <w:pPr>
              <w:pStyle w:val="Sinespaciado"/>
              <w:jc w:val="center"/>
              <w:rPr>
                <w:rFonts w:ascii="Palatino Linotype" w:eastAsia="Palatino Linotype" w:hAnsi="Palatino Linotype"/>
                <w:sz w:val="23"/>
                <w:szCs w:val="23"/>
              </w:rPr>
            </w:pPr>
          </w:p>
        </w:tc>
        <w:tc>
          <w:tcPr>
            <w:tcW w:w="5002" w:type="dxa"/>
            <w:vAlign w:val="bottom"/>
          </w:tcPr>
          <w:p w:rsidR="00CE4F62" w:rsidRPr="00473A89" w:rsidRDefault="00CE4F62" w:rsidP="00CC3CB0">
            <w:pPr>
              <w:pStyle w:val="Sinespaciado"/>
              <w:jc w:val="center"/>
              <w:rPr>
                <w:rFonts w:ascii="Palatino Linotype" w:eastAsia="Palatino Linotype" w:hAnsi="Palatino Linotype"/>
                <w:sz w:val="23"/>
                <w:szCs w:val="23"/>
              </w:rPr>
            </w:pPr>
          </w:p>
          <w:p w:rsidR="00CE4F62" w:rsidRPr="00473A89" w:rsidRDefault="00CE4F62"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CE4F62" w:rsidRPr="00473A89" w:rsidRDefault="00CE4F62"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CE4F62" w:rsidRPr="00473A89" w:rsidRDefault="00CE4F62"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CE4F62" w:rsidRPr="00473A89" w:rsidRDefault="00CE4F62" w:rsidP="00CC3CB0">
            <w:pPr>
              <w:pStyle w:val="Sinespaciado"/>
              <w:jc w:val="center"/>
              <w:rPr>
                <w:rFonts w:ascii="Palatino Linotype" w:eastAsia="Palatino Linotype" w:hAnsi="Palatino Linotype"/>
                <w:sz w:val="23"/>
                <w:szCs w:val="23"/>
              </w:rPr>
            </w:pPr>
          </w:p>
          <w:p w:rsidR="00CE4F62" w:rsidRDefault="00CE4F62" w:rsidP="00CC3CB0">
            <w:pPr>
              <w:pStyle w:val="Sinespaciado"/>
              <w:jc w:val="center"/>
              <w:rPr>
                <w:rFonts w:ascii="Palatino Linotype" w:eastAsia="Palatino Linotype" w:hAnsi="Palatino Linotype"/>
                <w:sz w:val="23"/>
                <w:szCs w:val="23"/>
              </w:rPr>
            </w:pPr>
          </w:p>
          <w:p w:rsidR="00CE4F62" w:rsidRDefault="00CE4F62" w:rsidP="00CC3CB0">
            <w:pPr>
              <w:pStyle w:val="Sinespaciado"/>
              <w:rPr>
                <w:rFonts w:ascii="Palatino Linotype" w:eastAsia="Palatino Linotype" w:hAnsi="Palatino Linotype"/>
                <w:sz w:val="23"/>
                <w:szCs w:val="23"/>
              </w:rPr>
            </w:pPr>
          </w:p>
          <w:p w:rsidR="00CE4F62" w:rsidRDefault="00CE4F62" w:rsidP="00CC3CB0">
            <w:pPr>
              <w:pStyle w:val="Sinespaciado"/>
              <w:jc w:val="center"/>
              <w:rPr>
                <w:rFonts w:ascii="Palatino Linotype" w:eastAsia="Palatino Linotype" w:hAnsi="Palatino Linotype"/>
                <w:sz w:val="23"/>
                <w:szCs w:val="23"/>
              </w:rPr>
            </w:pPr>
          </w:p>
          <w:p w:rsidR="00CE4F62" w:rsidRDefault="00CE4F62" w:rsidP="00CC3CB0">
            <w:pPr>
              <w:pStyle w:val="Sinespaciado"/>
              <w:jc w:val="center"/>
              <w:rPr>
                <w:rFonts w:ascii="Palatino Linotype" w:eastAsia="Palatino Linotype" w:hAnsi="Palatino Linotype"/>
                <w:sz w:val="23"/>
                <w:szCs w:val="23"/>
              </w:rPr>
            </w:pPr>
          </w:p>
          <w:p w:rsidR="00CE4F62" w:rsidRPr="00473A89" w:rsidRDefault="00CE4F62" w:rsidP="00CC3CB0">
            <w:pPr>
              <w:pStyle w:val="Sinespaciado"/>
              <w:rPr>
                <w:rFonts w:ascii="Palatino Linotype" w:eastAsia="Palatino Linotype" w:hAnsi="Palatino Linotype"/>
                <w:sz w:val="23"/>
                <w:szCs w:val="23"/>
              </w:rPr>
            </w:pPr>
          </w:p>
          <w:p w:rsidR="00CE4F62" w:rsidRPr="00473A89" w:rsidRDefault="00CE4F62" w:rsidP="00CC3CB0">
            <w:pPr>
              <w:pStyle w:val="Sinespaciado"/>
              <w:jc w:val="center"/>
              <w:rPr>
                <w:rFonts w:ascii="Palatino Linotype" w:eastAsia="Palatino Linotype" w:hAnsi="Palatino Linotype"/>
                <w:sz w:val="23"/>
                <w:szCs w:val="23"/>
              </w:rPr>
            </w:pPr>
          </w:p>
        </w:tc>
      </w:tr>
      <w:tr w:rsidR="00CE4F62" w:rsidRPr="00473A89" w:rsidTr="00CC3CB0">
        <w:trPr>
          <w:trHeight w:val="281"/>
        </w:trPr>
        <w:tc>
          <w:tcPr>
            <w:tcW w:w="4282" w:type="dxa"/>
          </w:tcPr>
          <w:p w:rsidR="00CE4F62" w:rsidRPr="00473A89" w:rsidRDefault="00CE4F62"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CE4F62" w:rsidRPr="00473A89" w:rsidRDefault="00CE4F62"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CE4F62" w:rsidRPr="00473A89" w:rsidRDefault="00CE4F62"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CE4F62" w:rsidRPr="00473A89" w:rsidRDefault="00CE4F62" w:rsidP="00CC3CB0">
            <w:pPr>
              <w:pStyle w:val="Sinespaciado"/>
              <w:jc w:val="center"/>
              <w:rPr>
                <w:rFonts w:ascii="Palatino Linotype" w:eastAsia="Palatino Linotype" w:hAnsi="Palatino Linotype"/>
                <w:sz w:val="23"/>
                <w:szCs w:val="23"/>
              </w:rPr>
            </w:pPr>
          </w:p>
        </w:tc>
        <w:tc>
          <w:tcPr>
            <w:tcW w:w="5002" w:type="dxa"/>
          </w:tcPr>
          <w:p w:rsidR="00CE4F62" w:rsidRPr="00473A89" w:rsidRDefault="00CE4F62"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CE4F62" w:rsidRPr="00473A89" w:rsidRDefault="00CE4F62"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CE4F62" w:rsidRPr="00473A89" w:rsidRDefault="00CE4F62"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CE4F62" w:rsidRPr="00473A89" w:rsidRDefault="00CE4F62"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3CDDBF9A" wp14:editId="220C3A75">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CE4F62" w:rsidRDefault="00CE4F62" w:rsidP="00CC3CB0">
            <w:pPr>
              <w:pStyle w:val="Sinespaciado"/>
              <w:rPr>
                <w:rFonts w:ascii="Palatino Linotype" w:eastAsia="Palatino Linotype" w:hAnsi="Palatino Linotype"/>
                <w:sz w:val="23"/>
                <w:szCs w:val="23"/>
              </w:rPr>
            </w:pPr>
          </w:p>
          <w:p w:rsidR="00CE4F62" w:rsidRDefault="00CE4F62" w:rsidP="00CC3CB0">
            <w:pPr>
              <w:pStyle w:val="Sinespaciado"/>
              <w:jc w:val="center"/>
              <w:rPr>
                <w:rFonts w:ascii="Palatino Linotype" w:eastAsia="Palatino Linotype" w:hAnsi="Palatino Linotype"/>
                <w:sz w:val="23"/>
                <w:szCs w:val="23"/>
              </w:rPr>
            </w:pPr>
          </w:p>
          <w:p w:rsidR="00CE4F62" w:rsidRDefault="00CE4F62" w:rsidP="00CC3CB0">
            <w:pPr>
              <w:pStyle w:val="Sinespaciado"/>
              <w:jc w:val="center"/>
              <w:rPr>
                <w:rFonts w:ascii="Palatino Linotype" w:eastAsia="Palatino Linotype" w:hAnsi="Palatino Linotype"/>
                <w:sz w:val="23"/>
                <w:szCs w:val="23"/>
              </w:rPr>
            </w:pPr>
          </w:p>
          <w:p w:rsidR="00CE4F62" w:rsidRDefault="00CE4F62" w:rsidP="00CC3CB0">
            <w:pPr>
              <w:pStyle w:val="Sinespaciado"/>
              <w:rPr>
                <w:rFonts w:ascii="Palatino Linotype" w:eastAsia="Palatino Linotype" w:hAnsi="Palatino Linotype"/>
                <w:sz w:val="23"/>
                <w:szCs w:val="23"/>
              </w:rPr>
            </w:pPr>
          </w:p>
          <w:p w:rsidR="00CE4F62" w:rsidRPr="00473A89" w:rsidRDefault="00CE4F62" w:rsidP="00CC3CB0">
            <w:pPr>
              <w:pStyle w:val="Sinespaciado"/>
              <w:jc w:val="center"/>
              <w:rPr>
                <w:rFonts w:ascii="Palatino Linotype" w:eastAsia="Palatino Linotype" w:hAnsi="Palatino Linotype"/>
                <w:sz w:val="23"/>
                <w:szCs w:val="23"/>
              </w:rPr>
            </w:pPr>
          </w:p>
        </w:tc>
      </w:tr>
      <w:tr w:rsidR="00CE4F62" w:rsidRPr="00473A89" w:rsidTr="00CC3CB0">
        <w:trPr>
          <w:trHeight w:val="317"/>
        </w:trPr>
        <w:tc>
          <w:tcPr>
            <w:tcW w:w="9284" w:type="dxa"/>
            <w:gridSpan w:val="2"/>
            <w:hideMark/>
          </w:tcPr>
          <w:p w:rsidR="00CE4F62" w:rsidRPr="00473A89" w:rsidRDefault="00CE4F62"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CE4F62" w:rsidRPr="00473A89" w:rsidRDefault="00CE4F62"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CE4F62" w:rsidRPr="00473A89" w:rsidRDefault="00CE4F62"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CE4F62" w:rsidRPr="00473A89" w:rsidRDefault="00CE4F62" w:rsidP="00CC3CB0">
            <w:pPr>
              <w:pStyle w:val="Sinespaciado"/>
              <w:jc w:val="center"/>
              <w:rPr>
                <w:rFonts w:ascii="Palatino Linotype" w:eastAsia="Palatino Linotype" w:hAnsi="Palatino Linotype"/>
                <w:sz w:val="23"/>
                <w:szCs w:val="23"/>
              </w:rPr>
            </w:pPr>
          </w:p>
        </w:tc>
      </w:tr>
    </w:tbl>
    <w:p w:rsidR="001D78D8" w:rsidRDefault="001D78D8"/>
    <w:sectPr w:rsidR="001D78D8">
      <w:headerReference w:type="even" r:id="rId10"/>
      <w:headerReference w:type="default" r:id="rId11"/>
      <w:footerReference w:type="default" r:id="rId12"/>
      <w:headerReference w:type="first" r:id="rId13"/>
      <w:footerReference w:type="first" r:id="rId14"/>
      <w:pgSz w:w="12240" w:h="15840"/>
      <w:pgMar w:top="2977" w:right="1134" w:bottom="1191" w:left="1752"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FF5" w:rsidRDefault="00862FF5" w:rsidP="00887FF3">
      <w:r>
        <w:separator/>
      </w:r>
    </w:p>
  </w:endnote>
  <w:endnote w:type="continuationSeparator" w:id="0">
    <w:p w:rsidR="00862FF5" w:rsidRDefault="00862FF5" w:rsidP="0088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F3" w:rsidRDefault="00887FF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F6643B">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F6643B">
      <w:rPr>
        <w:rFonts w:ascii="Palatino Linotype" w:eastAsia="Palatino Linotype" w:hAnsi="Palatino Linotype" w:cs="Palatino Linotype"/>
        <w:b/>
        <w:noProof/>
        <w:color w:val="000000"/>
        <w:sz w:val="20"/>
        <w:szCs w:val="20"/>
      </w:rPr>
      <w:t>54</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F3" w:rsidRDefault="00887FF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F6643B">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F6643B">
      <w:rPr>
        <w:rFonts w:ascii="Palatino Linotype" w:eastAsia="Palatino Linotype" w:hAnsi="Palatino Linotype" w:cs="Palatino Linotype"/>
        <w:b/>
        <w:noProof/>
        <w:color w:val="000000"/>
        <w:sz w:val="20"/>
        <w:szCs w:val="20"/>
      </w:rPr>
      <w:t>54</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FF5" w:rsidRDefault="00862FF5" w:rsidP="00887FF3">
      <w:r>
        <w:separator/>
      </w:r>
    </w:p>
  </w:footnote>
  <w:footnote w:type="continuationSeparator" w:id="0">
    <w:p w:rsidR="00862FF5" w:rsidRDefault="00862FF5" w:rsidP="00887FF3">
      <w:r>
        <w:continuationSeparator/>
      </w:r>
    </w:p>
  </w:footnote>
  <w:footnote w:id="1">
    <w:p w:rsidR="00887FF3" w:rsidRPr="0031280C" w:rsidRDefault="00887FF3" w:rsidP="00887FF3">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rsidR="00887FF3" w:rsidRPr="0031280C" w:rsidRDefault="00887FF3" w:rsidP="00887FF3">
      <w:pPr>
        <w:rPr>
          <w:rFonts w:cs="Palatino Linotype"/>
          <w:color w:val="000000"/>
          <w:sz w:val="20"/>
          <w:szCs w:val="20"/>
        </w:rPr>
      </w:pPr>
    </w:p>
    <w:p w:rsidR="00887FF3" w:rsidRPr="0031280C" w:rsidRDefault="00887FF3" w:rsidP="00887FF3">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rsidR="00887FF3" w:rsidRPr="00783A97" w:rsidRDefault="00887FF3" w:rsidP="00887FF3">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F3" w:rsidRDefault="00862FF5">
    <w:pPr>
      <w:pBdr>
        <w:top w:val="nil"/>
        <w:left w:val="nil"/>
        <w:bottom w:val="nil"/>
        <w:right w:val="nil"/>
        <w:between w:val="nil"/>
      </w:pBdr>
      <w:tabs>
        <w:tab w:val="center" w:pos="4419"/>
        <w:tab w:val="right" w:pos="8838"/>
      </w:tabs>
      <w:jc w:val="both"/>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609.4pt;height:793.75pt;z-index:-25165875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F3" w:rsidRDefault="00887FF3">
    <w:pPr>
      <w:widowControl w:val="0"/>
      <w:pBdr>
        <w:top w:val="nil"/>
        <w:left w:val="nil"/>
        <w:bottom w:val="nil"/>
        <w:right w:val="nil"/>
        <w:between w:val="nil"/>
      </w:pBdr>
      <w:spacing w:line="276" w:lineRule="auto"/>
      <w:rPr>
        <w:color w:val="000000"/>
      </w:rPr>
    </w:pPr>
  </w:p>
  <w:tbl>
    <w:tblPr>
      <w:tblStyle w:val="2"/>
      <w:tblW w:w="9498" w:type="dxa"/>
      <w:tblLayout w:type="fixed"/>
      <w:tblLook w:val="0400" w:firstRow="0" w:lastRow="0" w:firstColumn="0" w:lastColumn="0" w:noHBand="0" w:noVBand="1"/>
    </w:tblPr>
    <w:tblGrid>
      <w:gridCol w:w="5103"/>
      <w:gridCol w:w="4395"/>
    </w:tblGrid>
    <w:tr w:rsidR="00887FF3">
      <w:trPr>
        <w:trHeight w:val="227"/>
      </w:trPr>
      <w:tc>
        <w:tcPr>
          <w:tcW w:w="5103" w:type="dxa"/>
        </w:tcPr>
        <w:p w:rsidR="00887FF3" w:rsidRDefault="00887FF3">
          <w:pPr>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4395" w:type="dxa"/>
        </w:tcPr>
        <w:p w:rsidR="00887FF3" w:rsidRDefault="00887FF3">
          <w:pPr>
            <w:spacing w:after="120"/>
            <w:ind w:right="71"/>
            <w:jc w:val="right"/>
            <w:rPr>
              <w:rFonts w:ascii="Palatino Linotype" w:eastAsia="Palatino Linotype" w:hAnsi="Palatino Linotype" w:cs="Palatino Linotype"/>
              <w:b/>
            </w:rPr>
          </w:pPr>
          <w:r>
            <w:rPr>
              <w:rFonts w:ascii="Palatino Linotype" w:eastAsia="Palatino Linotype" w:hAnsi="Palatino Linotype" w:cs="Palatino Linotype"/>
              <w:b/>
            </w:rPr>
            <w:t>006600/INFOEM/IP/RR/2026</w:t>
          </w:r>
        </w:p>
      </w:tc>
    </w:tr>
    <w:tr w:rsidR="00887FF3">
      <w:trPr>
        <w:trHeight w:val="242"/>
      </w:trPr>
      <w:tc>
        <w:tcPr>
          <w:tcW w:w="5103" w:type="dxa"/>
        </w:tcPr>
        <w:p w:rsidR="00887FF3" w:rsidRDefault="00887FF3">
          <w:pPr>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4395" w:type="dxa"/>
        </w:tcPr>
        <w:p w:rsidR="00887FF3" w:rsidRDefault="00887FF3">
          <w:pPr>
            <w:spacing w:after="120"/>
            <w:ind w:left="-81" w:right="71"/>
            <w:jc w:val="right"/>
            <w:rPr>
              <w:rFonts w:ascii="Palatino Linotype" w:eastAsia="Palatino Linotype" w:hAnsi="Palatino Linotype" w:cs="Palatino Linotype"/>
            </w:rPr>
          </w:pPr>
          <w:r w:rsidRPr="001D00D1">
            <w:rPr>
              <w:rFonts w:ascii="Palatino Linotype" w:hAnsi="Palatino Linotype"/>
              <w:b/>
              <w:bCs/>
              <w:color w:val="000000"/>
            </w:rPr>
            <w:t xml:space="preserve">Ayuntamiento de </w:t>
          </w:r>
          <w:r w:rsidRPr="00887FF3">
            <w:rPr>
              <w:rFonts w:ascii="Palatino Linotype" w:hAnsi="Palatino Linotype"/>
              <w:b/>
              <w:bCs/>
              <w:color w:val="000000"/>
            </w:rPr>
            <w:t>Juchitepec</w:t>
          </w:r>
        </w:p>
      </w:tc>
    </w:tr>
    <w:tr w:rsidR="00887FF3">
      <w:trPr>
        <w:trHeight w:val="342"/>
      </w:trPr>
      <w:tc>
        <w:tcPr>
          <w:tcW w:w="5103" w:type="dxa"/>
        </w:tcPr>
        <w:p w:rsidR="00887FF3" w:rsidRDefault="00887FF3">
          <w:pPr>
            <w:tabs>
              <w:tab w:val="left" w:pos="4892"/>
            </w:tabs>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4395" w:type="dxa"/>
        </w:tcPr>
        <w:p w:rsidR="00887FF3" w:rsidRDefault="00887FF3">
          <w:pPr>
            <w:spacing w:after="120"/>
            <w:ind w:left="-486" w:right="71" w:firstLine="567"/>
            <w:jc w:val="right"/>
            <w:rPr>
              <w:rFonts w:ascii="Palatino Linotype" w:eastAsia="Palatino Linotype" w:hAnsi="Palatino Linotype" w:cs="Palatino Linotype"/>
            </w:rPr>
          </w:pPr>
          <w:r>
            <w:rPr>
              <w:rFonts w:ascii="Palatino Linotype" w:eastAsia="Palatino Linotype" w:hAnsi="Palatino Linotype" w:cs="Palatino Linotype"/>
            </w:rPr>
            <w:t>José Martínez Vilchis</w:t>
          </w:r>
        </w:p>
        <w:p w:rsidR="00887FF3" w:rsidRDefault="00887FF3">
          <w:pPr>
            <w:spacing w:after="120"/>
            <w:ind w:left="-486" w:right="71" w:firstLine="567"/>
            <w:jc w:val="right"/>
            <w:rPr>
              <w:rFonts w:ascii="Palatino Linotype" w:eastAsia="Palatino Linotype" w:hAnsi="Palatino Linotype" w:cs="Palatino Linotype"/>
            </w:rPr>
          </w:pPr>
        </w:p>
      </w:tc>
    </w:tr>
  </w:tbl>
  <w:p w:rsidR="00887FF3" w:rsidRDefault="00862FF5">
    <w:pPr>
      <w:pBdr>
        <w:top w:val="nil"/>
        <w:left w:val="nil"/>
        <w:bottom w:val="nil"/>
        <w:right w:val="nil"/>
        <w:between w:val="nil"/>
      </w:pBdr>
      <w:tabs>
        <w:tab w:val="center" w:pos="4419"/>
        <w:tab w:val="right" w:pos="8838"/>
      </w:tabs>
      <w:jc w:val="both"/>
      <w:rPr>
        <w:color w:val="000000"/>
        <w:sz w:val="2"/>
        <w:szCs w:val="2"/>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81.55pt;margin-top:-142.95pt;width:609.4pt;height:793.75pt;z-index:-251657728;mso-position-horizontal-relative:margin;mso-position-vertical-relative:margin">
          <v:imagedata r:id="rId1" o:title="image2"/>
          <w10:wrap anchorx="margin" anchory="margin"/>
        </v:shape>
      </w:pict>
    </w:r>
    <w:r w:rsidR="00887FF3">
      <w:rPr>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F3" w:rsidRDefault="00887FF3">
    <w:pPr>
      <w:widowControl w:val="0"/>
      <w:pBdr>
        <w:top w:val="nil"/>
        <w:left w:val="nil"/>
        <w:bottom w:val="nil"/>
        <w:right w:val="nil"/>
        <w:between w:val="nil"/>
      </w:pBdr>
      <w:spacing w:line="276" w:lineRule="auto"/>
      <w:rPr>
        <w:color w:val="000000"/>
        <w:sz w:val="2"/>
        <w:szCs w:val="2"/>
      </w:rPr>
    </w:pPr>
  </w:p>
  <w:tbl>
    <w:tblPr>
      <w:tblStyle w:val="1"/>
      <w:tblW w:w="9498" w:type="dxa"/>
      <w:tblLayout w:type="fixed"/>
      <w:tblLook w:val="0400" w:firstRow="0" w:lastRow="0" w:firstColumn="0" w:lastColumn="0" w:noHBand="0" w:noVBand="1"/>
    </w:tblPr>
    <w:tblGrid>
      <w:gridCol w:w="5103"/>
      <w:gridCol w:w="4395"/>
    </w:tblGrid>
    <w:tr w:rsidR="00887FF3">
      <w:trPr>
        <w:trHeight w:val="227"/>
      </w:trPr>
      <w:tc>
        <w:tcPr>
          <w:tcW w:w="5103" w:type="dxa"/>
        </w:tcPr>
        <w:p w:rsidR="00887FF3" w:rsidRDefault="00887FF3">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4395" w:type="dxa"/>
        </w:tcPr>
        <w:p w:rsidR="00887FF3" w:rsidRDefault="00F46A06" w:rsidP="00887FF3">
          <w:pPr>
            <w:spacing w:after="120"/>
            <w:ind w:left="-486" w:right="68" w:firstLine="558"/>
            <w:jc w:val="right"/>
            <w:rPr>
              <w:rFonts w:ascii="Palatino Linotype" w:eastAsia="Palatino Linotype" w:hAnsi="Palatino Linotype" w:cs="Palatino Linotype"/>
              <w:b/>
            </w:rPr>
          </w:pPr>
          <w:r>
            <w:rPr>
              <w:rFonts w:ascii="Palatino Linotype" w:eastAsia="Palatino Linotype" w:hAnsi="Palatino Linotype" w:cs="Palatino Linotype"/>
              <w:b/>
            </w:rPr>
            <w:t>0</w:t>
          </w:r>
          <w:r w:rsidR="00887FF3">
            <w:rPr>
              <w:rFonts w:ascii="Palatino Linotype" w:eastAsia="Palatino Linotype" w:hAnsi="Palatino Linotype" w:cs="Palatino Linotype"/>
              <w:b/>
            </w:rPr>
            <w:t>6600/INFOEM/IP/RR/2026</w:t>
          </w:r>
        </w:p>
      </w:tc>
    </w:tr>
    <w:tr w:rsidR="00887FF3">
      <w:trPr>
        <w:trHeight w:val="227"/>
      </w:trPr>
      <w:tc>
        <w:tcPr>
          <w:tcW w:w="5103" w:type="dxa"/>
        </w:tcPr>
        <w:p w:rsidR="00887FF3" w:rsidRDefault="00887FF3">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 xml:space="preserve">Recurrente:     </w:t>
          </w:r>
        </w:p>
      </w:tc>
      <w:tc>
        <w:tcPr>
          <w:tcW w:w="4395" w:type="dxa"/>
        </w:tcPr>
        <w:p w:rsidR="00887FF3" w:rsidRDefault="00F6643B" w:rsidP="00887FF3">
          <w:pPr>
            <w:spacing w:after="120"/>
            <w:ind w:left="-486" w:right="68" w:firstLine="558"/>
            <w:jc w:val="right"/>
            <w:rPr>
              <w:rFonts w:ascii="Palatino Linotype" w:eastAsia="Palatino Linotype" w:hAnsi="Palatino Linotype" w:cs="Palatino Linotype"/>
              <w:b/>
            </w:rPr>
          </w:pPr>
          <w:r>
            <w:rPr>
              <w:rFonts w:ascii="Palatino Linotype" w:eastAsia="Palatino Linotype" w:hAnsi="Palatino Linotype" w:cs="Palatino Linotype"/>
              <w:b/>
            </w:rPr>
            <w:t>XXXXXXXXXXX</w:t>
          </w:r>
        </w:p>
      </w:tc>
    </w:tr>
    <w:tr w:rsidR="00887FF3">
      <w:trPr>
        <w:trHeight w:val="242"/>
      </w:trPr>
      <w:tc>
        <w:tcPr>
          <w:tcW w:w="5103" w:type="dxa"/>
        </w:tcPr>
        <w:p w:rsidR="00887FF3" w:rsidRDefault="00887FF3">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4395" w:type="dxa"/>
        </w:tcPr>
        <w:p w:rsidR="00887FF3" w:rsidRPr="001D00D1" w:rsidRDefault="00887FF3">
          <w:pPr>
            <w:spacing w:after="120"/>
            <w:ind w:left="-70" w:right="68"/>
            <w:jc w:val="right"/>
            <w:rPr>
              <w:rFonts w:ascii="Palatino Linotype" w:eastAsia="Palatino Linotype" w:hAnsi="Palatino Linotype" w:cs="Palatino Linotype"/>
            </w:rPr>
          </w:pPr>
          <w:r w:rsidRPr="001D00D1">
            <w:rPr>
              <w:rFonts w:ascii="Palatino Linotype" w:hAnsi="Palatino Linotype"/>
              <w:b/>
              <w:bCs/>
              <w:color w:val="000000"/>
            </w:rPr>
            <w:t xml:space="preserve">Ayuntamiento de </w:t>
          </w:r>
          <w:r w:rsidRPr="00887FF3">
            <w:rPr>
              <w:rFonts w:ascii="Palatino Linotype" w:hAnsi="Palatino Linotype"/>
              <w:b/>
              <w:bCs/>
              <w:color w:val="000000"/>
            </w:rPr>
            <w:t>Juchitepec</w:t>
          </w:r>
        </w:p>
      </w:tc>
    </w:tr>
    <w:tr w:rsidR="00887FF3">
      <w:trPr>
        <w:trHeight w:val="342"/>
      </w:trPr>
      <w:tc>
        <w:tcPr>
          <w:tcW w:w="5103" w:type="dxa"/>
        </w:tcPr>
        <w:p w:rsidR="00887FF3" w:rsidRDefault="00887FF3">
          <w:pPr>
            <w:tabs>
              <w:tab w:val="left" w:pos="4892"/>
            </w:tabs>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4395" w:type="dxa"/>
        </w:tcPr>
        <w:p w:rsidR="00887FF3" w:rsidRDefault="00887FF3">
          <w:pPr>
            <w:spacing w:after="120"/>
            <w:ind w:left="-486" w:right="68" w:firstLine="567"/>
            <w:jc w:val="right"/>
            <w:rPr>
              <w:rFonts w:ascii="Palatino Linotype" w:eastAsia="Palatino Linotype" w:hAnsi="Palatino Linotype" w:cs="Palatino Linotype"/>
            </w:rPr>
          </w:pPr>
          <w:r>
            <w:rPr>
              <w:rFonts w:ascii="Palatino Linotype" w:eastAsia="Palatino Linotype" w:hAnsi="Palatino Linotype" w:cs="Palatino Linotype"/>
            </w:rPr>
            <w:t>José Martínez Vilchis</w:t>
          </w:r>
        </w:p>
      </w:tc>
    </w:tr>
  </w:tbl>
  <w:p w:rsidR="00887FF3" w:rsidRDefault="00887FF3">
    <w:pPr>
      <w:pBdr>
        <w:top w:val="nil"/>
        <w:left w:val="nil"/>
        <w:bottom w:val="nil"/>
        <w:right w:val="nil"/>
        <w:between w:val="nil"/>
      </w:pBdr>
      <w:tabs>
        <w:tab w:val="center" w:pos="4419"/>
        <w:tab w:val="right" w:pos="8838"/>
      </w:tabs>
      <w:jc w:val="both"/>
      <w:rPr>
        <w:color w:val="000000"/>
        <w:sz w:val="2"/>
        <w:szCs w:val="2"/>
      </w:rPr>
    </w:pPr>
    <w:r>
      <w:rPr>
        <w:noProof/>
        <w:color w:val="000000"/>
      </w:rPr>
      <w:drawing>
        <wp:anchor distT="0" distB="0" distL="0" distR="0" simplePos="0" relativeHeight="251656704" behindDoc="1" locked="0" layoutInCell="1" hidden="0" allowOverlap="1" wp14:anchorId="0AEBFD82" wp14:editId="1A6908F2">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9641E"/>
    <w:multiLevelType w:val="hybridMultilevel"/>
    <w:tmpl w:val="6A76A7AC"/>
    <w:lvl w:ilvl="0" w:tplc="9D229826">
      <w:start w:val="1"/>
      <w:numFmt w:val="decimal"/>
      <w:lvlText w:val="%1."/>
      <w:lvlJc w:val="left"/>
      <w:pPr>
        <w:ind w:left="720" w:hanging="360"/>
      </w:pPr>
      <w:rPr>
        <w:rFonts w:eastAsia="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9048FF"/>
    <w:multiLevelType w:val="hybridMultilevel"/>
    <w:tmpl w:val="890E8882"/>
    <w:lvl w:ilvl="0" w:tplc="8D28C0BC">
      <w:start w:val="1"/>
      <w:numFmt w:val="upperRoman"/>
      <w:lvlText w:val="%1."/>
      <w:lvlJc w:val="left"/>
      <w:pPr>
        <w:ind w:left="2148" w:hanging="720"/>
      </w:pPr>
      <w:rPr>
        <w:rFonts w:hint="default"/>
      </w:r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2" w15:restartNumberingAfterBreak="0">
    <w:nsid w:val="1A073081"/>
    <w:multiLevelType w:val="hybridMultilevel"/>
    <w:tmpl w:val="5AA8366E"/>
    <w:lvl w:ilvl="0" w:tplc="B8DC622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 w15:restartNumberingAfterBreak="0">
    <w:nsid w:val="23C61CF9"/>
    <w:multiLevelType w:val="hybridMultilevel"/>
    <w:tmpl w:val="142C5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5" w15:restartNumberingAfterBreak="0">
    <w:nsid w:val="336C7A86"/>
    <w:multiLevelType w:val="hybridMultilevel"/>
    <w:tmpl w:val="C12C5A76"/>
    <w:lvl w:ilvl="0" w:tplc="5D003842">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D8F6656"/>
    <w:multiLevelType w:val="hybridMultilevel"/>
    <w:tmpl w:val="56A8F336"/>
    <w:lvl w:ilvl="0" w:tplc="F5B609AC">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3F432E89"/>
    <w:multiLevelType w:val="hybridMultilevel"/>
    <w:tmpl w:val="17B4B7D2"/>
    <w:lvl w:ilvl="0" w:tplc="259C3A2C">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20D242E"/>
    <w:multiLevelType w:val="hybridMultilevel"/>
    <w:tmpl w:val="44E8F2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8A104AB"/>
    <w:multiLevelType w:val="multilevel"/>
    <w:tmpl w:val="AB52F280"/>
    <w:lvl w:ilvl="0">
      <w:start w:val="1"/>
      <w:numFmt w:val="bullet"/>
      <w:lvlText w:val="●"/>
      <w:lvlJc w:val="left"/>
      <w:pPr>
        <w:ind w:left="3228" w:hanging="360"/>
      </w:pPr>
      <w:rPr>
        <w:rFonts w:ascii="Noto Sans Symbols" w:eastAsia="Noto Sans Symbols" w:hAnsi="Noto Sans Symbols" w:cs="Noto Sans Symbols"/>
      </w:rPr>
    </w:lvl>
    <w:lvl w:ilvl="1">
      <w:start w:val="1"/>
      <w:numFmt w:val="bullet"/>
      <w:lvlText w:val="o"/>
      <w:lvlJc w:val="left"/>
      <w:pPr>
        <w:ind w:left="3948" w:hanging="360"/>
      </w:pPr>
      <w:rPr>
        <w:rFonts w:ascii="Courier New" w:eastAsia="Courier New" w:hAnsi="Courier New" w:cs="Courier New"/>
      </w:rPr>
    </w:lvl>
    <w:lvl w:ilvl="2">
      <w:start w:val="1"/>
      <w:numFmt w:val="bullet"/>
      <w:lvlText w:val="▪"/>
      <w:lvlJc w:val="left"/>
      <w:pPr>
        <w:ind w:left="4668" w:hanging="360"/>
      </w:pPr>
      <w:rPr>
        <w:rFonts w:ascii="Noto Sans Symbols" w:eastAsia="Noto Sans Symbols" w:hAnsi="Noto Sans Symbols" w:cs="Noto Sans Symbols"/>
      </w:rPr>
    </w:lvl>
    <w:lvl w:ilvl="3">
      <w:start w:val="1"/>
      <w:numFmt w:val="bullet"/>
      <w:lvlText w:val="●"/>
      <w:lvlJc w:val="left"/>
      <w:pPr>
        <w:ind w:left="5388" w:hanging="360"/>
      </w:pPr>
      <w:rPr>
        <w:rFonts w:ascii="Noto Sans Symbols" w:eastAsia="Noto Sans Symbols" w:hAnsi="Noto Sans Symbols" w:cs="Noto Sans Symbols"/>
      </w:rPr>
    </w:lvl>
    <w:lvl w:ilvl="4">
      <w:start w:val="1"/>
      <w:numFmt w:val="bullet"/>
      <w:lvlText w:val="o"/>
      <w:lvlJc w:val="left"/>
      <w:pPr>
        <w:ind w:left="6108" w:hanging="360"/>
      </w:pPr>
      <w:rPr>
        <w:rFonts w:ascii="Courier New" w:eastAsia="Courier New" w:hAnsi="Courier New" w:cs="Courier New"/>
      </w:rPr>
    </w:lvl>
    <w:lvl w:ilvl="5">
      <w:start w:val="1"/>
      <w:numFmt w:val="bullet"/>
      <w:lvlText w:val="▪"/>
      <w:lvlJc w:val="left"/>
      <w:pPr>
        <w:ind w:left="6828" w:hanging="360"/>
      </w:pPr>
      <w:rPr>
        <w:rFonts w:ascii="Noto Sans Symbols" w:eastAsia="Noto Sans Symbols" w:hAnsi="Noto Sans Symbols" w:cs="Noto Sans Symbols"/>
      </w:rPr>
    </w:lvl>
    <w:lvl w:ilvl="6">
      <w:start w:val="1"/>
      <w:numFmt w:val="bullet"/>
      <w:lvlText w:val="●"/>
      <w:lvlJc w:val="left"/>
      <w:pPr>
        <w:ind w:left="7548" w:hanging="360"/>
      </w:pPr>
      <w:rPr>
        <w:rFonts w:ascii="Noto Sans Symbols" w:eastAsia="Noto Sans Symbols" w:hAnsi="Noto Sans Symbols" w:cs="Noto Sans Symbols"/>
      </w:rPr>
    </w:lvl>
    <w:lvl w:ilvl="7">
      <w:start w:val="1"/>
      <w:numFmt w:val="bullet"/>
      <w:lvlText w:val="o"/>
      <w:lvlJc w:val="left"/>
      <w:pPr>
        <w:ind w:left="8268" w:hanging="360"/>
      </w:pPr>
      <w:rPr>
        <w:rFonts w:ascii="Courier New" w:eastAsia="Courier New" w:hAnsi="Courier New" w:cs="Courier New"/>
      </w:rPr>
    </w:lvl>
    <w:lvl w:ilvl="8">
      <w:start w:val="1"/>
      <w:numFmt w:val="bullet"/>
      <w:lvlText w:val="▪"/>
      <w:lvlJc w:val="left"/>
      <w:pPr>
        <w:ind w:left="8988" w:hanging="360"/>
      </w:pPr>
      <w:rPr>
        <w:rFonts w:ascii="Noto Sans Symbols" w:eastAsia="Noto Sans Symbols" w:hAnsi="Noto Sans Symbols" w:cs="Noto Sans Symbols"/>
      </w:rPr>
    </w:lvl>
  </w:abstractNum>
  <w:abstractNum w:abstractNumId="11" w15:restartNumberingAfterBreak="0">
    <w:nsid w:val="61D56E19"/>
    <w:multiLevelType w:val="hybridMultilevel"/>
    <w:tmpl w:val="8B0A9382"/>
    <w:lvl w:ilvl="0" w:tplc="F9200824">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15:restartNumberingAfterBreak="0">
    <w:nsid w:val="6472294A"/>
    <w:multiLevelType w:val="hybridMultilevel"/>
    <w:tmpl w:val="8BFA8438"/>
    <w:lvl w:ilvl="0" w:tplc="4858E728">
      <w:start w:val="1"/>
      <w:numFmt w:val="bullet"/>
      <w:lvlText w:val=""/>
      <w:lvlJc w:val="left"/>
      <w:pPr>
        <w:ind w:left="720" w:hanging="360"/>
      </w:pPr>
      <w:rPr>
        <w:rFonts w:ascii="Symbol" w:eastAsia="Times New Roman" w:hAnsi="Symbol" w:cs="Arial" w:hint="default"/>
        <w:b/>
        <w:sz w:val="17"/>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6267B50"/>
    <w:multiLevelType w:val="multilevel"/>
    <w:tmpl w:val="17F688E2"/>
    <w:lvl w:ilvl="0">
      <w:start w:val="1"/>
      <w:numFmt w:val="upperRoman"/>
      <w:lvlText w:val="%1."/>
      <w:lvlJc w:val="right"/>
      <w:pPr>
        <w:ind w:left="1077" w:hanging="360"/>
      </w:pPr>
    </w:lvl>
    <w:lvl w:ilvl="1">
      <w:start w:val="1"/>
      <w:numFmt w:val="decimal"/>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num w:numId="1">
    <w:abstractNumId w:val="10"/>
  </w:num>
  <w:num w:numId="2">
    <w:abstractNumId w:val="4"/>
  </w:num>
  <w:num w:numId="3">
    <w:abstractNumId w:val="13"/>
  </w:num>
  <w:num w:numId="4">
    <w:abstractNumId w:val="3"/>
  </w:num>
  <w:num w:numId="5">
    <w:abstractNumId w:val="6"/>
  </w:num>
  <w:num w:numId="6">
    <w:abstractNumId w:val="9"/>
  </w:num>
  <w:num w:numId="7">
    <w:abstractNumId w:val="5"/>
  </w:num>
  <w:num w:numId="8">
    <w:abstractNumId w:val="8"/>
  </w:num>
  <w:num w:numId="9">
    <w:abstractNumId w:val="11"/>
  </w:num>
  <w:num w:numId="10">
    <w:abstractNumId w:val="1"/>
  </w:num>
  <w:num w:numId="11">
    <w:abstractNumId w:val="2"/>
  </w:num>
  <w:num w:numId="12">
    <w:abstractNumId w:val="7"/>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FF3"/>
    <w:rsid w:val="000914D2"/>
    <w:rsid w:val="001C21CA"/>
    <w:rsid w:val="001D78D8"/>
    <w:rsid w:val="002343D9"/>
    <w:rsid w:val="002D4F20"/>
    <w:rsid w:val="002E05B2"/>
    <w:rsid w:val="003834FE"/>
    <w:rsid w:val="00485DA1"/>
    <w:rsid w:val="00652766"/>
    <w:rsid w:val="007242CD"/>
    <w:rsid w:val="00764533"/>
    <w:rsid w:val="00862FF5"/>
    <w:rsid w:val="008743BC"/>
    <w:rsid w:val="00877637"/>
    <w:rsid w:val="00887FF3"/>
    <w:rsid w:val="00AA1E36"/>
    <w:rsid w:val="00C0576D"/>
    <w:rsid w:val="00CE4F62"/>
    <w:rsid w:val="00DE42FD"/>
    <w:rsid w:val="00E440EE"/>
    <w:rsid w:val="00F46A06"/>
    <w:rsid w:val="00F6643B"/>
    <w:rsid w:val="00FF5839"/>
    <w:rsid w:val="00FF64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D3E25D1E-F884-4544-B1A8-0EE23674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87FF3"/>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2">
    <w:name w:val="2"/>
    <w:basedOn w:val="Tablanormal"/>
    <w:rsid w:val="00887FF3"/>
    <w:pPr>
      <w:spacing w:after="0" w:line="240" w:lineRule="auto"/>
    </w:pPr>
    <w:rPr>
      <w:rFonts w:ascii="Times New Roman" w:eastAsia="Times New Roman" w:hAnsi="Times New Roman" w:cs="Times New Roman"/>
      <w:sz w:val="24"/>
      <w:szCs w:val="24"/>
      <w:lang w:eastAsia="es-MX"/>
    </w:rPr>
    <w:tblPr>
      <w:tblStyleRowBandSize w:val="1"/>
      <w:tblStyleColBandSize w:val="1"/>
      <w:tblCellMar>
        <w:left w:w="70" w:type="dxa"/>
        <w:right w:w="70" w:type="dxa"/>
      </w:tblCellMar>
    </w:tblPr>
  </w:style>
  <w:style w:type="table" w:customStyle="1" w:styleId="1">
    <w:name w:val="1"/>
    <w:basedOn w:val="Tablanormal"/>
    <w:rsid w:val="00887FF3"/>
    <w:pPr>
      <w:spacing w:after="0" w:line="240" w:lineRule="auto"/>
    </w:pPr>
    <w:rPr>
      <w:rFonts w:ascii="Times New Roman" w:eastAsia="Times New Roman" w:hAnsi="Times New Roman" w:cs="Times New Roman"/>
      <w:sz w:val="24"/>
      <w:szCs w:val="24"/>
      <w:lang w:eastAsia="es-MX"/>
    </w:rPr>
    <w:tblPr>
      <w:tblStyleRowBandSize w:val="1"/>
      <w:tblStyleColBandSize w:val="1"/>
      <w:tblCellMar>
        <w:left w:w="70" w:type="dxa"/>
        <w:right w:w="70"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87FF3"/>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87FF3"/>
    <w:rPr>
      <w:rFonts w:ascii="Times New Roman" w:eastAsia="Times New Roman" w:hAnsi="Times New Roman" w:cs="Times New Roman"/>
      <w:sz w:val="24"/>
      <w:szCs w:val="24"/>
      <w:lang w:eastAsia="es-MX"/>
    </w:rPr>
  </w:style>
  <w:style w:type="paragraph" w:styleId="Sinespaciado">
    <w:name w:val="No Spacing"/>
    <w:aliases w:val="Francesa,INAI"/>
    <w:link w:val="SinespaciadoCar"/>
    <w:uiPriority w:val="1"/>
    <w:qFormat/>
    <w:rsid w:val="00887FF3"/>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87FF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887FF3"/>
    <w:pPr>
      <w:tabs>
        <w:tab w:val="center" w:pos="4419"/>
        <w:tab w:val="right" w:pos="8838"/>
      </w:tabs>
    </w:pPr>
  </w:style>
  <w:style w:type="character" w:customStyle="1" w:styleId="PiedepginaCar">
    <w:name w:val="Pie de página Car"/>
    <w:basedOn w:val="Fuentedeprrafopredeter"/>
    <w:link w:val="Piedepgina"/>
    <w:uiPriority w:val="99"/>
    <w:rsid w:val="00887FF3"/>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887F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monografias.com/trabajos14/verific-servicios/verific-servicios.shtml"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54</Pages>
  <Words>14156</Words>
  <Characters>77861</Characters>
  <Application>Microsoft Office Word</Application>
  <DocSecurity>0</DocSecurity>
  <Lines>648</Lines>
  <Paragraphs>183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13</cp:revision>
  <cp:lastPrinted>2026-08-18T23:35:00Z</cp:lastPrinted>
  <dcterms:created xsi:type="dcterms:W3CDTF">2026-08-10T19:00:00Z</dcterms:created>
  <dcterms:modified xsi:type="dcterms:W3CDTF">2026-08-20T16:08:00Z</dcterms:modified>
</cp:coreProperties>
</file>