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6FD59" w14:textId="5F2AD7F1" w:rsidR="003655E7" w:rsidRDefault="00F26B8A" w:rsidP="0023244C">
      <w:pPr>
        <w:spacing w:after="0" w:line="360" w:lineRule="auto"/>
        <w:jc w:val="both"/>
        <w:rPr>
          <w:rFonts w:ascii="Palatino Linotype" w:eastAsia="Palatino Linotype" w:hAnsi="Palatino Linotype" w:cs="Palatino Linotype"/>
          <w:b/>
          <w:color w:val="000000"/>
        </w:rPr>
      </w:pPr>
      <w:bookmarkStart w:id="0" w:name="_heading=h.gjdgxs" w:colFirst="0" w:colLast="0"/>
      <w:bookmarkEnd w:id="0"/>
      <w:r>
        <w:rPr>
          <w:rFonts w:ascii="Palatino Linotype" w:eastAsia="Palatino Linotype" w:hAnsi="Palatino Linotype" w:cs="Palatino Linotype"/>
          <w:b/>
        </w:rPr>
        <w:t xml:space="preserve">VOTO PARTICULAR QUE FORMULA LA COMISIONADA GUADALUPE RAMÍREZ PEÑA EN RELACIÓN CON LA RESOLUCIÓN DICTADA POR EL PLENO DEL INSTITUTO DE TRANSPARENCIA, ACCESO A LA INFORMACIÓN PÚBLICA Y PROTECCIÓN DE DATOS PERSONALES DEL ESTADO DE MÉXICO Y MUNICIPIOS, EN LA </w:t>
      </w:r>
      <w:r w:rsidR="002D4A73">
        <w:rPr>
          <w:rFonts w:ascii="Palatino Linotype" w:eastAsia="Palatino Linotype" w:hAnsi="Palatino Linotype" w:cs="Palatino Linotype"/>
          <w:b/>
        </w:rPr>
        <w:t xml:space="preserve">VIGÉSIMA </w:t>
      </w:r>
      <w:r w:rsidR="009E6480">
        <w:rPr>
          <w:rFonts w:ascii="Palatino Linotype" w:eastAsia="Palatino Linotype" w:hAnsi="Palatino Linotype" w:cs="Palatino Linotype"/>
          <w:b/>
        </w:rPr>
        <w:t>NOVENA</w:t>
      </w:r>
      <w:r w:rsidR="002D4A73">
        <w:rPr>
          <w:rFonts w:ascii="Palatino Linotype" w:eastAsia="Palatino Linotype" w:hAnsi="Palatino Linotype" w:cs="Palatino Linotype"/>
          <w:b/>
        </w:rPr>
        <w:t xml:space="preserve"> </w:t>
      </w:r>
      <w:r w:rsidR="00677443">
        <w:rPr>
          <w:rFonts w:ascii="Palatino Linotype" w:eastAsia="Palatino Linotype" w:hAnsi="Palatino Linotype" w:cs="Palatino Linotype"/>
          <w:b/>
        </w:rPr>
        <w:t>SESIÓN</w:t>
      </w:r>
      <w:r>
        <w:rPr>
          <w:rFonts w:ascii="Palatino Linotype" w:eastAsia="Palatino Linotype" w:hAnsi="Palatino Linotype" w:cs="Palatino Linotype"/>
          <w:b/>
        </w:rPr>
        <w:t xml:space="preserve"> ORDINARIA DEL </w:t>
      </w:r>
      <w:r w:rsidR="009E6480">
        <w:rPr>
          <w:rFonts w:ascii="Palatino Linotype" w:eastAsia="Palatino Linotype" w:hAnsi="Palatino Linotype" w:cs="Palatino Linotype"/>
          <w:b/>
        </w:rPr>
        <w:t>DIECINUEVE</w:t>
      </w:r>
      <w:r w:rsidR="002D4A73">
        <w:rPr>
          <w:rFonts w:ascii="Palatino Linotype" w:eastAsia="Palatino Linotype" w:hAnsi="Palatino Linotype" w:cs="Palatino Linotype"/>
          <w:b/>
        </w:rPr>
        <w:t xml:space="preserve"> DE AGOSTO </w:t>
      </w:r>
      <w:r>
        <w:rPr>
          <w:rFonts w:ascii="Palatino Linotype" w:eastAsia="Palatino Linotype" w:hAnsi="Palatino Linotype" w:cs="Palatino Linotype"/>
          <w:b/>
        </w:rPr>
        <w:t>DE DOS MIL VEINTI</w:t>
      </w:r>
      <w:r w:rsidR="009F1CEF">
        <w:rPr>
          <w:rFonts w:ascii="Palatino Linotype" w:eastAsia="Palatino Linotype" w:hAnsi="Palatino Linotype" w:cs="Palatino Linotype"/>
          <w:b/>
        </w:rPr>
        <w:t>SÉIS</w:t>
      </w:r>
      <w:r>
        <w:rPr>
          <w:rFonts w:ascii="Palatino Linotype" w:eastAsia="Palatino Linotype" w:hAnsi="Palatino Linotype" w:cs="Palatino Linotype"/>
          <w:b/>
        </w:rPr>
        <w:t xml:space="preserve"> EN EL RECURSO DE REVISIÓN </w:t>
      </w:r>
      <w:r w:rsidR="00677443">
        <w:rPr>
          <w:rFonts w:ascii="Palatino Linotype" w:eastAsia="Palatino Linotype" w:hAnsi="Palatino Linotype" w:cs="Palatino Linotype"/>
          <w:b/>
          <w:color w:val="000000"/>
        </w:rPr>
        <w:t>0</w:t>
      </w:r>
      <w:r w:rsidR="009E6480">
        <w:rPr>
          <w:rFonts w:ascii="Palatino Linotype" w:eastAsia="Palatino Linotype" w:hAnsi="Palatino Linotype" w:cs="Palatino Linotype"/>
          <w:b/>
          <w:color w:val="000000"/>
        </w:rPr>
        <w:t>6609</w:t>
      </w:r>
      <w:r w:rsidR="0023244C" w:rsidRPr="0023244C">
        <w:rPr>
          <w:rFonts w:ascii="Palatino Linotype" w:eastAsia="Palatino Linotype" w:hAnsi="Palatino Linotype" w:cs="Palatino Linotype"/>
          <w:b/>
          <w:color w:val="000000"/>
        </w:rPr>
        <w:t>/INFOEM/IP/RR/202</w:t>
      </w:r>
      <w:r w:rsidR="002D4A73">
        <w:rPr>
          <w:rFonts w:ascii="Palatino Linotype" w:eastAsia="Palatino Linotype" w:hAnsi="Palatino Linotype" w:cs="Palatino Linotype"/>
          <w:b/>
          <w:color w:val="000000"/>
        </w:rPr>
        <w:t>6</w:t>
      </w:r>
      <w:r w:rsidR="00E616EF">
        <w:rPr>
          <w:rFonts w:ascii="Palatino Linotype" w:eastAsia="Palatino Linotype" w:hAnsi="Palatino Linotype" w:cs="Palatino Linotype"/>
          <w:b/>
          <w:color w:val="000000"/>
        </w:rPr>
        <w:t xml:space="preserve">. </w:t>
      </w:r>
    </w:p>
    <w:p w14:paraId="1EB22011" w14:textId="77777777" w:rsidR="003655E7" w:rsidRDefault="003655E7">
      <w:pPr>
        <w:spacing w:after="0" w:line="360" w:lineRule="auto"/>
        <w:jc w:val="both"/>
        <w:rPr>
          <w:rFonts w:ascii="Palatino Linotype" w:eastAsia="Palatino Linotype" w:hAnsi="Palatino Linotype" w:cs="Palatino Linotype"/>
          <w:b/>
        </w:rPr>
      </w:pPr>
    </w:p>
    <w:p w14:paraId="3284F2C2" w14:textId="0A9C4345" w:rsidR="003655E7" w:rsidRDefault="00F26B8A">
      <w:pPr>
        <w:spacing w:after="0" w:line="360" w:lineRule="auto"/>
        <w:ind w:right="-93"/>
        <w:jc w:val="both"/>
        <w:rPr>
          <w:rFonts w:ascii="Palatino Linotype" w:eastAsia="Palatino Linotype" w:hAnsi="Palatino Linotype" w:cs="Palatino Linotype"/>
        </w:rPr>
      </w:pPr>
      <w:r>
        <w:rPr>
          <w:rFonts w:ascii="Palatino Linotype" w:eastAsia="Palatino Linotype" w:hAnsi="Palatino Linotype" w:cs="Palatino Linotype"/>
        </w:rPr>
        <w:t xml:space="preserve">El Pleno del Instituto de Transparencia, Acceso a la Información Pública y Protección de Datos Personales del Estado de México resolvió </w:t>
      </w:r>
      <w:r w:rsidR="00E84F57">
        <w:rPr>
          <w:rFonts w:ascii="Palatino Linotype" w:eastAsia="Palatino Linotype" w:hAnsi="Palatino Linotype" w:cs="Palatino Linotype"/>
        </w:rPr>
        <w:t>el</w:t>
      </w:r>
      <w:r>
        <w:rPr>
          <w:rFonts w:ascii="Palatino Linotype" w:eastAsia="Palatino Linotype" w:hAnsi="Palatino Linotype" w:cs="Palatino Linotype"/>
          <w:b/>
        </w:rPr>
        <w:t xml:space="preserve"> Recurso de Revisión </w:t>
      </w:r>
      <w:r w:rsidR="00677443">
        <w:rPr>
          <w:rFonts w:ascii="Palatino Linotype" w:eastAsia="Palatino Linotype" w:hAnsi="Palatino Linotype" w:cs="Palatino Linotype"/>
          <w:b/>
          <w:color w:val="000000"/>
        </w:rPr>
        <w:t>0</w:t>
      </w:r>
      <w:r w:rsidR="009E6480">
        <w:rPr>
          <w:rFonts w:ascii="Palatino Linotype" w:eastAsia="Palatino Linotype" w:hAnsi="Palatino Linotype" w:cs="Palatino Linotype"/>
          <w:b/>
          <w:color w:val="000000"/>
        </w:rPr>
        <w:t>6609</w:t>
      </w:r>
      <w:r>
        <w:rPr>
          <w:rFonts w:ascii="Palatino Linotype" w:eastAsia="Palatino Linotype" w:hAnsi="Palatino Linotype" w:cs="Palatino Linotype"/>
          <w:b/>
          <w:color w:val="000000"/>
        </w:rPr>
        <w:t>/INFOEM/IP/RR/202</w:t>
      </w:r>
      <w:r w:rsidR="009E6480">
        <w:rPr>
          <w:rFonts w:ascii="Palatino Linotype" w:eastAsia="Palatino Linotype" w:hAnsi="Palatino Linotype" w:cs="Palatino Linotype"/>
          <w:b/>
          <w:color w:val="000000"/>
        </w:rPr>
        <w:t>6</w:t>
      </w:r>
      <w:r>
        <w:rPr>
          <w:rFonts w:ascii="Palatino Linotype" w:eastAsia="Palatino Linotype" w:hAnsi="Palatino Linotype" w:cs="Palatino Linotype"/>
          <w:b/>
        </w:rPr>
        <w:t xml:space="preserve">, </w:t>
      </w:r>
      <w:r w:rsidR="009E6480">
        <w:rPr>
          <w:rFonts w:ascii="Palatino Linotype" w:eastAsia="Palatino Linotype" w:hAnsi="Palatino Linotype" w:cs="Palatino Linotype"/>
          <w:bCs/>
        </w:rPr>
        <w:t xml:space="preserve">misma que fue engrosada conforme al criterio mayoritario, </w:t>
      </w:r>
      <w:r>
        <w:rPr>
          <w:rFonts w:ascii="Palatino Linotype" w:eastAsia="Palatino Linotype" w:hAnsi="Palatino Linotype" w:cs="Palatino Linotype"/>
        </w:rPr>
        <w:t xml:space="preserve">respecto de la cual, quien suscribe, emite </w:t>
      </w:r>
      <w:r>
        <w:rPr>
          <w:rFonts w:ascii="Palatino Linotype" w:eastAsia="Palatino Linotype" w:hAnsi="Palatino Linotype" w:cs="Palatino Linotype"/>
          <w:b/>
        </w:rPr>
        <w:t>Voto Particular</w:t>
      </w:r>
      <w:r>
        <w:rPr>
          <w:rFonts w:ascii="Palatino Linotype" w:eastAsia="Palatino Linotype" w:hAnsi="Palatino Linotype" w:cs="Palatino Linotype"/>
        </w:rPr>
        <w:t>, con fundamento en lo dispuesto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3161DA5D" w14:textId="77777777" w:rsidR="003655E7" w:rsidRDefault="003655E7">
      <w:pPr>
        <w:spacing w:after="0" w:line="360" w:lineRule="auto"/>
        <w:ind w:right="-93"/>
        <w:jc w:val="both"/>
        <w:rPr>
          <w:rFonts w:ascii="Palatino Linotype" w:eastAsia="Palatino Linotype" w:hAnsi="Palatino Linotype" w:cs="Palatino Linotype"/>
        </w:rPr>
      </w:pPr>
    </w:p>
    <w:p w14:paraId="1202EC1E" w14:textId="77777777" w:rsidR="003655E7" w:rsidRDefault="00F26B8A">
      <w:pPr>
        <w:spacing w:after="0" w:line="360" w:lineRule="auto"/>
        <w:ind w:right="-93"/>
        <w:jc w:val="both"/>
        <w:rPr>
          <w:rFonts w:ascii="Palatino Linotype" w:eastAsia="Palatino Linotype" w:hAnsi="Palatino Linotype" w:cs="Palatino Linotype"/>
        </w:rPr>
      </w:pPr>
      <w:r>
        <w:rPr>
          <w:rFonts w:ascii="Palatino Linotype" w:eastAsia="Palatino Linotype" w:hAnsi="Palatino Linotype" w:cs="Palatino Linotype"/>
        </w:rPr>
        <w:t>Al respecto preciso señalar que se comparte el sentido de la resolución, ya que del análisis de las constancias que conforman el expediente electrónico, se desprendió que la información que se ordena entregar es susceptible de transparentarse, pues se encuentra relacionada con la gestión pública y con su publicidad se favorece indudablemente a la rendición de cuentas.</w:t>
      </w:r>
    </w:p>
    <w:p w14:paraId="1528F592" w14:textId="77777777" w:rsidR="003655E7" w:rsidRDefault="003655E7">
      <w:pPr>
        <w:spacing w:after="0" w:line="360" w:lineRule="auto"/>
        <w:ind w:right="-93"/>
        <w:jc w:val="both"/>
        <w:rPr>
          <w:rFonts w:ascii="Palatino Linotype" w:eastAsia="Palatino Linotype" w:hAnsi="Palatino Linotype" w:cs="Palatino Linotype"/>
        </w:rPr>
      </w:pPr>
    </w:p>
    <w:p w14:paraId="5F619E21" w14:textId="77777777" w:rsidR="003655E7" w:rsidRDefault="00F26B8A">
      <w:pPr>
        <w:spacing w:after="0" w:line="360" w:lineRule="auto"/>
        <w:ind w:right="142"/>
        <w:jc w:val="both"/>
        <w:rPr>
          <w:rFonts w:ascii="Palatino Linotype" w:eastAsia="Palatino Linotype" w:hAnsi="Palatino Linotype" w:cs="Palatino Linotype"/>
        </w:rPr>
      </w:pPr>
      <w:r>
        <w:rPr>
          <w:rFonts w:ascii="Palatino Linotype" w:eastAsia="Palatino Linotype" w:hAnsi="Palatino Linotype" w:cs="Palatino Linotype"/>
        </w:rPr>
        <w:lastRenderedPageBreak/>
        <w:t>Sin embargo, es preciso mencionar que, el presente voto se formula en relación con los argumentos señalados en la resolución, particularmente respecto a lo siguiente:</w:t>
      </w:r>
    </w:p>
    <w:p w14:paraId="3EFC4BC1" w14:textId="77777777" w:rsidR="003655E7" w:rsidRDefault="003655E7">
      <w:pPr>
        <w:spacing w:after="0" w:line="360" w:lineRule="auto"/>
        <w:ind w:right="142"/>
        <w:jc w:val="both"/>
        <w:rPr>
          <w:rFonts w:ascii="Palatino Linotype" w:eastAsia="Palatino Linotype" w:hAnsi="Palatino Linotype" w:cs="Palatino Linotype"/>
        </w:rPr>
      </w:pPr>
    </w:p>
    <w:p w14:paraId="2EED3550" w14:textId="77777777" w:rsidR="003655E7" w:rsidRDefault="00F26B8A" w:rsidP="00677443">
      <w:pPr>
        <w:pBdr>
          <w:top w:val="nil"/>
          <w:left w:val="nil"/>
          <w:bottom w:val="nil"/>
          <w:right w:val="nil"/>
          <w:between w:val="nil"/>
        </w:pBdr>
        <w:spacing w:after="0" w:line="360" w:lineRule="auto"/>
        <w:ind w:left="720"/>
        <w:jc w:val="both"/>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Certificado de no deudor alimentario.</w:t>
      </w:r>
    </w:p>
    <w:p w14:paraId="5D230445" w14:textId="77777777" w:rsidR="003655E7" w:rsidRDefault="003655E7">
      <w:pPr>
        <w:spacing w:after="0" w:line="360" w:lineRule="auto"/>
        <w:ind w:left="720"/>
        <w:jc w:val="both"/>
        <w:rPr>
          <w:rFonts w:ascii="Palatino Linotype" w:eastAsia="Palatino Linotype" w:hAnsi="Palatino Linotype" w:cs="Palatino Linotype"/>
          <w:b/>
        </w:rPr>
      </w:pPr>
    </w:p>
    <w:p w14:paraId="2367AC7A" w14:textId="77777777" w:rsidR="003655E7" w:rsidRDefault="00F26B8A">
      <w:pPr>
        <w:spacing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Por lo que hace los certificados de no deudor alimentario moroso la suscrita considera que deben ser protegidos mediante su clasificación como confidencial en su totalidad, ello derivado a que el estar inscrito en dicho registro tiene un impacto en la imagen de un servidor público y se trata de un tema estrictamente de carácter personal e incluso de tipo familiar.</w:t>
      </w:r>
    </w:p>
    <w:p w14:paraId="5B507CE4" w14:textId="77777777" w:rsidR="003655E7" w:rsidRDefault="003655E7">
      <w:pPr>
        <w:spacing w:after="0" w:line="360" w:lineRule="auto"/>
        <w:jc w:val="both"/>
        <w:rPr>
          <w:rFonts w:ascii="Palatino Linotype" w:eastAsia="Palatino Linotype" w:hAnsi="Palatino Linotype" w:cs="Palatino Linotype"/>
        </w:rPr>
      </w:pPr>
    </w:p>
    <w:p w14:paraId="39D415FD" w14:textId="77777777" w:rsidR="003655E7" w:rsidRDefault="00F26B8A">
      <w:pPr>
        <w:spacing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Se considera que la información que se ordena, en efecto, da certeza que determinado servidor público cumplió con los requisitos señalados en el artículo 32 de la Ley Orgánica Municipal del Estado de México, pero también lo es que dar a conocer esta información podría vulnerar la vida privada de los servidores públicos. </w:t>
      </w:r>
    </w:p>
    <w:p w14:paraId="185C589D" w14:textId="77777777" w:rsidR="003655E7" w:rsidRDefault="003655E7">
      <w:pPr>
        <w:spacing w:after="0" w:line="360" w:lineRule="auto"/>
        <w:jc w:val="both"/>
        <w:rPr>
          <w:rFonts w:ascii="Palatino Linotype" w:eastAsia="Palatino Linotype" w:hAnsi="Palatino Linotype" w:cs="Palatino Linotype"/>
        </w:rPr>
      </w:pPr>
    </w:p>
    <w:p w14:paraId="29C04060" w14:textId="45330B4B" w:rsidR="003655E7" w:rsidRDefault="00F26B8A">
      <w:pPr>
        <w:spacing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Más aún cuando en </w:t>
      </w:r>
      <w:r w:rsidR="00C90643">
        <w:rPr>
          <w:rFonts w:ascii="Palatino Linotype" w:eastAsia="Palatino Linotype" w:hAnsi="Palatino Linotype" w:cs="Palatino Linotype"/>
        </w:rPr>
        <w:t>el Proyecto</w:t>
      </w:r>
      <w:r>
        <w:rPr>
          <w:rFonts w:ascii="Palatino Linotype" w:eastAsia="Palatino Linotype" w:hAnsi="Palatino Linotype" w:cs="Palatino Linotype"/>
        </w:rPr>
        <w:t xml:space="preserve"> de Decreto por el que se Reforman y Adicionan Diversas Disposiciones para crear el Registro de Deudores Alimentarios del Estado de México, disponible en la dirección electrónica </w:t>
      </w:r>
      <w:hyperlink r:id="rId8">
        <w:r>
          <w:rPr>
            <w:rFonts w:ascii="Palatino Linotype" w:eastAsia="Palatino Linotype" w:hAnsi="Palatino Linotype" w:cs="Palatino Linotype"/>
            <w:color w:val="0563C1"/>
            <w:u w:val="single"/>
          </w:rPr>
          <w:t>https://legislacion.edomex.gob.mx/sites/legislacion.edomex.gob.mx/files/files/pdf/gct/2014/nov144.PDF</w:t>
        </w:r>
      </w:hyperlink>
      <w:r>
        <w:t xml:space="preserve"> </w:t>
      </w:r>
      <w:r>
        <w:rPr>
          <w:rFonts w:ascii="Palatino Linotype" w:eastAsia="Palatino Linotype" w:hAnsi="Palatino Linotype" w:cs="Palatino Linotype"/>
        </w:rPr>
        <w:t xml:space="preserve">pueden advertirse los objetivos de crear dicho registro: </w:t>
      </w:r>
    </w:p>
    <w:p w14:paraId="4F726556" w14:textId="77777777" w:rsidR="003655E7" w:rsidRDefault="003655E7">
      <w:pPr>
        <w:spacing w:after="0" w:line="360" w:lineRule="auto"/>
        <w:jc w:val="both"/>
        <w:rPr>
          <w:rFonts w:ascii="Palatino Linotype" w:eastAsia="Palatino Linotype" w:hAnsi="Palatino Linotype" w:cs="Palatino Linotype"/>
        </w:rPr>
      </w:pPr>
    </w:p>
    <w:p w14:paraId="72A67280" w14:textId="77777777" w:rsidR="003655E7" w:rsidRDefault="00F26B8A">
      <w:pPr>
        <w:spacing w:after="120" w:line="240" w:lineRule="auto"/>
        <w:ind w:left="851" w:right="992"/>
        <w:jc w:val="both"/>
        <w:rPr>
          <w:rFonts w:ascii="Palatino Linotype" w:eastAsia="Palatino Linotype" w:hAnsi="Palatino Linotype" w:cs="Palatino Linotype"/>
          <w:i/>
        </w:rPr>
      </w:pPr>
      <w:r>
        <w:rPr>
          <w:rFonts w:ascii="Palatino Linotype" w:eastAsia="Palatino Linotype" w:hAnsi="Palatino Linotype" w:cs="Palatino Linotype"/>
          <w:i/>
        </w:rPr>
        <w:t xml:space="preserve">“El interés superior del menor debe prevalecer en cualquier controversia de derecho familiar, situación que obliga a las autoridades a establecer las medidas </w:t>
      </w:r>
      <w:r>
        <w:rPr>
          <w:rFonts w:ascii="Palatino Linotype" w:eastAsia="Palatino Linotype" w:hAnsi="Palatino Linotype" w:cs="Palatino Linotype"/>
          <w:i/>
        </w:rPr>
        <w:lastRenderedPageBreak/>
        <w:t>necesarias para asegurar el cumplimiento del pago de la pensión alimenticia decretada a su favor.</w:t>
      </w:r>
    </w:p>
    <w:p w14:paraId="768385AB" w14:textId="77777777" w:rsidR="003655E7" w:rsidRDefault="00F26B8A">
      <w:pPr>
        <w:spacing w:before="120" w:after="120" w:line="240" w:lineRule="auto"/>
        <w:ind w:left="851" w:right="992"/>
        <w:jc w:val="both"/>
        <w:rPr>
          <w:rFonts w:ascii="Palatino Linotype" w:eastAsia="Palatino Linotype" w:hAnsi="Palatino Linotype" w:cs="Palatino Linotype"/>
          <w:i/>
        </w:rPr>
      </w:pPr>
      <w:r>
        <w:rPr>
          <w:rFonts w:ascii="Palatino Linotype" w:eastAsia="Palatino Linotype" w:hAnsi="Palatino Linotype" w:cs="Palatino Linotype"/>
          <w:i/>
        </w:rPr>
        <w:t>De acuerdo a nuestra legislación, el derecho a los alimentos no sólo se comprende el acceso a los productos para la nutrición y alimentación sino también lo relativo a la educación, vivienda, vestido, asistencia médica, recreación, entre otros; aspectos todos que permiten o posibilitan el desarrollo integral de las personas.</w:t>
      </w:r>
    </w:p>
    <w:p w14:paraId="2EABE3FD" w14:textId="77777777" w:rsidR="003655E7" w:rsidRDefault="00F26B8A">
      <w:pPr>
        <w:spacing w:before="120" w:after="120" w:line="240" w:lineRule="auto"/>
        <w:ind w:left="851" w:right="992"/>
        <w:jc w:val="both"/>
        <w:rPr>
          <w:rFonts w:ascii="Palatino Linotype" w:eastAsia="Palatino Linotype" w:hAnsi="Palatino Linotype" w:cs="Palatino Linotype"/>
          <w:i/>
        </w:rPr>
      </w:pPr>
      <w:r>
        <w:rPr>
          <w:rFonts w:ascii="Palatino Linotype" w:eastAsia="Palatino Linotype" w:hAnsi="Palatino Linotype" w:cs="Palatino Linotype"/>
          <w:i/>
        </w:rPr>
        <w:t>En nuestra Entidad, las demandas de alimentos son presentadas en su gran mayoría por mujeres madres de familia que demandan, por su propio derecho y/o en representación de sus menores hijos, de su cónyuge, concubino o ex pareja el cumplimiento de esta obligación. Esto debido a que en ocasiones los obligados a proporcionar alimentos eluden su responsabilidad, con la errónea idea de que será en perjuicio de su pareja o ex pareja, sin entender que son los menores hijos los que resultan más afectados. Así que, al acudir al sistema de justicia se pretende que la pensión alimenticia correspondiente quede fijada definitivamente y se garantice el cumplimiento de la obligación alimentaria.</w:t>
      </w:r>
    </w:p>
    <w:p w14:paraId="135625EC" w14:textId="77777777" w:rsidR="003655E7" w:rsidRDefault="00F26B8A">
      <w:pPr>
        <w:spacing w:before="120" w:after="120" w:line="240" w:lineRule="auto"/>
        <w:ind w:left="851" w:right="992"/>
        <w:jc w:val="both"/>
        <w:rPr>
          <w:rFonts w:ascii="Palatino Linotype" w:eastAsia="Palatino Linotype" w:hAnsi="Palatino Linotype" w:cs="Palatino Linotype"/>
          <w:i/>
        </w:rPr>
      </w:pPr>
      <w:r>
        <w:rPr>
          <w:rFonts w:ascii="Palatino Linotype" w:eastAsia="Palatino Linotype" w:hAnsi="Palatino Linotype" w:cs="Palatino Linotype"/>
          <w:i/>
        </w:rPr>
        <w:t>Los alimentos tienen carácter preferente a favor de los hijos, sin que pueda eximirse el deudor alimentario de su cumplimiento cuando esté en posibilidades de hacerlo. En el Estado de México,</w:t>
      </w:r>
      <w:r>
        <w:rPr>
          <w:rFonts w:ascii="Palatino Linotype" w:eastAsia="Palatino Linotype" w:hAnsi="Palatino Linotype" w:cs="Palatino Linotype"/>
        </w:rPr>
        <w:t xml:space="preserve"> </w:t>
      </w:r>
      <w:r>
        <w:rPr>
          <w:rFonts w:ascii="Palatino Linotype" w:eastAsia="Palatino Linotype" w:hAnsi="Palatino Linotype" w:cs="Palatino Linotype"/>
          <w:i/>
        </w:rPr>
        <w:t>diversos son los instrumentos legales que se tienen para obligar al deudor al pago de alimentos, cuando éstos no se enteran de manera voluntaria, como debe ser el ideal, entre los que destacan: el embargo de bienes, incluyendo, la del salario, así como la pérdida de la patria potestad, contempladas en la legislación civil, sustantiva y adjetiva. También podemos citar, la imposición de la pena de prisión hasta por siete años, por el delito de incumplimiento de obligaciones, previsto en las fracciones II y III, del artículo 217, del Código Penal del Estado de México. Pese a los alcances de estas medidas legales, éstas no han sido suficientes para hacer cumplir a los deudores con sus obligaciones alimentarias.</w:t>
      </w:r>
    </w:p>
    <w:p w14:paraId="6AF98D5F" w14:textId="77777777" w:rsidR="003655E7" w:rsidRDefault="00F26B8A">
      <w:pPr>
        <w:spacing w:before="120" w:after="120" w:line="240" w:lineRule="auto"/>
        <w:ind w:left="851" w:right="992"/>
        <w:jc w:val="both"/>
        <w:rPr>
          <w:rFonts w:ascii="Palatino Linotype" w:eastAsia="Palatino Linotype" w:hAnsi="Palatino Linotype" w:cs="Palatino Linotype"/>
          <w:b/>
          <w:i/>
          <w:u w:val="single"/>
        </w:rPr>
      </w:pPr>
      <w:r>
        <w:rPr>
          <w:rFonts w:ascii="Palatino Linotype" w:eastAsia="Palatino Linotype" w:hAnsi="Palatino Linotype" w:cs="Palatino Linotype"/>
          <w:i/>
        </w:rPr>
        <w:t xml:space="preserve">Por ello, creemos necesario establecer nuevos y diferentes mecanismos que aseguren el pago de los alimentos, para que sean satisfechas las necesidades más básicas, principalmente de los menores, que no pueden allegarse por sí mismos los recursos económicos para la subsistencia. Lo anterior, porque cuando una persona ha logrado satisfacer sus necesidades básicas, entonces está en mejores condiciones para crecer y superarse. En ese sentido, el presente Proyecto de </w:t>
      </w:r>
      <w:r>
        <w:rPr>
          <w:rFonts w:ascii="Palatino Linotype" w:eastAsia="Palatino Linotype" w:hAnsi="Palatino Linotype" w:cs="Palatino Linotype"/>
          <w:i/>
        </w:rPr>
        <w:lastRenderedPageBreak/>
        <w:t xml:space="preserve">Decreto propone la creación del Registro de Deudores Alimentarios del Estado de México (REDAEM), </w:t>
      </w:r>
      <w:r>
        <w:rPr>
          <w:rFonts w:ascii="Palatino Linotype" w:eastAsia="Palatino Linotype" w:hAnsi="Palatino Linotype" w:cs="Palatino Linotype"/>
          <w:b/>
          <w:i/>
          <w:u w:val="single"/>
        </w:rPr>
        <w:t>con la finalidad de asegurar el cumplimiento de las obligaciones alimentarias que tienen los padres para con sus menores hijos.” (Sic)</w:t>
      </w:r>
    </w:p>
    <w:p w14:paraId="02B17006" w14:textId="77777777" w:rsidR="003655E7" w:rsidRDefault="003655E7">
      <w:pPr>
        <w:spacing w:before="120" w:after="120" w:line="240" w:lineRule="auto"/>
        <w:ind w:left="851" w:right="992"/>
        <w:jc w:val="both"/>
        <w:rPr>
          <w:rFonts w:ascii="Palatino Linotype" w:eastAsia="Palatino Linotype" w:hAnsi="Palatino Linotype" w:cs="Palatino Linotype"/>
          <w:i/>
        </w:rPr>
      </w:pPr>
    </w:p>
    <w:p w14:paraId="6C23490E" w14:textId="3E52CF27" w:rsidR="003655E7" w:rsidRDefault="00F26B8A">
      <w:pPr>
        <w:spacing w:before="120"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De lo anterior se desprende que el registro de deudores alimentarios no tiene por objeto su publicidad, sino por el contrario que sea un mecanismo para garantizar que los padres cumplan con su obligación de dar alimentos a los hijos en razón de su protección (interés superior del menor).</w:t>
      </w:r>
    </w:p>
    <w:p w14:paraId="20B684BE" w14:textId="77777777" w:rsidR="003655E7" w:rsidRDefault="003655E7">
      <w:pPr>
        <w:spacing w:after="0" w:line="360" w:lineRule="auto"/>
        <w:jc w:val="both"/>
        <w:rPr>
          <w:rFonts w:ascii="Palatino Linotype" w:eastAsia="Palatino Linotype" w:hAnsi="Palatino Linotype" w:cs="Palatino Linotype"/>
        </w:rPr>
      </w:pPr>
    </w:p>
    <w:p w14:paraId="150F31BC" w14:textId="09E1D640" w:rsidR="003655E7" w:rsidRDefault="00F26B8A">
      <w:pPr>
        <w:spacing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En este sentido, a consideración de la suscrita lo procedente es clasificar el Certificado de no deudor alimentario como </w:t>
      </w:r>
      <w:r>
        <w:rPr>
          <w:rFonts w:ascii="Palatino Linotype" w:eastAsia="Palatino Linotype" w:hAnsi="Palatino Linotype" w:cs="Palatino Linotype"/>
          <w:b/>
        </w:rPr>
        <w:t>información confidencial en su totalidad</w:t>
      </w:r>
      <w:r>
        <w:rPr>
          <w:rFonts w:ascii="Palatino Linotype" w:eastAsia="Palatino Linotype" w:hAnsi="Palatino Linotype" w:cs="Palatino Linotype"/>
        </w:rPr>
        <w:t xml:space="preserve"> en términos del artículo 143, fracción I, de la Ley de Transparencia y Acceso a la Información Pública del Estado de México y Municipios.</w:t>
      </w:r>
    </w:p>
    <w:p w14:paraId="02F3C26E" w14:textId="77777777" w:rsidR="003655E7" w:rsidRDefault="003655E7">
      <w:pPr>
        <w:spacing w:after="0" w:line="360" w:lineRule="auto"/>
        <w:jc w:val="both"/>
        <w:rPr>
          <w:rFonts w:ascii="Palatino Linotype" w:eastAsia="Palatino Linotype" w:hAnsi="Palatino Linotype" w:cs="Palatino Linotype"/>
        </w:rPr>
      </w:pPr>
    </w:p>
    <w:p w14:paraId="5C76B43A" w14:textId="77777777" w:rsidR="003655E7" w:rsidRDefault="00F26B8A">
      <w:pPr>
        <w:spacing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Lo anterior se estima así, ya que el clasificar en su totalidad esta información de igual forma da certeza del cumplimiento del requisito que establece la normativa para ostentar un cargo público, asimismo, de que el documento respectivo obra en los archivos del </w:t>
      </w:r>
      <w:r>
        <w:rPr>
          <w:rFonts w:ascii="Palatino Linotype" w:eastAsia="Palatino Linotype" w:hAnsi="Palatino Linotype" w:cs="Palatino Linotype"/>
          <w:b/>
        </w:rPr>
        <w:t xml:space="preserve">Sujeto Obligado, </w:t>
      </w:r>
      <w:r>
        <w:rPr>
          <w:rFonts w:ascii="Palatino Linotype" w:eastAsia="Palatino Linotype" w:hAnsi="Palatino Linotype" w:cs="Palatino Linotype"/>
        </w:rPr>
        <w:t>toda vez que la clasificación y la inexistencia no pueden coexistir.</w:t>
      </w:r>
    </w:p>
    <w:p w14:paraId="50ECECBD" w14:textId="77777777" w:rsidR="003655E7" w:rsidRDefault="003655E7">
      <w:pPr>
        <w:spacing w:after="0" w:line="360" w:lineRule="auto"/>
        <w:jc w:val="both"/>
        <w:rPr>
          <w:rFonts w:ascii="Palatino Linotype" w:eastAsia="Palatino Linotype" w:hAnsi="Palatino Linotype" w:cs="Palatino Linotype"/>
        </w:rPr>
      </w:pPr>
    </w:p>
    <w:p w14:paraId="2C42ED12" w14:textId="77777777" w:rsidR="003655E7" w:rsidRDefault="00F26B8A">
      <w:pPr>
        <w:spacing w:after="0" w:line="360" w:lineRule="auto"/>
        <w:jc w:val="both"/>
        <w:rPr>
          <w:rFonts w:ascii="Palatino Linotype" w:eastAsia="Palatino Linotype" w:hAnsi="Palatino Linotype" w:cs="Palatino Linotype"/>
        </w:rPr>
      </w:pPr>
      <w:r>
        <w:rPr>
          <w:rFonts w:ascii="Palatino Linotype" w:eastAsia="Palatino Linotype" w:hAnsi="Palatino Linotype" w:cs="Palatino Linotype"/>
        </w:rPr>
        <w:t xml:space="preserve">A efecto de robustecer lo anterior, sirve de sustento el criterio orientador 29/10 emitido por el entonces Instituto Nacional de Transparencia, Acceso a la Información y Protección de Datos Personales, INAI, el cual refiere lo siguiente: </w:t>
      </w:r>
    </w:p>
    <w:p w14:paraId="1E8DA049" w14:textId="77777777" w:rsidR="003655E7" w:rsidRDefault="003655E7">
      <w:pPr>
        <w:spacing w:after="0" w:line="360" w:lineRule="auto"/>
        <w:jc w:val="both"/>
        <w:rPr>
          <w:rFonts w:ascii="Palatino Linotype" w:eastAsia="Palatino Linotype" w:hAnsi="Palatino Linotype" w:cs="Palatino Linotype"/>
        </w:rPr>
      </w:pPr>
    </w:p>
    <w:p w14:paraId="3A4AD4B4" w14:textId="77777777" w:rsidR="003655E7" w:rsidRDefault="00F26B8A">
      <w:pPr>
        <w:tabs>
          <w:tab w:val="left" w:pos="851"/>
        </w:tabs>
        <w:spacing w:after="120" w:line="240" w:lineRule="auto"/>
        <w:ind w:left="851" w:right="902"/>
        <w:jc w:val="both"/>
        <w:rPr>
          <w:rFonts w:ascii="Palatino Linotype" w:eastAsia="Palatino Linotype" w:hAnsi="Palatino Linotype" w:cs="Palatino Linotype"/>
          <w:i/>
        </w:rPr>
      </w:pPr>
      <w:bookmarkStart w:id="1" w:name="_heading=h.ncm6shj2hfn1" w:colFirst="0" w:colLast="0"/>
      <w:bookmarkEnd w:id="1"/>
      <w:r>
        <w:rPr>
          <w:rFonts w:ascii="Palatino Linotype" w:eastAsia="Palatino Linotype" w:hAnsi="Palatino Linotype" w:cs="Palatino Linotype"/>
          <w:i/>
        </w:rPr>
        <w:lastRenderedPageBreak/>
        <w:t xml:space="preserve"> “</w:t>
      </w:r>
      <w:r>
        <w:rPr>
          <w:rFonts w:ascii="Palatino Linotype" w:eastAsia="Palatino Linotype" w:hAnsi="Palatino Linotype" w:cs="Palatino Linotype"/>
          <w:b/>
          <w:i/>
        </w:rPr>
        <w:t>La clasificación y la inexistencia de información son conceptos que no pueden coexistir</w:t>
      </w:r>
      <w:r>
        <w:rPr>
          <w:rFonts w:ascii="Palatino Linotype" w:eastAsia="Palatino Linotype" w:hAnsi="Palatino Linotype" w:cs="Palatino Linotype"/>
          <w:i/>
        </w:rPr>
        <w:t xml:space="preserve">. La inexistencia implica necesariamente que la información no se encuentra en los archivos de la autoridad, no obstante que la dependencia o entidad cuente con facultades para poseer dicha información. En este sentido, la inexistencia es una calidad que se atribuye a la información solicitada. Por su parte, la clasificación es una característica que adquiere la información concreta contenida en un documento específico, siempre que se encuentre en los supuestos establecidos en los artículos 13 y 14 de la Ley Federal de Transparencia y Acceso a la Información Pública Gubernamental, para el caso de la información reservada, y 18 del mismo ordenamiento, para el caso de la información confidencial. Por lo anterior, la clasificación y la inexistencia no coexisten entre sí, en virtud de que la clasificación de información implica invariablemente la existencia de un documento o documentos determinados mientras que la inexistencia conlleva la ausencia de los mismos en los archivos de la dependencia o entidad de que se trate." </w:t>
      </w:r>
    </w:p>
    <w:p w14:paraId="5013CAC8" w14:textId="6CEA658F" w:rsidR="00F504FF" w:rsidRDefault="00F26B8A">
      <w:pPr>
        <w:tabs>
          <w:tab w:val="left" w:pos="4962"/>
        </w:tabs>
        <w:spacing w:before="240" w:after="240" w:line="360" w:lineRule="auto"/>
        <w:jc w:val="both"/>
        <w:rPr>
          <w:rFonts w:ascii="Palatino Linotype" w:eastAsia="Palatino Linotype" w:hAnsi="Palatino Linotype" w:cs="Palatino Linotype"/>
          <w:b/>
        </w:rPr>
      </w:pPr>
      <w:r>
        <w:rPr>
          <w:rFonts w:ascii="Palatino Linotype" w:eastAsia="Palatino Linotype" w:hAnsi="Palatino Linotype" w:cs="Palatino Linotype"/>
        </w:rPr>
        <w:t xml:space="preserve">Es por las razones antes expuestas que no comparto, que se ordene el </w:t>
      </w:r>
      <w:r>
        <w:rPr>
          <w:rFonts w:ascii="Palatino Linotype" w:eastAsia="Palatino Linotype" w:hAnsi="Palatino Linotype" w:cs="Palatino Linotype"/>
          <w:b/>
          <w:u w:val="single"/>
        </w:rPr>
        <w:t>certificado de no deudor alimentario</w:t>
      </w:r>
      <w:r>
        <w:rPr>
          <w:rFonts w:ascii="Palatino Linotype" w:eastAsia="Palatino Linotype" w:hAnsi="Palatino Linotype" w:cs="Palatino Linotype"/>
        </w:rPr>
        <w:t xml:space="preserve">, pues se estima que se actualiza la causal de clasificación establecida en el artículo 143, fracción I, de la Ley de la Ley de Transparencia y Acceso a la Información Pública del Estado de México y Municipios, y, por </w:t>
      </w:r>
      <w:r w:rsidR="00677443">
        <w:rPr>
          <w:rFonts w:ascii="Palatino Linotype" w:eastAsia="Palatino Linotype" w:hAnsi="Palatino Linotype" w:cs="Palatino Linotype"/>
        </w:rPr>
        <w:t>ende,</w:t>
      </w:r>
      <w:r>
        <w:rPr>
          <w:rFonts w:ascii="Palatino Linotype" w:eastAsia="Palatino Linotype" w:hAnsi="Palatino Linotype" w:cs="Palatino Linotype"/>
        </w:rPr>
        <w:t xml:space="preserve"> se emite el presente </w:t>
      </w:r>
      <w:r>
        <w:rPr>
          <w:rFonts w:ascii="Palatino Linotype" w:eastAsia="Palatino Linotype" w:hAnsi="Palatino Linotype" w:cs="Palatino Linotype"/>
          <w:b/>
        </w:rPr>
        <w:t>Voto particular.</w:t>
      </w:r>
    </w:p>
    <w:p w14:paraId="6FA52364" w14:textId="77777777" w:rsidR="0021608A" w:rsidRDefault="0021608A" w:rsidP="0021608A">
      <w:pPr>
        <w:jc w:val="center"/>
        <w:rPr>
          <w:rFonts w:ascii="Palatino Linotype" w:hAnsi="Palatino Linotype"/>
          <w:b/>
        </w:rPr>
      </w:pPr>
      <w:r>
        <w:rPr>
          <w:rFonts w:ascii="Palatino Linotype" w:hAnsi="Palatino Linotype"/>
          <w:b/>
        </w:rPr>
        <w:t>Guadalupe Ramírez Peña</w:t>
      </w:r>
    </w:p>
    <w:p w14:paraId="2D4B9AF5" w14:textId="77777777" w:rsidR="0021608A" w:rsidRDefault="0021608A" w:rsidP="0021608A">
      <w:pPr>
        <w:jc w:val="center"/>
        <w:rPr>
          <w:rFonts w:ascii="Palatino Linotype" w:hAnsi="Palatino Linotype"/>
          <w:b/>
        </w:rPr>
      </w:pPr>
      <w:r>
        <w:rPr>
          <w:rFonts w:ascii="Palatino Linotype" w:hAnsi="Palatino Linotype"/>
          <w:b/>
        </w:rPr>
        <w:t xml:space="preserve">Comisionada </w:t>
      </w:r>
    </w:p>
    <w:p w14:paraId="09D3D306" w14:textId="09A379FB" w:rsidR="0021608A" w:rsidRDefault="0021608A" w:rsidP="00BA30E9">
      <w:pPr>
        <w:jc w:val="center"/>
        <w:rPr>
          <w:rFonts w:ascii="Palatino Linotype" w:eastAsia="Palatino Linotype" w:hAnsi="Palatino Linotype" w:cs="Palatino Linotype"/>
          <w:b/>
        </w:rPr>
      </w:pPr>
      <w:r>
        <w:rPr>
          <w:rFonts w:ascii="Palatino Linotype" w:hAnsi="Palatino Linotype"/>
          <w:b/>
        </w:rPr>
        <w:t>(Rúbric</w:t>
      </w:r>
      <w:bookmarkStart w:id="2" w:name="_heading=h.2et92p0" w:colFirst="0" w:colLast="0"/>
      <w:bookmarkEnd w:id="2"/>
      <w:r>
        <w:rPr>
          <w:rFonts w:ascii="Palatino Linotype" w:hAnsi="Palatino Linotype"/>
          <w:b/>
        </w:rPr>
        <w:t>a</w:t>
      </w:r>
      <w:r w:rsidR="00BA30E9">
        <w:rPr>
          <w:rFonts w:ascii="Palatino Linotype" w:hAnsi="Palatino Linotype"/>
          <w:b/>
        </w:rPr>
        <w:t>)</w:t>
      </w:r>
    </w:p>
    <w:sectPr w:rsidR="0021608A" w:rsidSect="00F91AA3">
      <w:headerReference w:type="default" r:id="rId9"/>
      <w:pgSz w:w="12240" w:h="15840"/>
      <w:pgMar w:top="2693" w:right="1327" w:bottom="2835" w:left="1985" w:header="709" w:footer="5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DA57D" w14:textId="77777777" w:rsidR="00BA77A0" w:rsidRDefault="00BA77A0">
      <w:pPr>
        <w:spacing w:after="0" w:line="240" w:lineRule="auto"/>
      </w:pPr>
      <w:r>
        <w:separator/>
      </w:r>
    </w:p>
  </w:endnote>
  <w:endnote w:type="continuationSeparator" w:id="0">
    <w:p w14:paraId="6863C724" w14:textId="77777777" w:rsidR="00BA77A0" w:rsidRDefault="00BA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03DA" w14:textId="77777777" w:rsidR="00BA77A0" w:rsidRDefault="00BA77A0">
      <w:pPr>
        <w:spacing w:after="0" w:line="240" w:lineRule="auto"/>
      </w:pPr>
      <w:r>
        <w:separator/>
      </w:r>
    </w:p>
  </w:footnote>
  <w:footnote w:type="continuationSeparator" w:id="0">
    <w:p w14:paraId="06276F25" w14:textId="77777777" w:rsidR="00BA77A0" w:rsidRDefault="00BA7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1BA0" w14:textId="77777777" w:rsidR="003655E7" w:rsidRDefault="00F26B8A">
    <w:pPr>
      <w:pBdr>
        <w:top w:val="nil"/>
        <w:left w:val="nil"/>
        <w:bottom w:val="nil"/>
        <w:right w:val="nil"/>
        <w:between w:val="nil"/>
      </w:pBdr>
      <w:tabs>
        <w:tab w:val="center" w:pos="4419"/>
        <w:tab w:val="right" w:pos="8838"/>
      </w:tabs>
      <w:spacing w:after="0" w:line="240" w:lineRule="auto"/>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VOTO PARTICULAR</w:t>
    </w:r>
    <w:r>
      <w:rPr>
        <w:noProof/>
      </w:rPr>
      <w:drawing>
        <wp:anchor distT="0" distB="0" distL="0" distR="0" simplePos="0" relativeHeight="251659264" behindDoc="1" locked="0" layoutInCell="1" hidden="0" allowOverlap="1" wp14:anchorId="301CA560" wp14:editId="56012B9D">
          <wp:simplePos x="0" y="0"/>
          <wp:positionH relativeFrom="column">
            <wp:posOffset>-1260473</wp:posOffset>
          </wp:positionH>
          <wp:positionV relativeFrom="paragraph">
            <wp:posOffset>-235582</wp:posOffset>
          </wp:positionV>
          <wp:extent cx="7521053" cy="9897494"/>
          <wp:effectExtent l="0" t="0" r="0" b="0"/>
          <wp:wrapNone/>
          <wp:docPr id="27164074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21053" cy="9897494"/>
                  </a:xfrm>
                  <a:prstGeom prst="rect">
                    <a:avLst/>
                  </a:prstGeom>
                  <a:ln/>
                </pic:spPr>
              </pic:pic>
            </a:graphicData>
          </a:graphic>
        </wp:anchor>
      </w:drawing>
    </w:r>
  </w:p>
  <w:p w14:paraId="67D4B7A5" w14:textId="7BE5539C" w:rsidR="002D4A73" w:rsidRDefault="00F26B8A" w:rsidP="002D4A73">
    <w:pPr>
      <w:pBdr>
        <w:top w:val="nil"/>
        <w:left w:val="nil"/>
        <w:bottom w:val="nil"/>
        <w:right w:val="nil"/>
        <w:between w:val="nil"/>
      </w:pBdr>
      <w:tabs>
        <w:tab w:val="center" w:pos="4419"/>
        <w:tab w:val="right" w:pos="8838"/>
      </w:tabs>
      <w:spacing w:after="0" w:line="240" w:lineRule="auto"/>
      <w:ind w:left="2552"/>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   </w:t>
    </w:r>
    <w:r w:rsidR="00160060">
      <w:rPr>
        <w:rFonts w:ascii="Palatino Linotype" w:eastAsia="Palatino Linotype" w:hAnsi="Palatino Linotype" w:cs="Palatino Linotype"/>
        <w:b/>
        <w:color w:val="000000"/>
        <w:sz w:val="20"/>
        <w:szCs w:val="20"/>
      </w:rPr>
      <w:t xml:space="preserve">   </w:t>
    </w:r>
    <w:r w:rsidR="002D4A73">
      <w:rPr>
        <w:rFonts w:ascii="Palatino Linotype" w:eastAsia="Palatino Linotype" w:hAnsi="Palatino Linotype" w:cs="Palatino Linotype"/>
        <w:b/>
        <w:color w:val="000000"/>
        <w:sz w:val="20"/>
        <w:szCs w:val="20"/>
      </w:rPr>
      <w:t>Recurso de Revisión: 0</w:t>
    </w:r>
    <w:r w:rsidR="009E6480">
      <w:rPr>
        <w:rFonts w:ascii="Palatino Linotype" w:eastAsia="Palatino Linotype" w:hAnsi="Palatino Linotype" w:cs="Palatino Linotype"/>
        <w:b/>
        <w:color w:val="000000"/>
        <w:sz w:val="20"/>
        <w:szCs w:val="20"/>
      </w:rPr>
      <w:t>6609</w:t>
    </w:r>
    <w:r w:rsidR="002D4A73">
      <w:rPr>
        <w:rFonts w:ascii="Palatino Linotype" w:eastAsia="Palatino Linotype" w:hAnsi="Palatino Linotype" w:cs="Palatino Linotype"/>
        <w:b/>
        <w:color w:val="000000"/>
        <w:sz w:val="20"/>
        <w:szCs w:val="20"/>
      </w:rPr>
      <w:t xml:space="preserve">/INFOEM/IP/RR/2026 </w:t>
    </w:r>
  </w:p>
  <w:p w14:paraId="66961825" w14:textId="404D7C8B" w:rsidR="002D4A73" w:rsidRDefault="002D4A73" w:rsidP="002D4A73">
    <w:pPr>
      <w:pBdr>
        <w:top w:val="nil"/>
        <w:left w:val="nil"/>
        <w:bottom w:val="nil"/>
        <w:right w:val="nil"/>
        <w:between w:val="nil"/>
      </w:pBdr>
      <w:tabs>
        <w:tab w:val="center" w:pos="4419"/>
        <w:tab w:val="right" w:pos="8838"/>
      </w:tabs>
      <w:spacing w:after="0" w:line="240" w:lineRule="auto"/>
      <w:ind w:left="2552"/>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Sujeto Obligado: </w:t>
    </w:r>
    <w:r w:rsidR="009E6480" w:rsidRPr="009E6480">
      <w:rPr>
        <w:rFonts w:ascii="Palatino Linotype" w:eastAsia="Palatino Linotype" w:hAnsi="Palatino Linotype" w:cs="Palatino Linotype"/>
        <w:b/>
        <w:color w:val="000000"/>
        <w:sz w:val="20"/>
        <w:szCs w:val="20"/>
      </w:rPr>
      <w:t>Ayuntamiento de Toluca</w:t>
    </w:r>
  </w:p>
  <w:p w14:paraId="48950383" w14:textId="173F8FE8" w:rsidR="003655E7" w:rsidRDefault="002D4A73" w:rsidP="002D4A73">
    <w:pPr>
      <w:pBdr>
        <w:top w:val="nil"/>
        <w:left w:val="nil"/>
        <w:bottom w:val="nil"/>
        <w:right w:val="nil"/>
        <w:between w:val="nil"/>
      </w:pBdr>
      <w:tabs>
        <w:tab w:val="center" w:pos="4419"/>
        <w:tab w:val="right" w:pos="8838"/>
      </w:tabs>
      <w:spacing w:after="0" w:line="240" w:lineRule="auto"/>
      <w:ind w:left="2552"/>
      <w:jc w:val="right"/>
      <w:rPr>
        <w:rFonts w:ascii="Palatino Linotype" w:eastAsia="Palatino Linotype" w:hAnsi="Palatino Linotype" w:cs="Palatino Linotype"/>
        <w:b/>
        <w:color w:val="000000"/>
        <w:sz w:val="21"/>
        <w:szCs w:val="21"/>
      </w:rPr>
    </w:pPr>
    <w:r>
      <w:rPr>
        <w:rFonts w:ascii="Palatino Linotype" w:eastAsia="Palatino Linotype" w:hAnsi="Palatino Linotype" w:cs="Palatino Linotype"/>
        <w:b/>
        <w:color w:val="000000"/>
        <w:sz w:val="20"/>
        <w:szCs w:val="20"/>
      </w:rPr>
      <w:t xml:space="preserve">Comisionada Ponente: </w:t>
    </w:r>
    <w:r w:rsidR="009E6480" w:rsidRPr="009E6480">
      <w:rPr>
        <w:rFonts w:ascii="Palatino Linotype" w:eastAsia="Palatino Linotype" w:hAnsi="Palatino Linotype" w:cs="Palatino Linotype"/>
        <w:b/>
        <w:color w:val="000000"/>
        <w:sz w:val="20"/>
        <w:szCs w:val="20"/>
      </w:rPr>
      <w:t>Guadalupe Ramírez Peña</w:t>
    </w:r>
  </w:p>
  <w:p w14:paraId="17B48C83" w14:textId="77777777" w:rsidR="003655E7" w:rsidRDefault="003655E7">
    <w:pPr>
      <w:pBdr>
        <w:top w:val="nil"/>
        <w:left w:val="nil"/>
        <w:bottom w:val="nil"/>
        <w:right w:val="nil"/>
        <w:between w:val="nil"/>
      </w:pBdr>
      <w:tabs>
        <w:tab w:val="center" w:pos="4419"/>
        <w:tab w:val="right" w:pos="8838"/>
      </w:tabs>
      <w:spacing w:after="0" w:line="240" w:lineRule="auto"/>
      <w:ind w:left="2552"/>
      <w:jc w:val="right"/>
      <w:rPr>
        <w:rFonts w:ascii="Arial" w:eastAsia="Arial" w:hAnsi="Arial" w:cs="Arial"/>
        <w:color w:val="000000"/>
        <w:sz w:val="20"/>
        <w:szCs w:val="20"/>
      </w:rPr>
    </w:pPr>
  </w:p>
  <w:p w14:paraId="047F41DA" w14:textId="77777777" w:rsidR="003655E7" w:rsidRDefault="003655E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p>
  <w:p w14:paraId="210E0DE1" w14:textId="77777777" w:rsidR="003655E7" w:rsidRDefault="003655E7">
    <w:pPr>
      <w:pBdr>
        <w:top w:val="nil"/>
        <w:left w:val="nil"/>
        <w:bottom w:val="nil"/>
        <w:right w:val="nil"/>
        <w:between w:val="nil"/>
      </w:pBdr>
      <w:tabs>
        <w:tab w:val="center" w:pos="4419"/>
        <w:tab w:val="right" w:pos="8838"/>
      </w:tabs>
      <w:spacing w:after="0" w:line="240" w:lineRule="auto"/>
      <w:jc w:val="right"/>
      <w:rPr>
        <w:rFonts w:ascii="Palatino Linotype" w:eastAsia="Palatino Linotype" w:hAnsi="Palatino Linotype" w:cs="Palatino Linotype"/>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60E07"/>
    <w:multiLevelType w:val="multilevel"/>
    <w:tmpl w:val="CC7C5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31814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5E7"/>
    <w:rsid w:val="00034F24"/>
    <w:rsid w:val="000E2091"/>
    <w:rsid w:val="00160060"/>
    <w:rsid w:val="00170A6C"/>
    <w:rsid w:val="00204AEE"/>
    <w:rsid w:val="0021608A"/>
    <w:rsid w:val="0023244C"/>
    <w:rsid w:val="00236AE1"/>
    <w:rsid w:val="00245812"/>
    <w:rsid w:val="002D4A73"/>
    <w:rsid w:val="003655E7"/>
    <w:rsid w:val="00427DC8"/>
    <w:rsid w:val="004B23EE"/>
    <w:rsid w:val="004F1579"/>
    <w:rsid w:val="00540F5B"/>
    <w:rsid w:val="00586C2F"/>
    <w:rsid w:val="00677443"/>
    <w:rsid w:val="00677D3B"/>
    <w:rsid w:val="00684939"/>
    <w:rsid w:val="007A3E1D"/>
    <w:rsid w:val="00805430"/>
    <w:rsid w:val="00846493"/>
    <w:rsid w:val="009E6480"/>
    <w:rsid w:val="009F1CEF"/>
    <w:rsid w:val="00A066E5"/>
    <w:rsid w:val="00A21AA1"/>
    <w:rsid w:val="00AC3AC6"/>
    <w:rsid w:val="00BA30E9"/>
    <w:rsid w:val="00BA77A0"/>
    <w:rsid w:val="00BD166D"/>
    <w:rsid w:val="00C506F7"/>
    <w:rsid w:val="00C90643"/>
    <w:rsid w:val="00DB40EF"/>
    <w:rsid w:val="00E616EF"/>
    <w:rsid w:val="00E7161C"/>
    <w:rsid w:val="00E83C74"/>
    <w:rsid w:val="00E84F57"/>
    <w:rsid w:val="00EB0920"/>
    <w:rsid w:val="00F26B8A"/>
    <w:rsid w:val="00F504FF"/>
    <w:rsid w:val="00F87526"/>
    <w:rsid w:val="00F91A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6F79E"/>
  <w15:docId w15:val="{89D224D2-D3CC-44CC-A403-FACB4BEB8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7BA"/>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0607BA"/>
    <w:pPr>
      <w:tabs>
        <w:tab w:val="center" w:pos="4419"/>
        <w:tab w:val="right" w:pos="8838"/>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uiPriority w:val="99"/>
    <w:rsid w:val="000607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07BA"/>
    <w:pPr>
      <w:tabs>
        <w:tab w:val="center" w:pos="4419"/>
        <w:tab w:val="right" w:pos="8838"/>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uiPriority w:val="99"/>
    <w:rsid w:val="000607BA"/>
    <w:rPr>
      <w:rFonts w:ascii="Times New Roman" w:eastAsia="Times New Roman" w:hAnsi="Times New Roman" w:cs="Times New Roman"/>
      <w:sz w:val="24"/>
      <w:szCs w:val="24"/>
      <w:lang w:val="es-ES" w:eastAsia="es-ES"/>
    </w:rPr>
  </w:style>
  <w:style w:type="paragraph" w:styleId="NormalWeb">
    <w:name w:val="Normal (Web)"/>
    <w:basedOn w:val="Normal"/>
    <w:uiPriority w:val="99"/>
    <w:rsid w:val="000607B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607BA"/>
    <w:pPr>
      <w:spacing w:after="0" w:line="240" w:lineRule="auto"/>
      <w:ind w:left="720"/>
      <w:contextualSpacing/>
    </w:pPr>
    <w:rPr>
      <w:rFonts w:ascii="Times New Roman" w:hAnsi="Times New Roman" w:cs="Times New Roman"/>
      <w:sz w:val="24"/>
      <w:szCs w:val="24"/>
      <w:lang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607BA"/>
    <w:rPr>
      <w:rFonts w:ascii="Times New Roman" w:eastAsia="Calibri" w:hAnsi="Times New Roman" w:cs="Times New Roman"/>
      <w:sz w:val="24"/>
      <w:szCs w:val="24"/>
      <w:lang w:val="es-ES" w:eastAsia="es-ES"/>
    </w:rPr>
  </w:style>
  <w:style w:type="paragraph" w:styleId="Textodeglobo">
    <w:name w:val="Balloon Text"/>
    <w:basedOn w:val="Normal"/>
    <w:link w:val="TextodegloboCar"/>
    <w:uiPriority w:val="99"/>
    <w:semiHidden/>
    <w:unhideWhenUsed/>
    <w:rsid w:val="0045646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6467"/>
    <w:rPr>
      <w:rFonts w:ascii="Segoe UI" w:hAnsi="Segoe UI" w:cs="Segoe UI"/>
      <w:sz w:val="18"/>
      <w:szCs w:val="18"/>
    </w:rPr>
  </w:style>
  <w:style w:type="character" w:customStyle="1" w:styleId="apple-converted-space">
    <w:name w:val="apple-converted-space"/>
    <w:basedOn w:val="Fuentedeprrafopredeter"/>
    <w:rsid w:val="002618A9"/>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921613"/>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921613"/>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921613"/>
    <w:rPr>
      <w:vertAlign w:val="superscript"/>
    </w:rPr>
  </w:style>
  <w:style w:type="character" w:styleId="Hipervnculo">
    <w:name w:val="Hyperlink"/>
    <w:basedOn w:val="Fuentedeprrafopredeter"/>
    <w:uiPriority w:val="99"/>
    <w:unhideWhenUsed/>
    <w:rsid w:val="00696A57"/>
    <w:rPr>
      <w:color w:val="0000FF"/>
      <w:u w:val="single"/>
    </w:rPr>
  </w:style>
  <w:style w:type="paragraph" w:customStyle="1" w:styleId="paragraph">
    <w:name w:val="paragraph"/>
    <w:basedOn w:val="Normal"/>
    <w:rsid w:val="00C964CC"/>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aconcuadrcula1">
    <w:name w:val="Tabla con cuadrícula1"/>
    <w:basedOn w:val="Tablanormal"/>
    <w:next w:val="Tablaconcuadrcula"/>
    <w:uiPriority w:val="59"/>
    <w:rsid w:val="00C964CC"/>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39"/>
    <w:rsid w:val="00C96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Fundamentos">
    <w:name w:val="Fundamentos"/>
    <w:basedOn w:val="Normal"/>
    <w:qFormat/>
    <w:rsid w:val="00DB4997"/>
    <w:pPr>
      <w:pBdr>
        <w:top w:val="nil"/>
        <w:left w:val="nil"/>
        <w:bottom w:val="nil"/>
        <w:right w:val="nil"/>
        <w:between w:val="nil"/>
      </w:pBdr>
      <w:spacing w:after="0" w:line="240" w:lineRule="auto"/>
      <w:ind w:left="567" w:right="567"/>
      <w:contextualSpacing/>
      <w:jc w:val="both"/>
    </w:pPr>
    <w:rPr>
      <w:rFonts w:ascii="Palatino Linotype" w:eastAsia="Palatino Linotype" w:hAnsi="Palatino Linotype" w:cs="Palatino Linotype"/>
      <w:i/>
      <w:color w:val="000000"/>
      <w:szCs w:val="24"/>
      <w:lang w:val="es-ES_tradnl"/>
    </w:rPr>
  </w:style>
  <w:style w:type="paragraph" w:styleId="Sinespaciado">
    <w:name w:val="No Spacing"/>
    <w:aliases w:val="Francesa,INAI"/>
    <w:link w:val="SinespaciadoCar"/>
    <w:uiPriority w:val="1"/>
    <w:qFormat/>
    <w:rsid w:val="00515C3E"/>
    <w:pPr>
      <w:spacing w:after="0" w:line="240" w:lineRule="auto"/>
      <w:ind w:left="567" w:right="567"/>
      <w:jc w:val="both"/>
    </w:pPr>
    <w:rPr>
      <w:rFonts w:ascii="Arial" w:eastAsia="Batang" w:hAnsi="Arial" w:cs="Times New Roman"/>
      <w:sz w:val="20"/>
      <w:szCs w:val="24"/>
      <w:lang w:val="es-MX" w:eastAsia="es-ES"/>
    </w:rPr>
  </w:style>
  <w:style w:type="character" w:customStyle="1" w:styleId="SinespaciadoCar">
    <w:name w:val="Sin espaciado Car"/>
    <w:aliases w:val="Francesa Car,INAI Car"/>
    <w:basedOn w:val="Fuentedeprrafopredeter"/>
    <w:link w:val="Sinespaciado"/>
    <w:uiPriority w:val="1"/>
    <w:qFormat/>
    <w:rsid w:val="00515C3E"/>
    <w:rPr>
      <w:rFonts w:ascii="Arial" w:eastAsia="Batang" w:hAnsi="Arial" w:cs="Times New Roman"/>
      <w:sz w:val="20"/>
      <w:szCs w:val="24"/>
      <w:lang w:val="es-MX" w:eastAsia="es-ES"/>
    </w:rPr>
  </w:style>
  <w:style w:type="paragraph" w:customStyle="1" w:styleId="Citas">
    <w:name w:val="Citas"/>
    <w:basedOn w:val="Normal"/>
    <w:qFormat/>
    <w:rsid w:val="00537CBA"/>
    <w:pPr>
      <w:spacing w:before="240" w:line="360" w:lineRule="auto"/>
      <w:ind w:left="851" w:right="851"/>
      <w:jc w:val="both"/>
    </w:pPr>
    <w:rPr>
      <w:rFonts w:ascii="Palatino Linotype" w:eastAsiaTheme="minorHAnsi" w:hAnsi="Palatino Linotype" w:cs="Arial"/>
      <w:i/>
      <w:lang w:val="es-MX" w:eastAsia="en-US"/>
    </w:rPr>
  </w:style>
  <w:style w:type="character" w:styleId="Refdecomentario">
    <w:name w:val="annotation reference"/>
    <w:basedOn w:val="Fuentedeprrafopredeter"/>
    <w:uiPriority w:val="99"/>
    <w:semiHidden/>
    <w:unhideWhenUsed/>
    <w:rsid w:val="00537CB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005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cion.edomex.gob.mx/sites/legislacion.edomex.gob.mx/files/files/pdf/gct/2014/nov144.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YsmrAci1LtmnEOtMbeS6nyLyug==">CgMxLjAyCGguZ2pkZ3hzMg5oLnNlem5rMHYza3dkcDIOaC54ZXpyMG9rZDU3dG4yDmgubmNtNnNoajJoZm4xMgloLjJldDkycDA4AHIhMXJIb0JxMkpuTjVwcmpxTWlCWnpKaklsOEx5YU9mNmN0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1305</Words>
  <Characters>7178</Characters>
  <Application>Microsoft Office Word</Application>
  <DocSecurity>0</DocSecurity>
  <Lines>59</Lines>
  <Paragraphs>16</Paragraphs>
  <ScaleCrop>false</ScaleCrop>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Infoem Soporte</cp:lastModifiedBy>
  <cp:revision>12</cp:revision>
  <cp:lastPrinted>2025-04-28T16:36:00Z</cp:lastPrinted>
  <dcterms:created xsi:type="dcterms:W3CDTF">2026-01-26T15:41:00Z</dcterms:created>
  <dcterms:modified xsi:type="dcterms:W3CDTF">2026-08-18T00:01:00Z</dcterms:modified>
</cp:coreProperties>
</file>