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B5B" w:rsidRPr="006051D0" w:rsidRDefault="000637F7">
      <w:pPr>
        <w:keepNext/>
        <w:keepLines/>
        <w:pBdr>
          <w:top w:val="nil"/>
          <w:left w:val="nil"/>
          <w:bottom w:val="nil"/>
          <w:right w:val="nil"/>
          <w:between w:val="nil"/>
        </w:pBdr>
        <w:spacing w:before="240" w:line="259" w:lineRule="auto"/>
        <w:jc w:val="left"/>
        <w:rPr>
          <w:rFonts w:ascii="Calibri" w:eastAsia="Calibri" w:hAnsi="Calibri" w:cs="Calibri"/>
          <w:color w:val="366091"/>
          <w:sz w:val="32"/>
          <w:szCs w:val="32"/>
        </w:rPr>
      </w:pPr>
      <w:r w:rsidRPr="006051D0">
        <w:rPr>
          <w:rFonts w:ascii="Calibri" w:eastAsia="Calibri" w:hAnsi="Calibri" w:cs="Calibri"/>
          <w:color w:val="366091"/>
          <w:sz w:val="32"/>
          <w:szCs w:val="32"/>
        </w:rPr>
        <w:t>Contenido</w:t>
      </w:r>
    </w:p>
    <w:sdt>
      <w:sdtPr>
        <w:id w:val="-513261921"/>
        <w:docPartObj>
          <w:docPartGallery w:val="Table of Contents"/>
          <w:docPartUnique/>
        </w:docPartObj>
      </w:sdtPr>
      <w:sdtEndPr/>
      <w:sdtContent>
        <w:p w:rsidR="00E77B5B" w:rsidRPr="006051D0" w:rsidRDefault="000637F7">
          <w:pPr>
            <w:pBdr>
              <w:top w:val="nil"/>
              <w:left w:val="nil"/>
              <w:bottom w:val="nil"/>
              <w:right w:val="nil"/>
              <w:between w:val="nil"/>
            </w:pBdr>
            <w:tabs>
              <w:tab w:val="right" w:pos="9034"/>
            </w:tabs>
            <w:spacing w:after="100"/>
            <w:rPr>
              <w:rFonts w:ascii="Cambria" w:eastAsia="Cambria" w:hAnsi="Cambria" w:cs="Cambria"/>
              <w:color w:val="000000"/>
            </w:rPr>
          </w:pPr>
          <w:r w:rsidRPr="006051D0">
            <w:fldChar w:fldCharType="begin"/>
          </w:r>
          <w:r w:rsidRPr="006051D0">
            <w:instrText xml:space="preserve"> TOC \h \u \z \t "Heading 1,1,Heading 2,2,Heading 3,3,"</w:instrText>
          </w:r>
          <w:r w:rsidRPr="006051D0">
            <w:fldChar w:fldCharType="separate"/>
          </w:r>
          <w:hyperlink w:anchor="_heading=h.72aakgyc7jsx">
            <w:r w:rsidRPr="006051D0">
              <w:rPr>
                <w:color w:val="000000"/>
              </w:rPr>
              <w:t>ANTECEDENTES</w:t>
            </w:r>
            <w:r w:rsidRPr="006051D0">
              <w:rPr>
                <w:color w:val="000000"/>
              </w:rPr>
              <w:tab/>
              <w:t>1</w:t>
            </w:r>
          </w:hyperlink>
        </w:p>
        <w:p w:rsidR="00E77B5B" w:rsidRPr="006051D0" w:rsidRDefault="0098210D">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roedxsnxmovy">
            <w:r w:rsidR="000637F7" w:rsidRPr="006051D0">
              <w:rPr>
                <w:color w:val="000000"/>
              </w:rPr>
              <w:t>DE LA SOLICITUD DE INFORMACIÓN</w:t>
            </w:r>
            <w:r w:rsidR="000637F7" w:rsidRPr="006051D0">
              <w:rPr>
                <w:color w:val="000000"/>
              </w:rPr>
              <w:tab/>
              <w:t>1</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44qqmiyy2z3y">
            <w:r w:rsidR="000637F7" w:rsidRPr="006051D0">
              <w:rPr>
                <w:color w:val="000000"/>
              </w:rPr>
              <w:t>a) Solicitud de información</w:t>
            </w:r>
            <w:r w:rsidR="000637F7" w:rsidRPr="006051D0">
              <w:rPr>
                <w:color w:val="000000"/>
              </w:rPr>
              <w:tab/>
              <w:t>1</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fckzbudq4bdx">
            <w:r w:rsidR="000637F7" w:rsidRPr="006051D0">
              <w:rPr>
                <w:color w:val="000000"/>
              </w:rPr>
              <w:t>b) Respuesta del Sujeto Obligado</w:t>
            </w:r>
            <w:r w:rsidR="000637F7" w:rsidRPr="006051D0">
              <w:rPr>
                <w:color w:val="000000"/>
              </w:rPr>
              <w:tab/>
              <w:t>2</w:t>
            </w:r>
          </w:hyperlink>
        </w:p>
        <w:p w:rsidR="00E77B5B" w:rsidRPr="006051D0" w:rsidRDefault="0098210D">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ganmp6gpneie">
            <w:r w:rsidR="000637F7" w:rsidRPr="006051D0">
              <w:rPr>
                <w:color w:val="000000"/>
              </w:rPr>
              <w:t>DEL RECURSO DE REVISIÓN</w:t>
            </w:r>
            <w:r w:rsidR="000637F7" w:rsidRPr="006051D0">
              <w:rPr>
                <w:color w:val="000000"/>
              </w:rPr>
              <w:tab/>
              <w:t>2</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dpg0187tkjk7">
            <w:r w:rsidR="000637F7" w:rsidRPr="006051D0">
              <w:rPr>
                <w:color w:val="000000"/>
              </w:rPr>
              <w:t>a) Interposición del Recurso de Revisión</w:t>
            </w:r>
            <w:r w:rsidR="000637F7" w:rsidRPr="006051D0">
              <w:rPr>
                <w:color w:val="000000"/>
              </w:rPr>
              <w:tab/>
              <w:t>2</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d762g5kglgsd">
            <w:r w:rsidR="000637F7" w:rsidRPr="006051D0">
              <w:rPr>
                <w:color w:val="000000"/>
              </w:rPr>
              <w:t>b) Turno del Recurso de Revisión</w:t>
            </w:r>
            <w:r w:rsidR="000637F7" w:rsidRPr="006051D0">
              <w:rPr>
                <w:color w:val="000000"/>
              </w:rPr>
              <w:tab/>
              <w:t>4</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xcuaw031d3yd">
            <w:r w:rsidR="000637F7" w:rsidRPr="006051D0">
              <w:rPr>
                <w:color w:val="000000"/>
              </w:rPr>
              <w:t>c) Admisión del Recurso de Revisión</w:t>
            </w:r>
            <w:r w:rsidR="000637F7" w:rsidRPr="006051D0">
              <w:rPr>
                <w:color w:val="000000"/>
              </w:rPr>
              <w:tab/>
              <w:t>4</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b2ofcmpvjzh0">
            <w:r w:rsidR="000637F7" w:rsidRPr="006051D0">
              <w:rPr>
                <w:color w:val="000000"/>
              </w:rPr>
              <w:t>d) Informe Justificado del Sujeto Obligado</w:t>
            </w:r>
            <w:r w:rsidR="000637F7" w:rsidRPr="006051D0">
              <w:rPr>
                <w:color w:val="000000"/>
              </w:rPr>
              <w:tab/>
              <w:t>4</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l6er8g7lam1a">
            <w:r w:rsidR="000637F7" w:rsidRPr="006051D0">
              <w:rPr>
                <w:color w:val="000000"/>
              </w:rPr>
              <w:t>e) Manifestaciones de la Parte Recurrente</w:t>
            </w:r>
            <w:r w:rsidR="000637F7" w:rsidRPr="006051D0">
              <w:rPr>
                <w:color w:val="000000"/>
              </w:rPr>
              <w:tab/>
              <w:t>4</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bdbedns5avze">
            <w:r w:rsidR="000637F7" w:rsidRPr="006051D0">
              <w:rPr>
                <w:color w:val="000000"/>
              </w:rPr>
              <w:t>f) Ampliación de plazo para resolver el Recurso de Revisión</w:t>
            </w:r>
            <w:r w:rsidR="000637F7" w:rsidRPr="006051D0">
              <w:rPr>
                <w:color w:val="000000"/>
              </w:rPr>
              <w:tab/>
              <w:t>5</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7lcoub7gxutd">
            <w:r w:rsidR="000637F7" w:rsidRPr="006051D0">
              <w:rPr>
                <w:color w:val="000000"/>
              </w:rPr>
              <w:t>g) Cierre de instrucción</w:t>
            </w:r>
            <w:r w:rsidR="000637F7" w:rsidRPr="006051D0">
              <w:rPr>
                <w:color w:val="000000"/>
              </w:rPr>
              <w:tab/>
              <w:t>5</w:t>
            </w:r>
          </w:hyperlink>
        </w:p>
        <w:p w:rsidR="00E77B5B" w:rsidRPr="006051D0" w:rsidRDefault="0098210D">
          <w:pPr>
            <w:pBdr>
              <w:top w:val="nil"/>
              <w:left w:val="nil"/>
              <w:bottom w:val="nil"/>
              <w:right w:val="nil"/>
              <w:between w:val="nil"/>
            </w:pBdr>
            <w:tabs>
              <w:tab w:val="right" w:pos="9034"/>
            </w:tabs>
            <w:spacing w:after="100"/>
            <w:rPr>
              <w:rFonts w:ascii="Cambria" w:eastAsia="Cambria" w:hAnsi="Cambria" w:cs="Cambria"/>
              <w:color w:val="000000"/>
            </w:rPr>
          </w:pPr>
          <w:hyperlink w:anchor="_heading=h.2pxbae8ifst3">
            <w:r w:rsidR="000637F7" w:rsidRPr="006051D0">
              <w:rPr>
                <w:color w:val="000000"/>
              </w:rPr>
              <w:t>CONSIDERANDOS</w:t>
            </w:r>
            <w:r w:rsidR="000637F7" w:rsidRPr="006051D0">
              <w:rPr>
                <w:color w:val="000000"/>
              </w:rPr>
              <w:tab/>
              <w:t>5</w:t>
            </w:r>
          </w:hyperlink>
        </w:p>
        <w:p w:rsidR="00E77B5B" w:rsidRPr="006051D0" w:rsidRDefault="0098210D">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rsr83a7ljzqu">
            <w:r w:rsidR="000637F7" w:rsidRPr="006051D0">
              <w:rPr>
                <w:color w:val="000000"/>
              </w:rPr>
              <w:t>PRIMERO. Procedibilidad</w:t>
            </w:r>
            <w:r w:rsidR="000637F7" w:rsidRPr="006051D0">
              <w:rPr>
                <w:color w:val="000000"/>
              </w:rPr>
              <w:tab/>
              <w:t>5</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vsw4jeuzi10h">
            <w:r w:rsidR="000637F7" w:rsidRPr="006051D0">
              <w:rPr>
                <w:color w:val="000000"/>
              </w:rPr>
              <w:t>a) Competencia del Instituto.</w:t>
            </w:r>
            <w:r w:rsidR="000637F7" w:rsidRPr="006051D0">
              <w:rPr>
                <w:color w:val="000000"/>
              </w:rPr>
              <w:tab/>
              <w:t>5</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bt7dfajck9cn">
            <w:r w:rsidR="000637F7" w:rsidRPr="006051D0">
              <w:rPr>
                <w:color w:val="000000"/>
              </w:rPr>
              <w:t>b) Legitimidad de la parte recurrente.</w:t>
            </w:r>
            <w:r w:rsidR="000637F7" w:rsidRPr="006051D0">
              <w:rPr>
                <w:color w:val="000000"/>
              </w:rPr>
              <w:tab/>
              <w:t>6</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50ed1cxmp1ju">
            <w:r w:rsidR="000637F7" w:rsidRPr="006051D0">
              <w:rPr>
                <w:color w:val="000000"/>
              </w:rPr>
              <w:t>c) Plazo para interponer el recurso.</w:t>
            </w:r>
            <w:r w:rsidR="000637F7" w:rsidRPr="006051D0">
              <w:rPr>
                <w:color w:val="000000"/>
              </w:rPr>
              <w:tab/>
              <w:t>6</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pn3h4rrxhea0">
            <w:r w:rsidR="000637F7" w:rsidRPr="006051D0">
              <w:rPr>
                <w:color w:val="000000"/>
              </w:rPr>
              <w:t>d) Causal de procedencia.</w:t>
            </w:r>
            <w:r w:rsidR="000637F7" w:rsidRPr="006051D0">
              <w:rPr>
                <w:color w:val="000000"/>
              </w:rPr>
              <w:tab/>
              <w:t>7</w:t>
            </w:r>
          </w:hyperlink>
        </w:p>
        <w:p w:rsidR="00E77B5B" w:rsidRPr="006051D0" w:rsidRDefault="0098210D">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ily258pg497">
            <w:r w:rsidR="000637F7" w:rsidRPr="006051D0">
              <w:rPr>
                <w:color w:val="000000"/>
              </w:rPr>
              <w:t>SEGUNDO. Estudio de Fondo.</w:t>
            </w:r>
            <w:r w:rsidR="000637F7" w:rsidRPr="006051D0">
              <w:rPr>
                <w:color w:val="000000"/>
              </w:rPr>
              <w:tab/>
              <w:t>7</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gvc3r76bcwb8">
            <w:r w:rsidR="000637F7" w:rsidRPr="006051D0">
              <w:rPr>
                <w:color w:val="000000"/>
              </w:rPr>
              <w:t>a) Mandato de transparencia y responsabilidad del Sujeto Obligado.</w:t>
            </w:r>
            <w:r w:rsidR="000637F7" w:rsidRPr="006051D0">
              <w:rPr>
                <w:color w:val="000000"/>
              </w:rPr>
              <w:tab/>
              <w:t>7</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xtme3jk7261v">
            <w:r w:rsidR="000637F7" w:rsidRPr="006051D0">
              <w:rPr>
                <w:color w:val="000000"/>
              </w:rPr>
              <w:t>b) Controversia a resolver.</w:t>
            </w:r>
            <w:r w:rsidR="000637F7" w:rsidRPr="006051D0">
              <w:rPr>
                <w:color w:val="000000"/>
              </w:rPr>
              <w:tab/>
              <w:t>10</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vutybm4tixyp">
            <w:r w:rsidR="000637F7" w:rsidRPr="006051D0">
              <w:rPr>
                <w:color w:val="000000"/>
              </w:rPr>
              <w:t>c) Estudio de la controversia.</w:t>
            </w:r>
            <w:r w:rsidR="000637F7" w:rsidRPr="006051D0">
              <w:rPr>
                <w:color w:val="000000"/>
              </w:rPr>
              <w:tab/>
              <w:t>10</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p7emrb6pu1pr">
            <w:r w:rsidR="000637F7" w:rsidRPr="006051D0">
              <w:rPr>
                <w:color w:val="000000"/>
              </w:rPr>
              <w:t>d) Versión pública.</w:t>
            </w:r>
            <w:r w:rsidR="000637F7" w:rsidRPr="006051D0">
              <w:rPr>
                <w:color w:val="000000"/>
              </w:rPr>
              <w:tab/>
              <w:t>13</w:t>
            </w:r>
          </w:hyperlink>
        </w:p>
        <w:p w:rsidR="00E77B5B" w:rsidRPr="006051D0" w:rsidRDefault="0098210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750omkpc5th">
            <w:r w:rsidR="000637F7" w:rsidRPr="006051D0">
              <w:rPr>
                <w:color w:val="000000"/>
              </w:rPr>
              <w:t>e) Conclusión.</w:t>
            </w:r>
            <w:r w:rsidR="000637F7" w:rsidRPr="006051D0">
              <w:rPr>
                <w:color w:val="000000"/>
              </w:rPr>
              <w:tab/>
              <w:t>31</w:t>
            </w:r>
          </w:hyperlink>
        </w:p>
        <w:p w:rsidR="00E77B5B" w:rsidRPr="006051D0" w:rsidRDefault="0098210D">
          <w:pPr>
            <w:pBdr>
              <w:top w:val="nil"/>
              <w:left w:val="nil"/>
              <w:bottom w:val="nil"/>
              <w:right w:val="nil"/>
              <w:between w:val="nil"/>
            </w:pBdr>
            <w:tabs>
              <w:tab w:val="right" w:pos="9034"/>
            </w:tabs>
            <w:spacing w:after="100"/>
            <w:rPr>
              <w:rFonts w:ascii="Cambria" w:eastAsia="Cambria" w:hAnsi="Cambria" w:cs="Cambria"/>
              <w:color w:val="000000"/>
            </w:rPr>
          </w:pPr>
          <w:hyperlink w:anchor="_heading=h.t0cgncn5r40g">
            <w:r w:rsidR="000637F7" w:rsidRPr="006051D0">
              <w:rPr>
                <w:color w:val="000000"/>
              </w:rPr>
              <w:t>RESUELVE</w:t>
            </w:r>
            <w:r w:rsidR="000637F7" w:rsidRPr="006051D0">
              <w:rPr>
                <w:color w:val="000000"/>
              </w:rPr>
              <w:tab/>
              <w:t>31</w:t>
            </w:r>
          </w:hyperlink>
        </w:p>
        <w:p w:rsidR="00E77B5B" w:rsidRPr="006051D0" w:rsidRDefault="000637F7">
          <w:r w:rsidRPr="006051D0">
            <w:fldChar w:fldCharType="end"/>
          </w:r>
        </w:p>
      </w:sdtContent>
    </w:sdt>
    <w:p w:rsidR="00E77B5B" w:rsidRPr="006051D0" w:rsidRDefault="00E77B5B">
      <w:pPr>
        <w:sectPr w:rsidR="00E77B5B" w:rsidRPr="006051D0">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E77B5B" w:rsidRPr="006051D0" w:rsidRDefault="000637F7">
      <w:pPr>
        <w:rPr>
          <w:b/>
          <w:bCs/>
        </w:rPr>
      </w:pPr>
      <w:r w:rsidRPr="006051D0">
        <w:lastRenderedPageBreak/>
        <w:t xml:space="preserve">Resolución del Pleno del Instituto de Transparencia, Acceso a la Información Pública y Protección de Datos Personales del Estado de México y Municipios, con domicilio en Metepec, Estado de México, del </w:t>
      </w:r>
      <w:r w:rsidRPr="006051D0">
        <w:rPr>
          <w:b/>
          <w:bCs/>
        </w:rPr>
        <w:t>doce de agosto de dos mil veinticinco.</w:t>
      </w:r>
    </w:p>
    <w:p w:rsidR="00E77B5B" w:rsidRPr="006051D0" w:rsidRDefault="00E77B5B"/>
    <w:p w:rsidR="00E77B5B" w:rsidRPr="006051D0" w:rsidRDefault="000637F7">
      <w:r w:rsidRPr="006051D0">
        <w:rPr>
          <w:b/>
          <w:bCs/>
        </w:rPr>
        <w:t xml:space="preserve">VISTO </w:t>
      </w:r>
      <w:r w:rsidRPr="006051D0">
        <w:t xml:space="preserve">el expediente formado con motivo del Recurso de Revisión </w:t>
      </w:r>
      <w:r w:rsidRPr="006051D0">
        <w:rPr>
          <w:b/>
          <w:bCs/>
        </w:rPr>
        <w:t>01002/INFOEM/IP/RR/2026</w:t>
      </w:r>
      <w:r w:rsidRPr="006051D0">
        <w:t xml:space="preserve"> interpuesto por </w:t>
      </w:r>
      <w:bookmarkStart w:id="2" w:name="_GoBack"/>
      <w:r w:rsidR="00346CBE">
        <w:rPr>
          <w:b/>
          <w:bCs/>
        </w:rPr>
        <w:t xml:space="preserve">XXXXXXX XXXXXX </w:t>
      </w:r>
      <w:proofErr w:type="spellStart"/>
      <w:r w:rsidR="00346CBE">
        <w:rPr>
          <w:b/>
          <w:bCs/>
        </w:rPr>
        <w:t>XXXXXX</w:t>
      </w:r>
      <w:bookmarkEnd w:id="2"/>
      <w:proofErr w:type="spellEnd"/>
      <w:r w:rsidRPr="006051D0">
        <w:rPr>
          <w:b/>
          <w:bCs/>
        </w:rPr>
        <w:tab/>
        <w:t xml:space="preserve"> </w:t>
      </w:r>
      <w:r w:rsidRPr="006051D0">
        <w:t xml:space="preserve">a quien en lo subsecuente se le denominará </w:t>
      </w:r>
      <w:r w:rsidRPr="006051D0">
        <w:rPr>
          <w:b/>
          <w:bCs/>
        </w:rPr>
        <w:t>LA PARTE RECURRENTE</w:t>
      </w:r>
      <w:r w:rsidRPr="006051D0">
        <w:t xml:space="preserve">, en contra de la respuesta emitida por el </w:t>
      </w:r>
      <w:r w:rsidRPr="006051D0">
        <w:rPr>
          <w:b/>
          <w:bCs/>
        </w:rPr>
        <w:t xml:space="preserve">Ayuntamiento de Tepotzotlán, </w:t>
      </w:r>
      <w:r w:rsidRPr="006051D0">
        <w:t xml:space="preserve">en adelante </w:t>
      </w:r>
      <w:r w:rsidRPr="006051D0">
        <w:rPr>
          <w:b/>
          <w:bCs/>
        </w:rPr>
        <w:t>EL SUJETO OBLIGADO</w:t>
      </w:r>
      <w:r w:rsidRPr="006051D0">
        <w:t>, se emite la presente Resolución con base en los Antecedentes y Considerandos que se exponen a continuación:</w:t>
      </w:r>
    </w:p>
    <w:p w:rsidR="00E77B5B" w:rsidRPr="006051D0" w:rsidRDefault="00E77B5B"/>
    <w:p w:rsidR="00E77B5B" w:rsidRPr="006051D0" w:rsidRDefault="000637F7">
      <w:pPr>
        <w:pStyle w:val="Ttulo1"/>
      </w:pPr>
      <w:bookmarkStart w:id="3" w:name="_heading=h.72aakgyc7jsx" w:colFirst="0" w:colLast="0"/>
      <w:bookmarkEnd w:id="3"/>
      <w:r w:rsidRPr="006051D0">
        <w:t>ANTECEDENTES</w:t>
      </w:r>
    </w:p>
    <w:p w:rsidR="00E77B5B" w:rsidRPr="006051D0" w:rsidRDefault="00E77B5B"/>
    <w:p w:rsidR="00E77B5B" w:rsidRPr="006051D0" w:rsidRDefault="000637F7">
      <w:pPr>
        <w:pStyle w:val="Ttulo2"/>
        <w:jc w:val="left"/>
      </w:pPr>
      <w:bookmarkStart w:id="4" w:name="_heading=h.roedxsnxmovy" w:colFirst="0" w:colLast="0"/>
      <w:bookmarkEnd w:id="4"/>
      <w:r w:rsidRPr="006051D0">
        <w:t>DE LA SOLICITUD DE INFORMACIÓN</w:t>
      </w:r>
    </w:p>
    <w:p w:rsidR="00E77B5B" w:rsidRPr="006051D0" w:rsidRDefault="000637F7">
      <w:pPr>
        <w:pStyle w:val="Ttulo3"/>
      </w:pPr>
      <w:bookmarkStart w:id="5" w:name="_heading=h.44qqmiyy2z3y" w:colFirst="0" w:colLast="0"/>
      <w:bookmarkEnd w:id="5"/>
      <w:r w:rsidRPr="006051D0">
        <w:t>a) Solicitud de información</w:t>
      </w:r>
    </w:p>
    <w:p w:rsidR="00E77B5B" w:rsidRPr="006051D0" w:rsidRDefault="000637F7">
      <w:r w:rsidRPr="006051D0">
        <w:t xml:space="preserve">El </w:t>
      </w:r>
      <w:r w:rsidRPr="006051D0">
        <w:rPr>
          <w:b/>
          <w:bCs/>
        </w:rPr>
        <w:t>doce de enero de dos mil veintiséis</w:t>
      </w:r>
      <w:r w:rsidRPr="006051D0">
        <w:rPr>
          <w:b/>
          <w:bCs/>
          <w:vertAlign w:val="superscript"/>
        </w:rPr>
        <w:footnoteReference w:id="1"/>
      </w:r>
      <w:r w:rsidRPr="006051D0">
        <w:t xml:space="preserve">, </w:t>
      </w:r>
      <w:r w:rsidRPr="006051D0">
        <w:rPr>
          <w:b/>
          <w:bCs/>
        </w:rPr>
        <w:t>LA PARTE RECURRENTE</w:t>
      </w:r>
      <w:r w:rsidRPr="006051D0">
        <w:t xml:space="preserve"> presentó una solicitud de acceso a la información pública ante el </w:t>
      </w:r>
      <w:r w:rsidRPr="006051D0">
        <w:rPr>
          <w:b/>
          <w:bCs/>
        </w:rPr>
        <w:t>SUJETO OBLIGADO</w:t>
      </w:r>
      <w:r w:rsidRPr="006051D0">
        <w:t>, a través del Sistema de Acceso a la Información Mexiquense (SAIMEX). Dicha solicitud quedó registrada con el número de folio</w:t>
      </w:r>
      <w:r w:rsidRPr="006051D0">
        <w:rPr>
          <w:b/>
          <w:bCs/>
        </w:rPr>
        <w:t xml:space="preserve"> 00140/TEPOTZOT/IP/2026 </w:t>
      </w:r>
      <w:r w:rsidRPr="006051D0">
        <w:t>y en ella se requirió la siguiente información:</w:t>
      </w:r>
    </w:p>
    <w:p w:rsidR="00E77B5B" w:rsidRPr="006051D0" w:rsidRDefault="00E77B5B"/>
    <w:p w:rsidR="00E77B5B" w:rsidRPr="006051D0" w:rsidRDefault="000637F7">
      <w:pPr>
        <w:pStyle w:val="Puesto"/>
        <w:tabs>
          <w:tab w:val="left" w:pos="8222"/>
        </w:tabs>
        <w:ind w:left="851" w:right="822" w:firstLine="0"/>
      </w:pPr>
      <w:r w:rsidRPr="006051D0">
        <w:t xml:space="preserve">“Cuáles son los expedientes administrativos y judiciales que dieron origen a la inhabilitación de la Presidenta Municipal de Tepotzotlán, María de los Ángeles </w:t>
      </w:r>
      <w:proofErr w:type="spellStart"/>
      <w:r w:rsidRPr="006051D0">
        <w:t>Zuppa</w:t>
      </w:r>
      <w:proofErr w:type="spellEnd"/>
      <w:r w:rsidRPr="006051D0">
        <w:t xml:space="preserve"> Villegas? Solicito número de expediente, autoridad que los resolvió y fecha de emisión de la sanción.” </w:t>
      </w:r>
      <w:r w:rsidRPr="006051D0">
        <w:rPr>
          <w:i w:val="0"/>
          <w:iCs w:val="0"/>
        </w:rPr>
        <w:t>(Sic)</w:t>
      </w:r>
    </w:p>
    <w:p w:rsidR="00E77B5B" w:rsidRPr="006051D0" w:rsidRDefault="000637F7">
      <w:pPr>
        <w:tabs>
          <w:tab w:val="left" w:pos="4667"/>
        </w:tabs>
        <w:ind w:left="567" w:right="567"/>
        <w:rPr>
          <w:i/>
          <w:iCs/>
        </w:rPr>
      </w:pPr>
      <w:r w:rsidRPr="006051D0">
        <w:rPr>
          <w:b/>
          <w:bCs/>
        </w:rPr>
        <w:lastRenderedPageBreak/>
        <w:t>Modalidad de entrega</w:t>
      </w:r>
      <w:r w:rsidRPr="006051D0">
        <w:t>: a</w:t>
      </w:r>
      <w:r w:rsidRPr="006051D0">
        <w:rPr>
          <w:i/>
          <w:iCs/>
        </w:rPr>
        <w:t xml:space="preserve"> través del </w:t>
      </w:r>
      <w:r w:rsidRPr="006051D0">
        <w:rPr>
          <w:b/>
          <w:bCs/>
          <w:i/>
          <w:iCs/>
        </w:rPr>
        <w:t>SAIMEX</w:t>
      </w:r>
      <w:r w:rsidRPr="006051D0">
        <w:rPr>
          <w:i/>
          <w:iCs/>
        </w:rPr>
        <w:t>.</w:t>
      </w:r>
    </w:p>
    <w:p w:rsidR="00E77B5B" w:rsidRPr="006051D0" w:rsidRDefault="00E77B5B">
      <w:pPr>
        <w:tabs>
          <w:tab w:val="left" w:pos="4667"/>
        </w:tabs>
        <w:ind w:left="567" w:right="567"/>
        <w:rPr>
          <w:i/>
          <w:iCs/>
        </w:rPr>
      </w:pPr>
    </w:p>
    <w:p w:rsidR="00E77B5B" w:rsidRPr="006051D0" w:rsidRDefault="000637F7">
      <w:pPr>
        <w:pStyle w:val="Ttulo3"/>
      </w:pPr>
      <w:bookmarkStart w:id="6" w:name="_heading=h.fckzbudq4bdx" w:colFirst="0" w:colLast="0"/>
      <w:bookmarkEnd w:id="6"/>
      <w:r w:rsidRPr="006051D0">
        <w:t>b) Respuesta del Sujeto Obligado</w:t>
      </w:r>
    </w:p>
    <w:p w:rsidR="00E77B5B" w:rsidRPr="006051D0" w:rsidRDefault="000637F7">
      <w:r w:rsidRPr="006051D0">
        <w:t xml:space="preserve">El </w:t>
      </w:r>
      <w:r w:rsidRPr="006051D0">
        <w:rPr>
          <w:b/>
          <w:bCs/>
        </w:rPr>
        <w:t>veintitrés de enero de dos mil veintiséis,</w:t>
      </w:r>
      <w:r w:rsidRPr="006051D0">
        <w:t xml:space="preserve"> la Titular de la Unidad de Transparencia y Acceso a la Información Pública del Ayuntamiento de Tepotzotlán declaró su incompetencia ante la solicitud de información en análisis. Asimismo, orientó al solicitante a dirigir su requerimiento al "Tribunal de Justicia Administrativa del Estado de México" a través del Sistema de Acceso a la Información Mexiquense (SAIMEX).   </w:t>
      </w:r>
    </w:p>
    <w:p w:rsidR="00E77B5B" w:rsidRPr="006051D0" w:rsidRDefault="00E77B5B"/>
    <w:p w:rsidR="00E77B5B" w:rsidRPr="006051D0" w:rsidRDefault="000637F7">
      <w:pPr>
        <w:pStyle w:val="Ttulo2"/>
        <w:jc w:val="left"/>
      </w:pPr>
      <w:bookmarkStart w:id="7" w:name="_heading=h.ganmp6gpneie" w:colFirst="0" w:colLast="0"/>
      <w:bookmarkEnd w:id="7"/>
      <w:r w:rsidRPr="006051D0">
        <w:t>DEL RECURSO DE REVISIÓN</w:t>
      </w:r>
    </w:p>
    <w:p w:rsidR="00E77B5B" w:rsidRPr="006051D0" w:rsidRDefault="000637F7">
      <w:pPr>
        <w:pStyle w:val="Ttulo3"/>
      </w:pPr>
      <w:bookmarkStart w:id="8" w:name="_heading=h.dpg0187tkjk7" w:colFirst="0" w:colLast="0"/>
      <w:bookmarkEnd w:id="8"/>
      <w:r w:rsidRPr="006051D0">
        <w:t>a) Interposición del Recurso de Revisión</w:t>
      </w:r>
    </w:p>
    <w:p w:rsidR="00E77B5B" w:rsidRPr="006051D0" w:rsidRDefault="000637F7">
      <w:pPr>
        <w:ind w:right="-28"/>
      </w:pPr>
      <w:r w:rsidRPr="006051D0">
        <w:t xml:space="preserve">El </w:t>
      </w:r>
      <w:r w:rsidRPr="006051D0">
        <w:rPr>
          <w:b/>
          <w:bCs/>
        </w:rPr>
        <w:t>veintiséis</w:t>
      </w:r>
      <w:r w:rsidRPr="006051D0">
        <w:rPr>
          <w:b/>
          <w:bCs/>
          <w:vertAlign w:val="superscript"/>
        </w:rPr>
        <w:footnoteReference w:id="2"/>
      </w:r>
      <w:r w:rsidRPr="006051D0">
        <w:rPr>
          <w:b/>
          <w:bCs/>
        </w:rPr>
        <w:t xml:space="preserve"> de enero de dos mil veintiséis,</w:t>
      </w:r>
      <w:r w:rsidRPr="006051D0">
        <w:t xml:space="preserve"> </w:t>
      </w:r>
      <w:r w:rsidRPr="006051D0">
        <w:rPr>
          <w:b/>
          <w:bCs/>
        </w:rPr>
        <w:t>LA PARTE RECURRENTE</w:t>
      </w:r>
      <w:r w:rsidRPr="006051D0">
        <w:t xml:space="preserve"> inconforme por la respuesta del </w:t>
      </w:r>
      <w:r w:rsidRPr="006051D0">
        <w:rPr>
          <w:b/>
          <w:bCs/>
        </w:rPr>
        <w:t>SUJETO OBLIGADO</w:t>
      </w:r>
      <w:r w:rsidRPr="006051D0">
        <w:t xml:space="preserve">, interpuso el recurso de revisión mismo que fue registrado con el número de expediente </w:t>
      </w:r>
      <w:r w:rsidRPr="006051D0">
        <w:rPr>
          <w:b/>
          <w:bCs/>
        </w:rPr>
        <w:t>01002/INFOEM/IP/RR/2026</w:t>
      </w:r>
      <w:r w:rsidRPr="006051D0">
        <w:t>, y en el cual manifiesta lo siguiente:</w:t>
      </w:r>
    </w:p>
    <w:p w:rsidR="00E77B5B" w:rsidRPr="006051D0" w:rsidRDefault="00E77B5B">
      <w:pPr>
        <w:ind w:right="-28"/>
      </w:pPr>
    </w:p>
    <w:p w:rsidR="00E77B5B" w:rsidRPr="006051D0" w:rsidRDefault="000637F7">
      <w:pPr>
        <w:tabs>
          <w:tab w:val="left" w:pos="4667"/>
        </w:tabs>
        <w:ind w:right="822"/>
        <w:rPr>
          <w:b/>
          <w:bCs/>
        </w:rPr>
      </w:pPr>
      <w:r w:rsidRPr="006051D0">
        <w:rPr>
          <w:b/>
          <w:bCs/>
        </w:rPr>
        <w:t>ACTO IMPUGNADO:</w:t>
      </w:r>
    </w:p>
    <w:p w:rsidR="00E77B5B" w:rsidRPr="006051D0" w:rsidRDefault="00E77B5B">
      <w:pPr>
        <w:tabs>
          <w:tab w:val="left" w:pos="4667"/>
        </w:tabs>
        <w:ind w:right="822"/>
        <w:rPr>
          <w:b/>
          <w:bCs/>
        </w:rPr>
      </w:pPr>
    </w:p>
    <w:p w:rsidR="00E77B5B" w:rsidRPr="006051D0" w:rsidRDefault="000637F7">
      <w:pPr>
        <w:pStyle w:val="Puesto"/>
        <w:ind w:left="851" w:right="822" w:firstLine="0"/>
      </w:pPr>
      <w:r w:rsidRPr="006051D0">
        <w:t xml:space="preserve">“Cuáles son los expedientes administrativos y judiciales que dieron origen a la inhabilitación de la Presidenta Municipal de Tepotzotlán, María de los Ángeles </w:t>
      </w:r>
      <w:proofErr w:type="spellStart"/>
      <w:r w:rsidRPr="006051D0">
        <w:t>Zuppa</w:t>
      </w:r>
      <w:proofErr w:type="spellEnd"/>
      <w:r w:rsidRPr="006051D0">
        <w:t xml:space="preserve"> Villegas? Solicito número de expediente, autoridad que los resolvió y fecha de emisión de la </w:t>
      </w:r>
      <w:proofErr w:type="spellStart"/>
      <w:r w:rsidRPr="006051D0">
        <w:t>sanción.La</w:t>
      </w:r>
      <w:proofErr w:type="spellEnd"/>
      <w:r w:rsidRPr="006051D0">
        <w:t xml:space="preserve"> declaratoria de incompetencia emitida por la Unidad de Transparencia del H. Ayuntamiento de Tepotzotlán, mediante la cual se negó el acceso a la información solicitada, sin realizar búsqueda exhaustiva, sin verificar </w:t>
      </w:r>
      <w:r w:rsidRPr="006051D0">
        <w:lastRenderedPageBreak/>
        <w:t>archivos propios y sin cumplir con el deber reforzado de orientación, configurando una obstrucción reiterada al derecho de acceso a la información pública.” (Sic)</w:t>
      </w:r>
    </w:p>
    <w:p w:rsidR="00E77B5B" w:rsidRPr="006051D0" w:rsidRDefault="00E77B5B"/>
    <w:p w:rsidR="00E77B5B" w:rsidRPr="006051D0" w:rsidRDefault="00E77B5B">
      <w:pPr>
        <w:rPr>
          <w:b/>
          <w:bCs/>
        </w:rPr>
      </w:pPr>
    </w:p>
    <w:p w:rsidR="00E77B5B" w:rsidRPr="006051D0" w:rsidRDefault="000637F7">
      <w:pPr>
        <w:rPr>
          <w:b/>
          <w:bCs/>
        </w:rPr>
      </w:pPr>
      <w:r w:rsidRPr="006051D0">
        <w:rPr>
          <w:b/>
          <w:bCs/>
        </w:rPr>
        <w:t xml:space="preserve">RAZONES O MOTIVOS DE LA INCONFORMIDAD: </w:t>
      </w:r>
    </w:p>
    <w:p w:rsidR="00E77B5B" w:rsidRPr="006051D0" w:rsidRDefault="00E77B5B"/>
    <w:p w:rsidR="00E77B5B" w:rsidRPr="006051D0" w:rsidRDefault="000637F7">
      <w:pPr>
        <w:spacing w:line="240" w:lineRule="auto"/>
        <w:ind w:left="567" w:right="567"/>
        <w:rPr>
          <w:i/>
          <w:iCs/>
        </w:rPr>
      </w:pPr>
      <w:r w:rsidRPr="006051D0">
        <w:rPr>
          <w:i/>
          <w:iCs/>
        </w:rPr>
        <w:t xml:space="preserve">“AGRAVIOS PRIMERO. INCOMPETENCIA FORMAL QUE ENCUBRE OMISIÓN DE BÚSQUEDA El sujeto obligado no puede declararse incompetente sin antes verificar si la información obra en sus archivos, ya que: Es la autoridad de adscripción de la servidora pública sancionada. Debe contar con resoluciones notificadas, expedientes administrativos, oficios de ejecución o constancias de cumplimiento de sanción. La información solicitada no versa sobre el fondo jurisdiccional, sino sobre la identificación de expedientes y autoridades </w:t>
      </w:r>
      <w:proofErr w:type="spellStart"/>
      <w:r w:rsidRPr="006051D0">
        <w:rPr>
          <w:i/>
          <w:iCs/>
        </w:rPr>
        <w:t>resolutoras</w:t>
      </w:r>
      <w:proofErr w:type="spellEnd"/>
      <w:r w:rsidRPr="006051D0">
        <w:rPr>
          <w:i/>
          <w:iCs/>
        </w:rPr>
        <w:t xml:space="preserve">, lo cual es información administrativa básica. Declararse incompetente sin búsqueda equivale a una negativa encubierta. SEGUNDO. FALTA ABSOLUTA DE BÚSQUEDA EXHAUSTIVA La respuesta impugnada no acredita búsqueda exhaustiva alguna, al no señalar: Áreas administrativas consultadas (Presidencia, Secretaría del Ayuntamiento, Jurídico, Órgano Interno de Control). Archivos físicos o electrónicos revisados. Existencia o inexistencia formal de documentación. Esto vulnera directamente los artículos 150, 151, 152 y 160 de la Ley de Transparencia del Estado de México y Municipios. TERCERO. ORIENTACIÓN DEFICIENTE Y GENÉRICA Aun en el supuesto de incompetencia parcial, el sujeto obligado incumplió el deber de orientación efectiva, ya que: No indicó qué órgano específico del Tribunal es competente. No precisó si se trata de expedientes administrativos, de responsabilidades o de ejecución. No señaló tipo de resolución ni unidad responsable. La orientación brindada fue meramente formal y no permite al solicitante ejercer efectivamente su derecho. CUARTO. INFORMACIÓN DE INTERÉS PÚBLICO REFORZADO La información solicitada está directamente vinculada con la inhabilitación de una Presidenta Municipal, lo cual constituye un asunto de máximo interés público, por lo que el estándar de transparencia debe ser estricto, garantista y pro persona. La reiteración de declaratorias de incompetencia evidencia un patrón de obstrucción. QUINTO. REITERACIÓN DE CONDUCTAS RESTRICTIVAS El H. Ayuntamiento de Tepotzotlán ha emitido múltiples respuestas de incompetencia respecto de solicitudes relacionadas con el mismo hecho sancionador, sin realizar búsqueda alguna ni emitir orientación efectiva, lo cual agrava la violación al derecho de acceso a la información. Por lo expuesto, solicito respetuosamente al INFOEM: Se declare fundado el presente recurso de revisión. Se revoque la declaratoria de incompetencia impugnada. Se ordene al H. Ayuntamiento de Tepotzotlán realizar una búsqueda exhaustiva, debidamente documentada. En caso de </w:t>
      </w:r>
      <w:r w:rsidRPr="006051D0">
        <w:rPr>
          <w:i/>
          <w:iCs/>
        </w:rPr>
        <w:lastRenderedPageBreak/>
        <w:t>localizar información, se ordene su entrega en versión pública. En caso de insistir en la incompetencia, se ordene una orientación efectiva, precisa y detallada, indicando órgano competente, unidad administrativa y tipo de expediente. Se aperciba a la Unidad de Transparencia, por la reiteración de conductas restrictivas al derecho de acceso a la información. Se dé vista al Órgano Interno de Control, por la posible responsabilidad administrativa derivada de la obstrucción reiterada del derecho de acceso a la información.” (Sic)</w:t>
      </w:r>
    </w:p>
    <w:p w:rsidR="00E77B5B" w:rsidRPr="006051D0" w:rsidRDefault="00E77B5B"/>
    <w:p w:rsidR="00E77B5B" w:rsidRPr="006051D0" w:rsidRDefault="000637F7">
      <w:pPr>
        <w:pStyle w:val="Ttulo3"/>
      </w:pPr>
      <w:bookmarkStart w:id="9" w:name="_heading=h.d762g5kglgsd" w:colFirst="0" w:colLast="0"/>
      <w:bookmarkEnd w:id="9"/>
      <w:r w:rsidRPr="006051D0">
        <w:t>b) Turno del Recurso de Revisión</w:t>
      </w:r>
    </w:p>
    <w:p w:rsidR="00E77B5B" w:rsidRPr="006051D0" w:rsidRDefault="000637F7">
      <w:r w:rsidRPr="006051D0">
        <w:t>Con fundamento en el artículo 185, fracción I de la Ley de Transparencia y Acceso a la Información Pública del Estado de México y Municipios, el</w:t>
      </w:r>
      <w:r w:rsidRPr="006051D0">
        <w:rPr>
          <w:b/>
          <w:bCs/>
        </w:rPr>
        <w:t xml:space="preserve"> veinticuatro de enero de dos mil veintiséis</w:t>
      </w:r>
      <w:r w:rsidRPr="006051D0">
        <w:t xml:space="preserve"> se turnó el recurso de revisión a través del SAIMEX a la </w:t>
      </w:r>
      <w:r w:rsidRPr="006051D0">
        <w:rPr>
          <w:b/>
          <w:bCs/>
        </w:rPr>
        <w:t>Comisionada Sharon Cristina Morales Martínez</w:t>
      </w:r>
      <w:r w:rsidRPr="006051D0">
        <w:t xml:space="preserve">, a efecto de decretar su admisión o </w:t>
      </w:r>
      <w:proofErr w:type="spellStart"/>
      <w:r w:rsidRPr="006051D0">
        <w:t>desechamiento</w:t>
      </w:r>
      <w:proofErr w:type="spellEnd"/>
      <w:r w:rsidRPr="006051D0">
        <w:t xml:space="preserve">. </w:t>
      </w:r>
    </w:p>
    <w:p w:rsidR="00E77B5B" w:rsidRPr="006051D0" w:rsidRDefault="00E77B5B"/>
    <w:p w:rsidR="00E77B5B" w:rsidRPr="006051D0" w:rsidRDefault="000637F7">
      <w:pPr>
        <w:pStyle w:val="Ttulo3"/>
      </w:pPr>
      <w:bookmarkStart w:id="10" w:name="_heading=h.xcuaw031d3yd" w:colFirst="0" w:colLast="0"/>
      <w:bookmarkEnd w:id="10"/>
      <w:r w:rsidRPr="006051D0">
        <w:t>c) Admisión del Recurso de Revisión</w:t>
      </w:r>
    </w:p>
    <w:p w:rsidR="00E77B5B" w:rsidRPr="006051D0" w:rsidRDefault="000637F7">
      <w:pPr>
        <w:rPr>
          <w:color w:val="000000"/>
        </w:rPr>
      </w:pPr>
      <w:r w:rsidRPr="006051D0">
        <w:rPr>
          <w:color w:val="000000"/>
        </w:rPr>
        <w:t xml:space="preserve">El </w:t>
      </w:r>
      <w:r w:rsidRPr="006051D0">
        <w:rPr>
          <w:b/>
          <w:bCs/>
        </w:rPr>
        <w:t>veintinueve de enero de dos mil veintiséis,</w:t>
      </w:r>
      <w:r w:rsidRPr="006051D0">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E77B5B" w:rsidRPr="006051D0" w:rsidRDefault="00E77B5B"/>
    <w:p w:rsidR="00E77B5B" w:rsidRPr="006051D0" w:rsidRDefault="000637F7">
      <w:pPr>
        <w:pStyle w:val="Ttulo3"/>
      </w:pPr>
      <w:bookmarkStart w:id="11" w:name="_heading=h.b2ofcmpvjzh0" w:colFirst="0" w:colLast="0"/>
      <w:bookmarkEnd w:id="11"/>
      <w:r w:rsidRPr="006051D0">
        <w:t>d) Informe Justificado del Sujeto Obligado</w:t>
      </w:r>
    </w:p>
    <w:p w:rsidR="00E77B5B" w:rsidRPr="006051D0" w:rsidRDefault="000637F7">
      <w:pPr>
        <w:spacing w:after="240"/>
      </w:pPr>
      <w:r w:rsidRPr="006051D0">
        <w:rPr>
          <w:b/>
          <w:bCs/>
        </w:rPr>
        <w:t xml:space="preserve">EL SUJETO OBLIGADO </w:t>
      </w:r>
      <w:r w:rsidRPr="006051D0">
        <w:t>no rindió su informe justificado dentro del término legalmente concedido para tal efecto.</w:t>
      </w:r>
    </w:p>
    <w:p w:rsidR="00E77B5B" w:rsidRPr="006051D0" w:rsidRDefault="000637F7">
      <w:pPr>
        <w:pStyle w:val="Ttulo3"/>
      </w:pPr>
      <w:bookmarkStart w:id="12" w:name="_heading=h.l6er8g7lam1a" w:colFirst="0" w:colLast="0"/>
      <w:bookmarkEnd w:id="12"/>
      <w:r w:rsidRPr="006051D0">
        <w:lastRenderedPageBreak/>
        <w:t>e) Manifestaciones de la Parte Recurrente</w:t>
      </w:r>
    </w:p>
    <w:p w:rsidR="00E77B5B" w:rsidRPr="006051D0" w:rsidRDefault="000637F7">
      <w:r w:rsidRPr="006051D0">
        <w:rPr>
          <w:b/>
          <w:bCs/>
        </w:rPr>
        <w:t xml:space="preserve">LA PARTE RECURRENTE </w:t>
      </w:r>
      <w:r w:rsidRPr="006051D0">
        <w:t>no realizó manifestación alguna dentro del término legalmente concedido para tal efecto, ni presentó pruebas o alegatos.</w:t>
      </w:r>
    </w:p>
    <w:p w:rsidR="00E77B5B" w:rsidRPr="006051D0" w:rsidRDefault="00E77B5B"/>
    <w:p w:rsidR="00E77B5B" w:rsidRPr="006051D0" w:rsidRDefault="000637F7">
      <w:pPr>
        <w:pStyle w:val="Ttulo3"/>
      </w:pPr>
      <w:bookmarkStart w:id="13" w:name="_heading=h.bdbedns5avze" w:colFirst="0" w:colLast="0"/>
      <w:bookmarkEnd w:id="13"/>
      <w:r w:rsidRPr="006051D0">
        <w:t>f) Ampliación de plazo para resolver el Recurso de Revisión</w:t>
      </w:r>
    </w:p>
    <w:p w:rsidR="00E77B5B" w:rsidRPr="006051D0" w:rsidRDefault="000637F7">
      <w:pPr>
        <w:tabs>
          <w:tab w:val="left" w:pos="3261"/>
        </w:tabs>
      </w:pPr>
      <w:r w:rsidRPr="006051D0">
        <w:t xml:space="preserve">Con fundamento en lo dispuesto en el artículo 181, párrafo tercero, de la Ley de Transparencia y Acceso a la Información Pública del Estado de México y Municipios, </w:t>
      </w:r>
      <w:r w:rsidRPr="006051D0">
        <w:rPr>
          <w:b/>
          <w:bCs/>
        </w:rPr>
        <w:t>el diecisiete de julio de dos mil veintiséis,</w:t>
      </w:r>
      <w:r w:rsidRPr="006051D0">
        <w:t xml:space="preserve"> se acordó ampliar por un periodo razonable el plazo para resolver el presente Recurso de Revisión.</w:t>
      </w:r>
    </w:p>
    <w:p w:rsidR="00E77B5B" w:rsidRPr="006051D0" w:rsidRDefault="00E77B5B"/>
    <w:p w:rsidR="00E77B5B" w:rsidRPr="006051D0" w:rsidRDefault="000637F7">
      <w:pPr>
        <w:pStyle w:val="Ttulo3"/>
      </w:pPr>
      <w:bookmarkStart w:id="14" w:name="_heading=h.7lcoub7gxutd" w:colFirst="0" w:colLast="0"/>
      <w:bookmarkEnd w:id="14"/>
      <w:r w:rsidRPr="006051D0">
        <w:t>g) Cierre de instrucción</w:t>
      </w:r>
    </w:p>
    <w:p w:rsidR="00E77B5B" w:rsidRPr="006051D0" w:rsidRDefault="000637F7">
      <w:r w:rsidRPr="006051D0">
        <w:t xml:space="preserve">Al no existir diligencias pendientes por desahogar, el </w:t>
      </w:r>
      <w:r w:rsidRPr="006051D0">
        <w:rPr>
          <w:b/>
          <w:bCs/>
        </w:rPr>
        <w:t>diecisiete de julio de dos mil veintiséis,</w:t>
      </w:r>
      <w:r w:rsidRPr="006051D0">
        <w:t xml:space="preserve"> la </w:t>
      </w:r>
      <w:r w:rsidRPr="006051D0">
        <w:rPr>
          <w:b/>
          <w:bCs/>
        </w:rPr>
        <w:t xml:space="preserve">Comisionada Sharon Cristina Morales Martínez </w:t>
      </w:r>
      <w:r w:rsidRPr="006051D0">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6051D0">
        <w:rPr>
          <w:b/>
          <w:bCs/>
        </w:rPr>
        <w:t>SAIMEX</w:t>
      </w:r>
      <w:r w:rsidRPr="006051D0">
        <w:t xml:space="preserve">. </w:t>
      </w:r>
    </w:p>
    <w:p w:rsidR="00E77B5B" w:rsidRPr="006051D0" w:rsidRDefault="00E77B5B">
      <w:pPr>
        <w:pStyle w:val="Ttulo1"/>
      </w:pPr>
    </w:p>
    <w:p w:rsidR="00E77B5B" w:rsidRPr="006051D0" w:rsidRDefault="000637F7">
      <w:pPr>
        <w:pStyle w:val="Ttulo1"/>
      </w:pPr>
      <w:bookmarkStart w:id="15" w:name="_heading=h.2pxbae8ifst3" w:colFirst="0" w:colLast="0"/>
      <w:bookmarkEnd w:id="15"/>
      <w:r w:rsidRPr="006051D0">
        <w:t>CONSIDERANDOS</w:t>
      </w:r>
    </w:p>
    <w:p w:rsidR="00E77B5B" w:rsidRPr="006051D0" w:rsidRDefault="00E77B5B">
      <w:pPr>
        <w:jc w:val="center"/>
        <w:rPr>
          <w:b/>
          <w:bCs/>
          <w:color w:val="000000"/>
        </w:rPr>
      </w:pPr>
    </w:p>
    <w:p w:rsidR="00E77B5B" w:rsidRPr="006051D0" w:rsidRDefault="000637F7">
      <w:pPr>
        <w:pStyle w:val="Ttulo2"/>
      </w:pPr>
      <w:bookmarkStart w:id="16" w:name="_heading=h.rsr83a7ljzqu" w:colFirst="0" w:colLast="0"/>
      <w:bookmarkEnd w:id="16"/>
      <w:r w:rsidRPr="006051D0">
        <w:t xml:space="preserve">PRIMERO. </w:t>
      </w:r>
      <w:proofErr w:type="spellStart"/>
      <w:r w:rsidRPr="006051D0">
        <w:t>Procedibilidad</w:t>
      </w:r>
      <w:proofErr w:type="spellEnd"/>
    </w:p>
    <w:p w:rsidR="00E77B5B" w:rsidRPr="006051D0" w:rsidRDefault="000637F7">
      <w:pPr>
        <w:pStyle w:val="Ttulo3"/>
      </w:pPr>
      <w:bookmarkStart w:id="17" w:name="_heading=h.vsw4jeuzi10h" w:colFirst="0" w:colLast="0"/>
      <w:bookmarkEnd w:id="17"/>
      <w:r w:rsidRPr="006051D0">
        <w:t>a) Competencia del Instituto.</w:t>
      </w:r>
    </w:p>
    <w:p w:rsidR="00E77B5B" w:rsidRPr="006051D0" w:rsidRDefault="000637F7">
      <w:pPr>
        <w:rPr>
          <w:color w:val="000000"/>
        </w:rPr>
      </w:pPr>
      <w:r w:rsidRPr="006051D0">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6051D0">
        <w:rPr>
          <w:b/>
          <w:bCs/>
          <w:color w:val="000000"/>
        </w:rPr>
        <w:t>Segundo</w:t>
      </w:r>
      <w:r w:rsidRPr="006051D0">
        <w:rPr>
          <w:color w:val="000000"/>
        </w:rPr>
        <w:t xml:space="preserve">, </w:t>
      </w:r>
      <w:r w:rsidRPr="006051D0">
        <w:rPr>
          <w:b/>
          <w:bCs/>
          <w:color w:val="000000"/>
        </w:rPr>
        <w:lastRenderedPageBreak/>
        <w:t>Cuarto</w:t>
      </w:r>
      <w:r w:rsidRPr="006051D0">
        <w:rPr>
          <w:color w:val="000000"/>
        </w:rPr>
        <w:t xml:space="preserve"> y </w:t>
      </w:r>
      <w:r w:rsidRPr="006051D0">
        <w:rPr>
          <w:b/>
          <w:bCs/>
          <w:color w:val="000000"/>
        </w:rPr>
        <w:t>Quinto</w:t>
      </w:r>
      <w:r w:rsidRPr="006051D0">
        <w:rPr>
          <w:color w:val="000000"/>
        </w:rPr>
        <w:t xml:space="preserve"> del </w:t>
      </w:r>
      <w:r w:rsidRPr="006051D0">
        <w:rPr>
          <w:b/>
          <w:bCs/>
          <w:color w:val="000000"/>
        </w:rPr>
        <w:t>DECRETO</w:t>
      </w:r>
      <w:r w:rsidRPr="006051D0">
        <w:rPr>
          <w:color w:val="000000"/>
        </w:rPr>
        <w:t xml:space="preserve"> por el que se reforman, adicionan y derogan diversas disposiciones de la Constitución Política de los Estados Unidos Mexicanos, en materia de simplificación orgánica, publicado en el </w:t>
      </w:r>
      <w:r w:rsidRPr="006051D0">
        <w:rPr>
          <w:b/>
          <w:bCs/>
          <w:color w:val="000000"/>
        </w:rPr>
        <w:t>Diario Oficial de la Federación (DOF)</w:t>
      </w:r>
      <w:r w:rsidRPr="006051D0">
        <w:rPr>
          <w:color w:val="000000"/>
        </w:rPr>
        <w:t xml:space="preserve"> el veinte de diciembre de dos mil veinticuatro; artículo Transitorio </w:t>
      </w:r>
      <w:r w:rsidRPr="006051D0">
        <w:rPr>
          <w:b/>
          <w:bCs/>
          <w:color w:val="000000"/>
        </w:rPr>
        <w:t>Décimo Noveno</w:t>
      </w:r>
      <w:r w:rsidRPr="006051D0">
        <w:rPr>
          <w:color w:val="000000"/>
        </w:rPr>
        <w:t xml:space="preserve"> del </w:t>
      </w:r>
      <w:r w:rsidRPr="006051D0">
        <w:rPr>
          <w:b/>
          <w:bCs/>
          <w:color w:val="000000"/>
        </w:rPr>
        <w:t>DECRETO</w:t>
      </w:r>
      <w:r w:rsidRPr="006051D0">
        <w:rPr>
          <w:color w:val="000000"/>
        </w:rPr>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6051D0">
        <w:rPr>
          <w:b/>
          <w:bCs/>
          <w:color w:val="000000"/>
        </w:rPr>
        <w:t>DOF</w:t>
      </w:r>
      <w:r w:rsidRPr="006051D0">
        <w:rPr>
          <w:color w:val="000000"/>
        </w:rPr>
        <w:t xml:space="preserve"> el veinte de marzo de dos mil veinticinco; artículos transitorios </w:t>
      </w:r>
      <w:r w:rsidRPr="006051D0">
        <w:rPr>
          <w:b/>
          <w:bCs/>
          <w:color w:val="000000"/>
        </w:rPr>
        <w:t>TERCERO</w:t>
      </w:r>
      <w:r w:rsidRPr="006051D0">
        <w:rPr>
          <w:color w:val="000000"/>
        </w:rPr>
        <w:t xml:space="preserve"> y </w:t>
      </w:r>
      <w:r w:rsidRPr="006051D0">
        <w:rPr>
          <w:b/>
          <w:bCs/>
          <w:color w:val="000000"/>
        </w:rPr>
        <w:t>CUARTO</w:t>
      </w:r>
      <w:r w:rsidRPr="006051D0">
        <w:rPr>
          <w:color w:val="000000"/>
        </w:rPr>
        <w:t xml:space="preserve"> del </w:t>
      </w:r>
      <w:r w:rsidRPr="006051D0">
        <w:rPr>
          <w:b/>
          <w:bCs/>
          <w:color w:val="000000"/>
        </w:rPr>
        <w:t>Decreto Número 198</w:t>
      </w:r>
      <w:r w:rsidRPr="006051D0">
        <w:rPr>
          <w:color w:val="00000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E77B5B" w:rsidRPr="006051D0" w:rsidRDefault="00E77B5B">
      <w:pPr>
        <w:rPr>
          <w:color w:val="000000"/>
        </w:rPr>
      </w:pPr>
    </w:p>
    <w:p w:rsidR="00E77B5B" w:rsidRPr="006051D0" w:rsidRDefault="000637F7">
      <w:pPr>
        <w:pStyle w:val="Ttulo3"/>
      </w:pPr>
      <w:bookmarkStart w:id="18" w:name="_heading=h.bt7dfajck9cn" w:colFirst="0" w:colLast="0"/>
      <w:bookmarkEnd w:id="18"/>
      <w:r w:rsidRPr="006051D0">
        <w:t>b) Legitimidad de la parte recurrente.</w:t>
      </w:r>
    </w:p>
    <w:p w:rsidR="00E77B5B" w:rsidRPr="006051D0" w:rsidRDefault="000637F7">
      <w:pPr>
        <w:rPr>
          <w:color w:val="000000"/>
        </w:rPr>
      </w:pPr>
      <w:r w:rsidRPr="006051D0">
        <w:rPr>
          <w:color w:val="000000"/>
        </w:rPr>
        <w:t>El recurso de revisión fue interpuesto por parte legítima, ya que se presentó por la misma persona que formuló la solicitud de acceso a la Información Pública,</w:t>
      </w:r>
      <w:r w:rsidRPr="006051D0">
        <w:rPr>
          <w:b/>
          <w:bCs/>
          <w:color w:val="000000"/>
        </w:rPr>
        <w:t xml:space="preserve"> </w:t>
      </w:r>
      <w:r w:rsidRPr="006051D0">
        <w:rPr>
          <w:color w:val="000000"/>
        </w:rPr>
        <w:t>debido a que los datos de acceso</w:t>
      </w:r>
      <w:r w:rsidRPr="006051D0">
        <w:rPr>
          <w:b/>
          <w:bCs/>
          <w:color w:val="000000"/>
        </w:rPr>
        <w:t xml:space="preserve"> SAIMEX</w:t>
      </w:r>
      <w:r w:rsidRPr="006051D0">
        <w:rPr>
          <w:color w:val="000000"/>
        </w:rPr>
        <w:t xml:space="preserve"> son personales e irrepetibles.</w:t>
      </w:r>
    </w:p>
    <w:p w:rsidR="00E77B5B" w:rsidRPr="006051D0" w:rsidRDefault="00E77B5B"/>
    <w:p w:rsidR="00E77B5B" w:rsidRPr="006051D0" w:rsidRDefault="000637F7">
      <w:pPr>
        <w:pStyle w:val="Ttulo3"/>
      </w:pPr>
      <w:bookmarkStart w:id="19" w:name="_heading=h.50ed1cxmp1ju" w:colFirst="0" w:colLast="0"/>
      <w:bookmarkEnd w:id="19"/>
      <w:r w:rsidRPr="006051D0">
        <w:t>c) Plazo para interponer el recurso.</w:t>
      </w:r>
    </w:p>
    <w:p w:rsidR="00E77B5B" w:rsidRPr="006051D0" w:rsidRDefault="000637F7">
      <w:bookmarkStart w:id="20" w:name="_heading=h.1pxezwc" w:colFirst="0" w:colLast="0"/>
      <w:bookmarkEnd w:id="20"/>
      <w:r w:rsidRPr="006051D0">
        <w:t>En la siguiente tabla se especifican los plazos para la interposición del recurso de inconformidad, a saber:</w:t>
      </w:r>
    </w:p>
    <w:p w:rsidR="00E77B5B" w:rsidRPr="006051D0" w:rsidRDefault="00E77B5B"/>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E77B5B" w:rsidRPr="006051D0">
        <w:tc>
          <w:tcPr>
            <w:tcW w:w="3011" w:type="dxa"/>
          </w:tcPr>
          <w:p w:rsidR="00E77B5B" w:rsidRPr="006051D0" w:rsidRDefault="000637F7">
            <w:pPr>
              <w:jc w:val="center"/>
              <w:rPr>
                <w:b/>
                <w:bCs/>
                <w:color w:val="000000"/>
                <w:sz w:val="16"/>
                <w:szCs w:val="16"/>
              </w:rPr>
            </w:pPr>
            <w:r w:rsidRPr="006051D0">
              <w:rPr>
                <w:b/>
                <w:bCs/>
                <w:color w:val="000000"/>
                <w:sz w:val="16"/>
                <w:szCs w:val="16"/>
              </w:rPr>
              <w:lastRenderedPageBreak/>
              <w:t>Fecha de Respuesta</w:t>
            </w:r>
          </w:p>
        </w:tc>
        <w:tc>
          <w:tcPr>
            <w:tcW w:w="3011" w:type="dxa"/>
          </w:tcPr>
          <w:p w:rsidR="00E77B5B" w:rsidRPr="006051D0" w:rsidRDefault="000637F7">
            <w:pPr>
              <w:jc w:val="center"/>
              <w:rPr>
                <w:b/>
                <w:bCs/>
                <w:color w:val="000000"/>
                <w:sz w:val="16"/>
                <w:szCs w:val="16"/>
              </w:rPr>
            </w:pPr>
            <w:r w:rsidRPr="006051D0">
              <w:rPr>
                <w:b/>
                <w:bCs/>
                <w:color w:val="000000"/>
                <w:sz w:val="16"/>
                <w:szCs w:val="16"/>
              </w:rPr>
              <w:t>Fecha de Interposición</w:t>
            </w:r>
          </w:p>
        </w:tc>
        <w:tc>
          <w:tcPr>
            <w:tcW w:w="3012" w:type="dxa"/>
          </w:tcPr>
          <w:p w:rsidR="00E77B5B" w:rsidRPr="006051D0" w:rsidRDefault="000637F7">
            <w:pPr>
              <w:jc w:val="center"/>
              <w:rPr>
                <w:b/>
                <w:bCs/>
                <w:color w:val="000000"/>
                <w:sz w:val="16"/>
                <w:szCs w:val="16"/>
              </w:rPr>
            </w:pPr>
            <w:r w:rsidRPr="006051D0">
              <w:rPr>
                <w:b/>
                <w:bCs/>
                <w:color w:val="000000"/>
                <w:sz w:val="16"/>
                <w:szCs w:val="16"/>
              </w:rPr>
              <w:t>Observación</w:t>
            </w:r>
          </w:p>
        </w:tc>
      </w:tr>
      <w:tr w:rsidR="00E77B5B" w:rsidRPr="006051D0">
        <w:tc>
          <w:tcPr>
            <w:tcW w:w="3011" w:type="dxa"/>
          </w:tcPr>
          <w:p w:rsidR="00E77B5B" w:rsidRPr="006051D0" w:rsidRDefault="000637F7">
            <w:pPr>
              <w:jc w:val="center"/>
              <w:rPr>
                <w:b/>
                <w:bCs/>
                <w:color w:val="000000"/>
                <w:sz w:val="16"/>
                <w:szCs w:val="16"/>
              </w:rPr>
            </w:pPr>
            <w:r w:rsidRPr="006051D0">
              <w:rPr>
                <w:b/>
                <w:bCs/>
                <w:color w:val="000000"/>
                <w:sz w:val="16"/>
                <w:szCs w:val="16"/>
              </w:rPr>
              <w:t>23 de enero de 2026</w:t>
            </w:r>
          </w:p>
        </w:tc>
        <w:tc>
          <w:tcPr>
            <w:tcW w:w="3011" w:type="dxa"/>
          </w:tcPr>
          <w:p w:rsidR="00E77B5B" w:rsidRPr="006051D0" w:rsidRDefault="000637F7">
            <w:pPr>
              <w:jc w:val="center"/>
              <w:rPr>
                <w:b/>
                <w:bCs/>
                <w:color w:val="000000"/>
                <w:sz w:val="16"/>
                <w:szCs w:val="16"/>
              </w:rPr>
            </w:pPr>
            <w:r w:rsidRPr="006051D0">
              <w:rPr>
                <w:b/>
                <w:bCs/>
                <w:color w:val="000000"/>
                <w:sz w:val="16"/>
                <w:szCs w:val="16"/>
              </w:rPr>
              <w:t>2</w:t>
            </w:r>
            <w:r w:rsidRPr="006051D0">
              <w:rPr>
                <w:b/>
                <w:bCs/>
                <w:sz w:val="16"/>
                <w:szCs w:val="16"/>
              </w:rPr>
              <w:t>6</w:t>
            </w:r>
            <w:r w:rsidRPr="006051D0">
              <w:rPr>
                <w:b/>
                <w:bCs/>
                <w:color w:val="000000"/>
                <w:sz w:val="16"/>
                <w:szCs w:val="16"/>
              </w:rPr>
              <w:t xml:space="preserve"> de enero de 2026</w:t>
            </w:r>
          </w:p>
        </w:tc>
        <w:tc>
          <w:tcPr>
            <w:tcW w:w="3012" w:type="dxa"/>
          </w:tcPr>
          <w:p w:rsidR="00E77B5B" w:rsidRPr="006051D0" w:rsidRDefault="000637F7">
            <w:pPr>
              <w:rPr>
                <w:b/>
                <w:bCs/>
                <w:color w:val="000000"/>
                <w:sz w:val="16"/>
                <w:szCs w:val="16"/>
              </w:rPr>
            </w:pPr>
            <w:r w:rsidRPr="006051D0">
              <w:rPr>
                <w:color w:val="000000"/>
                <w:sz w:val="16"/>
                <w:szCs w:val="16"/>
              </w:rPr>
              <w:t>Se encuentra dentro del margen temporal previsto en el artículo 178 de la Ley de Transparencia y Acceso a la Información Pública del Estado de México y Municipios.</w:t>
            </w:r>
          </w:p>
        </w:tc>
      </w:tr>
    </w:tbl>
    <w:p w:rsidR="00E77B5B" w:rsidRPr="006051D0" w:rsidRDefault="00E77B5B">
      <w:bookmarkStart w:id="21" w:name="_heading=h.kaq6rmy558bb" w:colFirst="0" w:colLast="0"/>
      <w:bookmarkEnd w:id="21"/>
    </w:p>
    <w:p w:rsidR="00E77B5B" w:rsidRPr="006051D0" w:rsidRDefault="000637F7">
      <w:pPr>
        <w:pStyle w:val="Ttulo3"/>
        <w:spacing w:line="360" w:lineRule="auto"/>
      </w:pPr>
      <w:bookmarkStart w:id="22" w:name="_heading=h.pn3h4rrxhea0" w:colFirst="0" w:colLast="0"/>
      <w:bookmarkEnd w:id="22"/>
      <w:r w:rsidRPr="006051D0">
        <w:t>d) Causal de procedencia.</w:t>
      </w:r>
    </w:p>
    <w:p w:rsidR="00E77B5B" w:rsidRPr="006051D0" w:rsidRDefault="000637F7">
      <w:r w:rsidRPr="006051D0">
        <w:t xml:space="preserve">Resulta procedente la interposición del recurso de revisión, ya que </w:t>
      </w:r>
      <w:r w:rsidRPr="006051D0">
        <w:rPr>
          <w:color w:val="000000"/>
        </w:rPr>
        <w:t>se actualiza la causal de procedencia señalada en el artículo 179, fracción IV</w:t>
      </w:r>
      <w:r w:rsidRPr="006051D0">
        <w:t xml:space="preserve"> de la Ley de Transparencia y Acceso a la Información Pública del Estado de México y Municipios.</w:t>
      </w:r>
    </w:p>
    <w:p w:rsidR="00E77B5B" w:rsidRPr="006051D0" w:rsidRDefault="00E77B5B"/>
    <w:p w:rsidR="00E77B5B" w:rsidRPr="006051D0" w:rsidRDefault="000637F7">
      <w:pPr>
        <w:pStyle w:val="Ttulo2"/>
      </w:pPr>
      <w:bookmarkStart w:id="23" w:name="_heading=h.ily258pg497" w:colFirst="0" w:colLast="0"/>
      <w:bookmarkEnd w:id="23"/>
      <w:r w:rsidRPr="006051D0">
        <w:t>SEGUNDO. Estudio de Fondo.</w:t>
      </w:r>
    </w:p>
    <w:p w:rsidR="00E77B5B" w:rsidRPr="006051D0" w:rsidRDefault="000637F7">
      <w:pPr>
        <w:pStyle w:val="Ttulo3"/>
        <w:spacing w:line="360" w:lineRule="auto"/>
      </w:pPr>
      <w:bookmarkStart w:id="24" w:name="_heading=h.gvc3r76bcwb8" w:colFirst="0" w:colLast="0"/>
      <w:bookmarkEnd w:id="24"/>
      <w:r w:rsidRPr="006051D0">
        <w:t>a) Mandato de transparencia y responsabilidad del Sujeto Obligado.</w:t>
      </w:r>
    </w:p>
    <w:p w:rsidR="00E77B5B" w:rsidRPr="006051D0" w:rsidRDefault="000637F7">
      <w:r w:rsidRPr="006051D0">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E77B5B" w:rsidRPr="006051D0" w:rsidRDefault="00E77B5B"/>
    <w:p w:rsidR="00E77B5B" w:rsidRPr="006051D0" w:rsidRDefault="000637F7">
      <w:pPr>
        <w:spacing w:line="240" w:lineRule="auto"/>
        <w:ind w:left="567" w:right="539"/>
        <w:rPr>
          <w:b/>
          <w:bCs/>
          <w:i/>
          <w:iCs/>
        </w:rPr>
      </w:pPr>
      <w:r w:rsidRPr="006051D0">
        <w:rPr>
          <w:b/>
          <w:bCs/>
          <w:i/>
          <w:iCs/>
        </w:rPr>
        <w:t>Constitución Política de los Estados Unidos Mexicanos</w:t>
      </w:r>
    </w:p>
    <w:p w:rsidR="00E77B5B" w:rsidRPr="006051D0" w:rsidRDefault="000637F7">
      <w:pPr>
        <w:spacing w:line="240" w:lineRule="auto"/>
        <w:ind w:left="567" w:right="539"/>
        <w:rPr>
          <w:b/>
          <w:bCs/>
          <w:i/>
          <w:iCs/>
        </w:rPr>
      </w:pPr>
      <w:r w:rsidRPr="006051D0">
        <w:rPr>
          <w:b/>
          <w:bCs/>
          <w:i/>
          <w:iCs/>
        </w:rPr>
        <w:t>“Artículo 6.</w:t>
      </w:r>
    </w:p>
    <w:p w:rsidR="00E77B5B" w:rsidRPr="006051D0" w:rsidRDefault="000637F7">
      <w:pPr>
        <w:spacing w:line="240" w:lineRule="auto"/>
        <w:ind w:left="567" w:right="539"/>
        <w:rPr>
          <w:i/>
          <w:iCs/>
        </w:rPr>
      </w:pPr>
      <w:r w:rsidRPr="006051D0">
        <w:rPr>
          <w:i/>
          <w:iCs/>
        </w:rPr>
        <w:t>(…)</w:t>
      </w:r>
    </w:p>
    <w:p w:rsidR="00E77B5B" w:rsidRPr="006051D0" w:rsidRDefault="000637F7">
      <w:pPr>
        <w:spacing w:line="240" w:lineRule="auto"/>
        <w:ind w:left="567" w:right="539"/>
        <w:rPr>
          <w:i/>
          <w:iCs/>
        </w:rPr>
      </w:pPr>
      <w:r w:rsidRPr="006051D0">
        <w:rPr>
          <w:i/>
          <w:iCs/>
        </w:rPr>
        <w:t>Para efectos de lo dispuesto en el presente artículo se observará lo siguiente:</w:t>
      </w:r>
    </w:p>
    <w:p w:rsidR="00E77B5B" w:rsidRPr="006051D0" w:rsidRDefault="000637F7">
      <w:pPr>
        <w:spacing w:line="240" w:lineRule="auto"/>
        <w:ind w:left="567" w:right="539"/>
        <w:rPr>
          <w:b/>
          <w:bCs/>
          <w:i/>
          <w:iCs/>
        </w:rPr>
      </w:pPr>
      <w:r w:rsidRPr="006051D0">
        <w:rPr>
          <w:b/>
          <w:bCs/>
          <w:i/>
          <w:iCs/>
        </w:rPr>
        <w:t>A</w:t>
      </w:r>
      <w:r w:rsidRPr="006051D0">
        <w:rPr>
          <w:i/>
          <w:iCs/>
        </w:rPr>
        <w:t xml:space="preserve">. </w:t>
      </w:r>
      <w:r w:rsidRPr="006051D0">
        <w:rPr>
          <w:b/>
          <w:bCs/>
          <w:i/>
          <w:iCs/>
        </w:rPr>
        <w:t>Para el ejercicio del derecho de acceso a la información</w:t>
      </w:r>
      <w:r w:rsidRPr="006051D0">
        <w:rPr>
          <w:i/>
          <w:iCs/>
        </w:rPr>
        <w:t xml:space="preserve">, la Federación y </w:t>
      </w:r>
      <w:r w:rsidRPr="006051D0">
        <w:rPr>
          <w:b/>
          <w:bCs/>
          <w:i/>
          <w:iCs/>
        </w:rPr>
        <w:t>las entidades federativas, en el ámbito de sus respectivas competencias, se regirán por los siguientes principios y bases:</w:t>
      </w:r>
    </w:p>
    <w:p w:rsidR="00E77B5B" w:rsidRPr="006051D0" w:rsidRDefault="000637F7">
      <w:pPr>
        <w:spacing w:line="240" w:lineRule="auto"/>
        <w:ind w:left="567" w:right="539"/>
        <w:rPr>
          <w:i/>
          <w:iCs/>
        </w:rPr>
      </w:pPr>
      <w:r w:rsidRPr="006051D0">
        <w:rPr>
          <w:b/>
          <w:bCs/>
          <w:i/>
          <w:iCs/>
        </w:rPr>
        <w:t xml:space="preserve">I. </w:t>
      </w:r>
      <w:r w:rsidRPr="006051D0">
        <w:rPr>
          <w:b/>
          <w:bCs/>
          <w:i/>
          <w:iCs/>
        </w:rPr>
        <w:tab/>
        <w:t>Toda la información en posesión de cualquier</w:t>
      </w:r>
      <w:r w:rsidRPr="006051D0">
        <w:rPr>
          <w:i/>
          <w:iCs/>
        </w:rPr>
        <w:t xml:space="preserve"> </w:t>
      </w:r>
      <w:r w:rsidRPr="006051D0">
        <w:rPr>
          <w:b/>
          <w:bCs/>
          <w:i/>
          <w:iCs/>
        </w:rPr>
        <w:t>autoridad</w:t>
      </w:r>
      <w:r w:rsidRPr="006051D0">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051D0">
        <w:rPr>
          <w:b/>
          <w:bCs/>
          <w:i/>
          <w:iCs/>
        </w:rPr>
        <w:t>municipal</w:t>
      </w:r>
      <w:r w:rsidRPr="006051D0">
        <w:rPr>
          <w:i/>
          <w:iCs/>
        </w:rPr>
        <w:t xml:space="preserve">, </w:t>
      </w:r>
      <w:r w:rsidRPr="006051D0">
        <w:rPr>
          <w:b/>
          <w:bCs/>
          <w:i/>
          <w:iCs/>
        </w:rPr>
        <w:t>es pública</w:t>
      </w:r>
      <w:r w:rsidRPr="006051D0">
        <w:rPr>
          <w:i/>
          <w:iCs/>
        </w:rPr>
        <w:t xml:space="preserve"> y sólo podrá ser reservada temporalmente por razones de interés público y seguridad nacional, en los términos que fijen las leyes. </w:t>
      </w:r>
      <w:r w:rsidRPr="006051D0">
        <w:rPr>
          <w:b/>
          <w:bCs/>
          <w:i/>
          <w:iCs/>
        </w:rPr>
        <w:t xml:space="preserve">En la interpretación de este derecho deberá prevalecer el principio de máxima </w:t>
      </w:r>
      <w:r w:rsidRPr="006051D0">
        <w:rPr>
          <w:b/>
          <w:bCs/>
          <w:i/>
          <w:iCs/>
        </w:rPr>
        <w:lastRenderedPageBreak/>
        <w:t>publicidad. Los sujetos obligados deberán documentar todo acto que derive del ejercicio de sus facultades, competencias o funciones</w:t>
      </w:r>
      <w:r w:rsidRPr="006051D0">
        <w:rPr>
          <w:i/>
          <w:iCs/>
        </w:rPr>
        <w:t>, la ley determinará los supuestos específicos bajo los cuales procederá la declaración de inexistencia de la información.”</w:t>
      </w:r>
    </w:p>
    <w:p w:rsidR="00E77B5B" w:rsidRPr="006051D0" w:rsidRDefault="00E77B5B">
      <w:pPr>
        <w:spacing w:line="240" w:lineRule="auto"/>
        <w:ind w:left="567" w:right="539"/>
        <w:rPr>
          <w:b/>
          <w:bCs/>
          <w:i/>
          <w:iCs/>
        </w:rPr>
      </w:pPr>
    </w:p>
    <w:p w:rsidR="00E77B5B" w:rsidRPr="006051D0" w:rsidRDefault="000637F7">
      <w:pPr>
        <w:spacing w:line="240" w:lineRule="auto"/>
        <w:ind w:left="567" w:right="539"/>
        <w:rPr>
          <w:b/>
          <w:bCs/>
          <w:i/>
          <w:iCs/>
        </w:rPr>
      </w:pPr>
      <w:r w:rsidRPr="006051D0">
        <w:rPr>
          <w:b/>
          <w:bCs/>
          <w:i/>
          <w:iCs/>
        </w:rPr>
        <w:t>Constitución Política del Estado Libre y Soberano de México</w:t>
      </w:r>
    </w:p>
    <w:p w:rsidR="00E77B5B" w:rsidRPr="006051D0" w:rsidRDefault="000637F7">
      <w:pPr>
        <w:spacing w:line="240" w:lineRule="auto"/>
        <w:ind w:left="567" w:right="539"/>
        <w:rPr>
          <w:i/>
          <w:iCs/>
        </w:rPr>
      </w:pPr>
      <w:r w:rsidRPr="006051D0">
        <w:rPr>
          <w:b/>
          <w:bCs/>
          <w:i/>
          <w:iCs/>
        </w:rPr>
        <w:t>“Artículo 5</w:t>
      </w:r>
      <w:r w:rsidRPr="006051D0">
        <w:rPr>
          <w:i/>
          <w:iCs/>
        </w:rPr>
        <w:t xml:space="preserve">.- </w:t>
      </w:r>
    </w:p>
    <w:p w:rsidR="00E77B5B" w:rsidRPr="006051D0" w:rsidRDefault="000637F7">
      <w:pPr>
        <w:spacing w:line="240" w:lineRule="auto"/>
        <w:ind w:left="567" w:right="539"/>
        <w:rPr>
          <w:i/>
          <w:iCs/>
        </w:rPr>
      </w:pPr>
      <w:r w:rsidRPr="006051D0">
        <w:rPr>
          <w:i/>
          <w:iCs/>
        </w:rPr>
        <w:t>(…)</w:t>
      </w:r>
    </w:p>
    <w:p w:rsidR="00E77B5B" w:rsidRPr="006051D0" w:rsidRDefault="000637F7">
      <w:pPr>
        <w:spacing w:line="240" w:lineRule="auto"/>
        <w:ind w:left="567" w:right="539"/>
        <w:rPr>
          <w:i/>
          <w:iCs/>
        </w:rPr>
      </w:pPr>
      <w:r w:rsidRPr="006051D0">
        <w:rPr>
          <w:b/>
          <w:bCs/>
          <w:i/>
          <w:iCs/>
        </w:rPr>
        <w:t>El derecho a la información será garantizado por el Estado. La ley establecerá las previsiones que permitan asegurar la protección, el respeto y la difusión de este derecho</w:t>
      </w:r>
      <w:r w:rsidRPr="006051D0">
        <w:rPr>
          <w:i/>
          <w:iCs/>
        </w:rPr>
        <w:t>.</w:t>
      </w:r>
    </w:p>
    <w:p w:rsidR="00E77B5B" w:rsidRPr="006051D0" w:rsidRDefault="000637F7">
      <w:pPr>
        <w:spacing w:line="240" w:lineRule="auto"/>
        <w:ind w:left="567" w:right="539"/>
        <w:rPr>
          <w:i/>
          <w:iCs/>
        </w:rPr>
      </w:pPr>
      <w:r w:rsidRPr="006051D0">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E77B5B" w:rsidRPr="006051D0" w:rsidRDefault="000637F7">
      <w:pPr>
        <w:spacing w:line="240" w:lineRule="auto"/>
        <w:ind w:left="567" w:right="539"/>
        <w:rPr>
          <w:i/>
          <w:iCs/>
        </w:rPr>
      </w:pPr>
      <w:r w:rsidRPr="006051D0">
        <w:rPr>
          <w:b/>
          <w:bCs/>
          <w:i/>
          <w:iCs/>
        </w:rPr>
        <w:t>Este derecho se regirá por los principios y bases siguientes</w:t>
      </w:r>
      <w:r w:rsidRPr="006051D0">
        <w:rPr>
          <w:i/>
          <w:iCs/>
        </w:rPr>
        <w:t>:</w:t>
      </w:r>
    </w:p>
    <w:p w:rsidR="00E77B5B" w:rsidRPr="006051D0" w:rsidRDefault="000637F7">
      <w:pPr>
        <w:spacing w:line="240" w:lineRule="auto"/>
        <w:ind w:left="567" w:right="539"/>
        <w:rPr>
          <w:i/>
          <w:iCs/>
        </w:rPr>
      </w:pPr>
      <w:r w:rsidRPr="006051D0">
        <w:rPr>
          <w:b/>
          <w:bCs/>
          <w:i/>
          <w:iCs/>
        </w:rPr>
        <w:t>I. Toda la información en posesión de cualquier autoridad, entidad, órgano y organismos de los</w:t>
      </w:r>
      <w:r w:rsidRPr="006051D0">
        <w:rPr>
          <w:i/>
          <w:iCs/>
        </w:rPr>
        <w:t xml:space="preserve"> Poderes Ejecutivo, Legislativo y Judicial, órganos autónomos, partidos políticos, fideicomisos y fondos públicos estatales y </w:t>
      </w:r>
      <w:r w:rsidRPr="006051D0">
        <w:rPr>
          <w:b/>
          <w:bCs/>
          <w:i/>
          <w:iCs/>
        </w:rPr>
        <w:t>municipales</w:t>
      </w:r>
      <w:r w:rsidRPr="006051D0">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051D0">
        <w:rPr>
          <w:b/>
          <w:bCs/>
          <w:i/>
          <w:iCs/>
        </w:rPr>
        <w:t>es pública</w:t>
      </w:r>
      <w:r w:rsidRPr="006051D0">
        <w:rPr>
          <w:i/>
          <w:iCs/>
        </w:rPr>
        <w:t xml:space="preserve"> y sólo podrá ser reservada temporalmente por razones previstas en la Constitución Política de los Estados Unidos Mexicanos de interés público y seguridad, en los términos que fijen las leyes. </w:t>
      </w:r>
      <w:r w:rsidRPr="006051D0">
        <w:rPr>
          <w:b/>
          <w:bCs/>
          <w:i/>
          <w:iCs/>
        </w:rPr>
        <w:t>En la interpretación de este derecho deberá prevalecer el principio de máxima publicidad</w:t>
      </w:r>
      <w:r w:rsidRPr="006051D0">
        <w:rPr>
          <w:i/>
          <w:iCs/>
        </w:rPr>
        <w:t xml:space="preserve">. </w:t>
      </w:r>
      <w:r w:rsidRPr="006051D0">
        <w:rPr>
          <w:b/>
          <w:bCs/>
          <w:i/>
          <w:iCs/>
        </w:rPr>
        <w:t>Los sujetos obligados deberán documentar todo acto que derive del ejercicio de sus facultades, competencias o funciones</w:t>
      </w:r>
      <w:r w:rsidRPr="006051D0">
        <w:rPr>
          <w:i/>
          <w:iCs/>
        </w:rPr>
        <w:t>, la ley determinará los supuestos específicos bajo los cuales procederá la declaración de inexistencia de la información.”</w:t>
      </w:r>
    </w:p>
    <w:p w:rsidR="00E77B5B" w:rsidRPr="006051D0" w:rsidRDefault="00E77B5B">
      <w:pPr>
        <w:rPr>
          <w:b/>
          <w:bCs/>
          <w:i/>
          <w:iCs/>
        </w:rPr>
      </w:pPr>
    </w:p>
    <w:p w:rsidR="00E77B5B" w:rsidRPr="006051D0" w:rsidRDefault="000637F7">
      <w:pPr>
        <w:rPr>
          <w:i/>
          <w:iCs/>
        </w:rPr>
      </w:pPr>
      <w:r w:rsidRPr="006051D0">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6051D0">
        <w:rPr>
          <w:i/>
          <w:iCs/>
        </w:rPr>
        <w:t>por los principios de simplicidad, rapidez, gratuidad del procedimiento, auxilio y orientación a los particulares.</w:t>
      </w:r>
    </w:p>
    <w:p w:rsidR="00E77B5B" w:rsidRPr="006051D0" w:rsidRDefault="00E77B5B">
      <w:pPr>
        <w:rPr>
          <w:i/>
          <w:iCs/>
        </w:rPr>
      </w:pPr>
    </w:p>
    <w:p w:rsidR="00E77B5B" w:rsidRPr="006051D0" w:rsidRDefault="000637F7">
      <w:pPr>
        <w:rPr>
          <w:i/>
          <w:iCs/>
        </w:rPr>
      </w:pPr>
      <w:r w:rsidRPr="006051D0">
        <w:t xml:space="preserve">Por su parte, el artículo 4 de la Ley de Transparencia y Acceso a la Información Pública del Estado de México y Municipios refiere que toda la información generada, obtenida, adquirida, </w:t>
      </w:r>
      <w:r w:rsidRPr="006051D0">
        <w:lastRenderedPageBreak/>
        <w:t>transformada, administrada o en posesión de los sujetos obligados es pública y accesible de manera permanente a cualquier persona, privilegiando el principio de máxima publicidad.</w:t>
      </w:r>
    </w:p>
    <w:p w:rsidR="00E77B5B" w:rsidRPr="006051D0" w:rsidRDefault="00E77B5B"/>
    <w:p w:rsidR="00E77B5B" w:rsidRPr="006051D0" w:rsidRDefault="000637F7">
      <w:r w:rsidRPr="006051D0">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E77B5B" w:rsidRPr="006051D0" w:rsidRDefault="00E77B5B"/>
    <w:p w:rsidR="00E77B5B" w:rsidRPr="006051D0" w:rsidRDefault="000637F7">
      <w:r w:rsidRPr="006051D0">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E77B5B" w:rsidRPr="006051D0" w:rsidRDefault="00E77B5B"/>
    <w:p w:rsidR="00E77B5B" w:rsidRPr="006051D0" w:rsidRDefault="000637F7">
      <w:r w:rsidRPr="006051D0">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E77B5B" w:rsidRPr="006051D0" w:rsidRDefault="00E77B5B"/>
    <w:p w:rsidR="00E77B5B" w:rsidRPr="006051D0" w:rsidRDefault="000637F7">
      <w:bookmarkStart w:id="25" w:name="_heading=h.2bn6wsx" w:colFirst="0" w:colLast="0"/>
      <w:bookmarkEnd w:id="25"/>
      <w:r w:rsidRPr="006051D0">
        <w:t xml:space="preserve">Con base en lo anterior, se considera que </w:t>
      </w:r>
      <w:r w:rsidRPr="006051D0">
        <w:rPr>
          <w:b/>
          <w:bCs/>
        </w:rPr>
        <w:t>EL</w:t>
      </w:r>
      <w:r w:rsidRPr="006051D0">
        <w:t xml:space="preserve"> </w:t>
      </w:r>
      <w:r w:rsidRPr="006051D0">
        <w:rPr>
          <w:b/>
          <w:bCs/>
        </w:rPr>
        <w:t>SUJETO OBLIGADO</w:t>
      </w:r>
      <w:r w:rsidRPr="006051D0">
        <w:t xml:space="preserve"> se encontraba compelido a atender la solicitud de acceso a la información realizada por </w:t>
      </w:r>
      <w:r w:rsidRPr="006051D0">
        <w:rPr>
          <w:b/>
          <w:bCs/>
        </w:rPr>
        <w:t>LA PARTE RECURRENTE</w:t>
      </w:r>
      <w:r w:rsidRPr="006051D0">
        <w:t>.</w:t>
      </w:r>
    </w:p>
    <w:p w:rsidR="00E77B5B" w:rsidRPr="006051D0" w:rsidRDefault="00E77B5B"/>
    <w:p w:rsidR="00E77B5B" w:rsidRPr="006051D0" w:rsidRDefault="000637F7">
      <w:pPr>
        <w:pStyle w:val="Ttulo3"/>
        <w:spacing w:line="360" w:lineRule="auto"/>
      </w:pPr>
      <w:bookmarkStart w:id="26" w:name="_heading=h.xtme3jk7261v" w:colFirst="0" w:colLast="0"/>
      <w:bookmarkEnd w:id="26"/>
      <w:r w:rsidRPr="006051D0">
        <w:t>b) Controversia a resolver.</w:t>
      </w:r>
    </w:p>
    <w:p w:rsidR="00E77B5B" w:rsidRPr="006051D0" w:rsidRDefault="000637F7">
      <w:r w:rsidRPr="006051D0">
        <w:t xml:space="preserve">Con el objeto de ilustrar la controversia planteada, resulta conveniente precisar que, una vez realizado el estudio de las constancias que integran el expediente en que se actúa, se desprende que </w:t>
      </w:r>
      <w:r w:rsidRPr="006051D0">
        <w:rPr>
          <w:b/>
          <w:bCs/>
        </w:rPr>
        <w:t>LA PARTE RECURRENTE</w:t>
      </w:r>
      <w:r w:rsidRPr="006051D0">
        <w:t xml:space="preserve"> solicitó lo siguiente:</w:t>
      </w:r>
    </w:p>
    <w:p w:rsidR="00E77B5B" w:rsidRPr="006051D0" w:rsidRDefault="00E77B5B"/>
    <w:p w:rsidR="00E77B5B" w:rsidRPr="006051D0" w:rsidRDefault="000637F7">
      <w:pPr>
        <w:numPr>
          <w:ilvl w:val="0"/>
          <w:numId w:val="4"/>
        </w:numPr>
        <w:pBdr>
          <w:top w:val="nil"/>
          <w:left w:val="nil"/>
          <w:bottom w:val="nil"/>
          <w:right w:val="nil"/>
          <w:between w:val="nil"/>
        </w:pBdr>
        <w:rPr>
          <w:color w:val="000000"/>
        </w:rPr>
      </w:pPr>
      <w:r w:rsidRPr="006051D0">
        <w:rPr>
          <w:color w:val="000000"/>
        </w:rPr>
        <w:t>¿Cuáles son los expedientes administrativos y judiciales que dieron origen a la inhabilitación de la Presidenta Municipal de Tepotzotlán</w:t>
      </w:r>
    </w:p>
    <w:p w:rsidR="00E77B5B" w:rsidRPr="006051D0" w:rsidRDefault="000637F7">
      <w:pPr>
        <w:numPr>
          <w:ilvl w:val="0"/>
          <w:numId w:val="4"/>
        </w:numPr>
        <w:pBdr>
          <w:top w:val="nil"/>
          <w:left w:val="nil"/>
          <w:bottom w:val="nil"/>
          <w:right w:val="nil"/>
          <w:between w:val="nil"/>
        </w:pBdr>
        <w:rPr>
          <w:color w:val="000000"/>
        </w:rPr>
      </w:pPr>
      <w:r w:rsidRPr="006051D0">
        <w:rPr>
          <w:color w:val="000000"/>
        </w:rPr>
        <w:t>Solicito número de expediente, autoridad que los resolvió y fecha de emisión de la sanción.</w:t>
      </w:r>
    </w:p>
    <w:p w:rsidR="00E77B5B" w:rsidRPr="006051D0" w:rsidRDefault="00E77B5B">
      <w:pPr>
        <w:pBdr>
          <w:top w:val="nil"/>
          <w:left w:val="nil"/>
          <w:bottom w:val="nil"/>
          <w:right w:val="nil"/>
          <w:between w:val="nil"/>
        </w:pBdr>
        <w:rPr>
          <w:color w:val="000000"/>
        </w:rPr>
      </w:pPr>
    </w:p>
    <w:p w:rsidR="00E77B5B" w:rsidRPr="006051D0" w:rsidRDefault="000637F7">
      <w:pPr>
        <w:pBdr>
          <w:top w:val="nil"/>
          <w:left w:val="nil"/>
          <w:bottom w:val="nil"/>
          <w:right w:val="nil"/>
          <w:between w:val="nil"/>
        </w:pBdr>
        <w:ind w:right="-28"/>
        <w:rPr>
          <w:color w:val="000000"/>
        </w:rPr>
      </w:pPr>
      <w:r w:rsidRPr="006051D0">
        <w:rPr>
          <w:color w:val="000000"/>
        </w:rPr>
        <w:t>En respuesta, el sujeto obligado se declaró incompetente para conocer de la solicitud de información y orientó al particular a dirigir su requerimiento al Tribunal de Justicia Administrativa del Estado de México, a través del Sistema de Acceso a la Información Mexiquense (SAIMEX).</w:t>
      </w:r>
    </w:p>
    <w:p w:rsidR="00E77B5B" w:rsidRPr="006051D0" w:rsidRDefault="00E77B5B">
      <w:pPr>
        <w:pBdr>
          <w:top w:val="nil"/>
          <w:left w:val="nil"/>
          <w:bottom w:val="nil"/>
          <w:right w:val="nil"/>
          <w:between w:val="nil"/>
        </w:pBdr>
        <w:ind w:right="-28"/>
        <w:rPr>
          <w:color w:val="000000"/>
        </w:rPr>
      </w:pPr>
    </w:p>
    <w:p w:rsidR="00E77B5B" w:rsidRPr="006051D0" w:rsidRDefault="000637F7">
      <w:pPr>
        <w:pBdr>
          <w:top w:val="nil"/>
          <w:left w:val="nil"/>
          <w:bottom w:val="nil"/>
          <w:right w:val="nil"/>
          <w:between w:val="nil"/>
        </w:pBdr>
        <w:ind w:right="-28"/>
        <w:rPr>
          <w:color w:val="000000"/>
        </w:rPr>
      </w:pPr>
      <w:r w:rsidRPr="006051D0">
        <w:rPr>
          <w:color w:val="000000"/>
        </w:rPr>
        <w:t>Inconforme con dicha respuesta, el solicitante interpuso el presente medio de impugnación. En ese sentido, la controversia radica en determinar si la declaración de incompetencia emitida por el sujeto obligado se encuentra debidamente fundada y motivada, o bien, si este cuenta con las atribuciones necesarias para dar respuesta a la solicitud de información planteada.</w:t>
      </w:r>
    </w:p>
    <w:p w:rsidR="00E77B5B" w:rsidRPr="006051D0" w:rsidRDefault="00E77B5B">
      <w:pPr>
        <w:tabs>
          <w:tab w:val="left" w:pos="4962"/>
        </w:tabs>
        <w:rPr>
          <w:color w:val="000000"/>
        </w:rPr>
      </w:pPr>
    </w:p>
    <w:p w:rsidR="00E77B5B" w:rsidRPr="006051D0" w:rsidRDefault="000637F7">
      <w:pPr>
        <w:pStyle w:val="Ttulo3"/>
        <w:tabs>
          <w:tab w:val="left" w:pos="6015"/>
        </w:tabs>
        <w:spacing w:line="360" w:lineRule="auto"/>
      </w:pPr>
      <w:bookmarkStart w:id="27" w:name="_heading=h.vutybm4tixyp" w:colFirst="0" w:colLast="0"/>
      <w:bookmarkEnd w:id="27"/>
      <w:r w:rsidRPr="006051D0">
        <w:t>c) Estudio de la controversia.</w:t>
      </w:r>
    </w:p>
    <w:p w:rsidR="00E77B5B" w:rsidRPr="006051D0" w:rsidRDefault="000637F7">
      <w:pPr>
        <w:ind w:right="-93"/>
      </w:pPr>
      <w:r w:rsidRPr="006051D0">
        <w:t>Resulta necesario señalar que el artículo 18 de la Ley de Transparencia local establece la obligación jurídica de los sujetos obligados de documentar todo acto que derive del ejercicio de sus facultades, competencias o funciones, considerando desde su origen la eventual publicidad y reutilización de la información.</w:t>
      </w:r>
    </w:p>
    <w:p w:rsidR="00E77B5B" w:rsidRPr="006051D0" w:rsidRDefault="00E77B5B">
      <w:pPr>
        <w:ind w:right="-93"/>
      </w:pPr>
    </w:p>
    <w:p w:rsidR="00E77B5B" w:rsidRPr="006051D0" w:rsidRDefault="000637F7">
      <w:pPr>
        <w:ind w:right="-93"/>
      </w:pPr>
      <w:r w:rsidRPr="006051D0">
        <w:t>De este precepto se advierte que las autoridades deben dejar constancia o registro material de las actividades efectuadas con motivo de sus atribuciones legales, asegurando así el respaldo de su actuar en materia de transparencia y acceso a la información pública.</w:t>
      </w:r>
    </w:p>
    <w:p w:rsidR="00E77B5B" w:rsidRPr="006051D0" w:rsidRDefault="00E77B5B">
      <w:pPr>
        <w:ind w:right="-93"/>
      </w:pPr>
    </w:p>
    <w:p w:rsidR="00E77B5B" w:rsidRPr="006051D0" w:rsidRDefault="000637F7">
      <w:pPr>
        <w:ind w:right="-93"/>
      </w:pPr>
      <w:r w:rsidRPr="006051D0">
        <w:t>Asimismo, se precisa que los documentos constituyen el testimonio material de dichas funciones, los cuales pueden presentarse en formatos escritos, impresos, sonoros, visuales, electrónicos o informáticos, y contener valores de carácter administrativo, legal, fiscal, contable, histórico o informativo.</w:t>
      </w:r>
    </w:p>
    <w:p w:rsidR="00E77B5B" w:rsidRPr="006051D0" w:rsidRDefault="00E77B5B">
      <w:pPr>
        <w:ind w:right="-93"/>
      </w:pPr>
    </w:p>
    <w:p w:rsidR="00E77B5B" w:rsidRPr="006051D0" w:rsidRDefault="000637F7">
      <w:pPr>
        <w:ind w:right="-93"/>
      </w:pPr>
      <w:r w:rsidRPr="006051D0">
        <w:t>Ahora bien, del análisis de las constancias que integran el expediente, se advierte que la Unidad de Transparencia omitió turnar la solicitud a las áreas que, por la naturaleza del requerimiento, resultan competentes para conocer de la información. En consecuencia, se incumplió con la obligación prevista en el artículo 162 de la normatividad aplicable, el cual exige canalizar las peticiones a todas las áreas correspondientes para garantizar una búsqueda exhaustiva y razonable de la información.</w:t>
      </w:r>
    </w:p>
    <w:p w:rsidR="00E77B5B" w:rsidRPr="006051D0" w:rsidRDefault="00E77B5B">
      <w:pPr>
        <w:ind w:right="-93"/>
      </w:pPr>
    </w:p>
    <w:p w:rsidR="00E77B5B" w:rsidRPr="006051D0" w:rsidRDefault="000637F7">
      <w:pPr>
        <w:ind w:right="-93"/>
      </w:pPr>
      <w:r w:rsidRPr="006051D0">
        <w:t>En ese contexto, del análisis de la solicitud de información versa de manera estricta sobre los expedientes administrativos y judiciales que dieron origen a una sanción específica de inhabilitación. Al respecto, se señala que la Secretaría del Ayuntamiento es el área que posee la atribución originaria de levantar y conservar las actas de las sesiones de Cabildo, las cuales constituyen el medio documental público donde constan de manera oficial las deliberaciones, notificaciones, conocimiento y acuerdos adoptados por el cuerpo edilicio.</w:t>
      </w:r>
    </w:p>
    <w:p w:rsidR="00E77B5B" w:rsidRPr="006051D0" w:rsidRDefault="00E77B5B">
      <w:pPr>
        <w:ind w:right="-93"/>
      </w:pPr>
    </w:p>
    <w:p w:rsidR="00E77B5B" w:rsidRPr="006051D0" w:rsidRDefault="000637F7">
      <w:pPr>
        <w:ind w:right="-93"/>
      </w:pPr>
      <w:r w:rsidRPr="006051D0">
        <w:t xml:space="preserve"> Al tratarse de una sanción que afecta directamente la integración del Ayuntamiento (la inhabilitación de su Presidenta Municipal), la Secretaría del Ayuntamiento es la depositaria de </w:t>
      </w:r>
      <w:r w:rsidRPr="006051D0">
        <w:lastRenderedPageBreak/>
        <w:t>la fe pública institucional y de los registros oficiales de dichos actos, por lo que debió ser turnada formalmente en primer término para que manifestara lo conducente respecto a sus archivos.</w:t>
      </w:r>
    </w:p>
    <w:p w:rsidR="00E77B5B" w:rsidRPr="006051D0" w:rsidRDefault="00E77B5B">
      <w:pPr>
        <w:ind w:right="-93"/>
      </w:pPr>
    </w:p>
    <w:p w:rsidR="00E77B5B" w:rsidRPr="006051D0" w:rsidRDefault="000637F7">
      <w:pPr>
        <w:ind w:right="-93"/>
      </w:pPr>
      <w:r w:rsidRPr="006051D0">
        <w:t>De conformidad con el artículo 49 del Bando Municipal 2025, así como el Apartado VI, numeral 1.0 del Manual de Organización de la Dirección Jurídica de Tepotzotlán, esta unidad administrativa es la única encargada de la representación jurídica, el control, el trámite y el seguimiento de los asuntos de carácter legal, litigioso y judicial en los que la Presidenta Municipal o el Ayuntamiento sean parte.</w:t>
      </w:r>
    </w:p>
    <w:p w:rsidR="00E77B5B" w:rsidRPr="006051D0" w:rsidRDefault="00E77B5B">
      <w:pPr>
        <w:ind w:right="-93"/>
      </w:pPr>
    </w:p>
    <w:p w:rsidR="00E77B5B" w:rsidRPr="006051D0" w:rsidRDefault="000637F7">
      <w:pPr>
        <w:ind w:right="-93"/>
      </w:pPr>
      <w:r w:rsidRPr="006051D0">
        <w:t xml:space="preserve">Específicamente, las funciones 3 y 11 de su Manual de Organización le imponen la obligación de "integrar, organizar, elaborar, programar, controlar y supervisar las actividades jurídicas a realizar en los asuntos jurídicos" e "intervenir en los asuntos de carácter litigioso", detallando de forma expresa los procesos de carácter civil, mercantil, penal, agrario, de amparo y administrativos. Por lo tanto, cualquier número de expediente judicial, autoridad </w:t>
      </w:r>
      <w:proofErr w:type="spellStart"/>
      <w:r w:rsidRPr="006051D0">
        <w:t>resolutora</w:t>
      </w:r>
      <w:proofErr w:type="spellEnd"/>
      <w:r w:rsidRPr="006051D0">
        <w:t xml:space="preserve"> y fecha de emisión de sentencias o resoluciones externas (ya sean emitidas por Tribunales Administrativos, Electorales o de Amparo) que vinculen o afecten a la Titular del Ejecutivo Municipal, obran por mandato legal en los expedientes técnico-jurídicos a cargo de la Dirección Jurídica, al ser esta el área procesalmente facultada para conocer de ellos.</w:t>
      </w:r>
    </w:p>
    <w:p w:rsidR="00E77B5B" w:rsidRPr="006051D0" w:rsidRDefault="00E77B5B">
      <w:pPr>
        <w:ind w:right="-93"/>
      </w:pPr>
    </w:p>
    <w:p w:rsidR="00E77B5B" w:rsidRPr="006051D0" w:rsidRDefault="000637F7">
      <w:pPr>
        <w:ind w:right="-93"/>
      </w:pPr>
      <w:r w:rsidRPr="006051D0">
        <w:t>Bajo ese contexto, este Órgano Garante considera que la incompetencia manifestada por el sujeto obligado deviene inviable e infundada. Del análisis del marco normativo que rige la actuación de dicho sujeto, en especial de su Reglamento Interior y Manual de Organización, se advierte de manera clara y expresa la existencia de diversas áreas administrativas que poseen atribuciones concurrentes, residuales o directas para conocer, generar, poseer o administrar la información solicitada por la persona recurrente.</w:t>
      </w:r>
    </w:p>
    <w:p w:rsidR="00E77B5B" w:rsidRPr="006051D0" w:rsidRDefault="00E77B5B">
      <w:pPr>
        <w:ind w:right="-93"/>
      </w:pPr>
    </w:p>
    <w:p w:rsidR="00E77B5B" w:rsidRPr="006051D0" w:rsidRDefault="000637F7">
      <w:pPr>
        <w:ind w:right="-93"/>
      </w:pPr>
      <w:r w:rsidRPr="006051D0">
        <w:t xml:space="preserve">Al respecto, es imperativo señalar que el principio de </w:t>
      </w:r>
      <w:proofErr w:type="spellStart"/>
      <w:r w:rsidRPr="006051D0">
        <w:t>definitividad</w:t>
      </w:r>
      <w:proofErr w:type="spellEnd"/>
      <w:r w:rsidRPr="006051D0">
        <w:t xml:space="preserve"> en la declaración de incompetencia exige que el sujeto obligado agote plenamente sus facultades de atribución antes de descartar su vinculación con la materia de la solicitud. En el caso concreto, el sujeto obligado se limitó a emitir una negativa formal e institucional, omitiendo realizar un análisis competencial interno de carácter integral.</w:t>
      </w:r>
    </w:p>
    <w:p w:rsidR="00E77B5B" w:rsidRPr="006051D0" w:rsidRDefault="00E77B5B">
      <w:pPr>
        <w:ind w:right="-93"/>
      </w:pPr>
    </w:p>
    <w:p w:rsidR="00E77B5B" w:rsidRPr="006051D0" w:rsidRDefault="000637F7">
      <w:pPr>
        <w:ind w:right="-93"/>
      </w:pPr>
      <w:r w:rsidRPr="006051D0">
        <w:t>De un estudio exhaustivo de las facultades de las unidades administrativas que integran al sujeto obligado como son la Secretaría del Ayuntamiento, Sindicatura y el área jurídica de manera enunciativa más no limitativa, se desprende que el objeto de la solicitud se encuentra plenamente relacionado con sus funciones cotidianas y obligaciones de transparencia.</w:t>
      </w:r>
    </w:p>
    <w:p w:rsidR="00E77B5B" w:rsidRPr="006051D0" w:rsidRDefault="00E77B5B">
      <w:pPr>
        <w:ind w:right="-93"/>
      </w:pPr>
    </w:p>
    <w:p w:rsidR="00E77B5B" w:rsidRPr="006051D0" w:rsidRDefault="000637F7">
      <w:pPr>
        <w:ind w:right="-93"/>
      </w:pPr>
      <w:r w:rsidRPr="006051D0">
        <w:t>Por lo tanto, la simple declaración de incompetencia no cumple con el estándar de legalidad ni con el principio de máxima publicidad. En consecuencia, este Órgano Garante determina revocar la respuesta del sujeto obligado y le ORDENA realizar una búsqueda exhaustiva, formal y razonable de la información en todas y cada una de las áreas administrativas que, por la naturaleza de sus atribuciones, resulten competentes para albergarla, debiendo agotar todos los medios técnicos y de archivo a su alcance para garantizar el derecho de acceso a la información del particular.</w:t>
      </w:r>
    </w:p>
    <w:p w:rsidR="00E77B5B" w:rsidRPr="006051D0" w:rsidRDefault="00E77B5B">
      <w:pPr>
        <w:ind w:right="-93"/>
      </w:pPr>
    </w:p>
    <w:p w:rsidR="00E77B5B" w:rsidRPr="006051D0" w:rsidRDefault="000637F7">
      <w:pPr>
        <w:pStyle w:val="Ttulo3"/>
      </w:pPr>
      <w:bookmarkStart w:id="28" w:name="_heading=h.p7emrb6pu1pr" w:colFirst="0" w:colLast="0"/>
      <w:bookmarkEnd w:id="28"/>
      <w:r w:rsidRPr="006051D0">
        <w:t>d) Versión pública.</w:t>
      </w:r>
    </w:p>
    <w:p w:rsidR="00E77B5B" w:rsidRPr="006051D0" w:rsidRDefault="000637F7">
      <w:r w:rsidRPr="006051D0">
        <w:t xml:space="preserve">Para el caso de que el o los documentos de los cuales se ordena su entrega contengan datos personales susceptibles de ser testados, deberán ser entregados en </w:t>
      </w:r>
      <w:r w:rsidRPr="006051D0">
        <w:rPr>
          <w:b/>
          <w:bCs/>
        </w:rPr>
        <w:t>versión pública</w:t>
      </w:r>
      <w:r w:rsidRPr="006051D0">
        <w:t xml:space="preserve">,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w:t>
      </w:r>
      <w:r w:rsidRPr="006051D0">
        <w:lastRenderedPageBreak/>
        <w:t>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E77B5B" w:rsidRPr="006051D0" w:rsidRDefault="00E77B5B"/>
    <w:p w:rsidR="00E77B5B" w:rsidRPr="006051D0" w:rsidRDefault="000637F7">
      <w:r w:rsidRPr="006051D0">
        <w:t>A este respecto, los artículos 3, fracciones IX, XX, XXI y XLV; 51 y 52 de la Ley de Transparencia y Acceso a la Información Pública del Estado de México y Municipios establecen:</w:t>
      </w:r>
    </w:p>
    <w:p w:rsidR="00E77B5B" w:rsidRPr="006051D0" w:rsidRDefault="00E77B5B"/>
    <w:p w:rsidR="00E77B5B" w:rsidRPr="006051D0" w:rsidRDefault="000637F7">
      <w:pPr>
        <w:spacing w:line="240" w:lineRule="auto"/>
        <w:ind w:left="567" w:right="567"/>
        <w:rPr>
          <w:i/>
          <w:iCs/>
        </w:rPr>
      </w:pPr>
      <w:r w:rsidRPr="006051D0">
        <w:rPr>
          <w:b/>
          <w:bCs/>
          <w:i/>
          <w:iCs/>
        </w:rPr>
        <w:t xml:space="preserve">“Artículo 3. </w:t>
      </w:r>
      <w:r w:rsidRPr="006051D0">
        <w:rPr>
          <w:i/>
          <w:iCs/>
        </w:rPr>
        <w:t xml:space="preserve">Para los efectos de la presente Ley se entenderá por: </w:t>
      </w:r>
    </w:p>
    <w:p w:rsidR="00E77B5B" w:rsidRPr="006051D0" w:rsidRDefault="000637F7">
      <w:pPr>
        <w:spacing w:line="240" w:lineRule="auto"/>
        <w:ind w:left="567" w:right="567"/>
        <w:rPr>
          <w:i/>
          <w:iCs/>
        </w:rPr>
      </w:pPr>
      <w:r w:rsidRPr="006051D0">
        <w:rPr>
          <w:b/>
          <w:bCs/>
          <w:i/>
          <w:iCs/>
        </w:rPr>
        <w:t>IX.</w:t>
      </w:r>
      <w:r w:rsidRPr="006051D0">
        <w:rPr>
          <w:i/>
          <w:iCs/>
        </w:rPr>
        <w:t xml:space="preserve"> </w:t>
      </w:r>
      <w:r w:rsidRPr="006051D0">
        <w:rPr>
          <w:b/>
          <w:bCs/>
          <w:i/>
          <w:iCs/>
        </w:rPr>
        <w:t xml:space="preserve">Datos personales: </w:t>
      </w:r>
      <w:r w:rsidRPr="006051D0">
        <w:rPr>
          <w:i/>
          <w:iCs/>
        </w:rPr>
        <w:t xml:space="preserve">La información concerniente a una persona, identificada o identificable según lo dispuesto por la Ley de Protección de Datos Personales del Estado de México; </w:t>
      </w:r>
    </w:p>
    <w:p w:rsidR="00E77B5B" w:rsidRPr="006051D0" w:rsidRDefault="00E77B5B"/>
    <w:p w:rsidR="00E77B5B" w:rsidRPr="006051D0" w:rsidRDefault="000637F7">
      <w:pPr>
        <w:spacing w:line="240" w:lineRule="auto"/>
        <w:ind w:left="567" w:right="567"/>
        <w:rPr>
          <w:i/>
          <w:iCs/>
        </w:rPr>
      </w:pPr>
      <w:r w:rsidRPr="006051D0">
        <w:rPr>
          <w:b/>
          <w:bCs/>
          <w:i/>
          <w:iCs/>
        </w:rPr>
        <w:t>XX.</w:t>
      </w:r>
      <w:r w:rsidRPr="006051D0">
        <w:rPr>
          <w:i/>
          <w:iCs/>
        </w:rPr>
        <w:t xml:space="preserve"> </w:t>
      </w:r>
      <w:r w:rsidRPr="006051D0">
        <w:rPr>
          <w:b/>
          <w:bCs/>
          <w:i/>
          <w:iCs/>
        </w:rPr>
        <w:t>Información clasificada:</w:t>
      </w:r>
      <w:r w:rsidRPr="006051D0">
        <w:rPr>
          <w:i/>
          <w:iCs/>
        </w:rPr>
        <w:t xml:space="preserve"> Aquella considerada por la presente Ley como reservada o confidencial; </w:t>
      </w:r>
    </w:p>
    <w:p w:rsidR="00E77B5B" w:rsidRPr="006051D0" w:rsidRDefault="00E77B5B"/>
    <w:p w:rsidR="00E77B5B" w:rsidRPr="006051D0" w:rsidRDefault="000637F7">
      <w:pPr>
        <w:spacing w:line="240" w:lineRule="auto"/>
        <w:ind w:left="567" w:right="567"/>
        <w:rPr>
          <w:i/>
          <w:iCs/>
        </w:rPr>
      </w:pPr>
      <w:r w:rsidRPr="006051D0">
        <w:rPr>
          <w:b/>
          <w:bCs/>
          <w:i/>
          <w:iCs/>
        </w:rPr>
        <w:t>XXI.</w:t>
      </w:r>
      <w:r w:rsidRPr="006051D0">
        <w:rPr>
          <w:i/>
          <w:iCs/>
        </w:rPr>
        <w:t xml:space="preserve"> </w:t>
      </w:r>
      <w:r w:rsidRPr="006051D0">
        <w:rPr>
          <w:b/>
          <w:bCs/>
          <w:i/>
          <w:iCs/>
        </w:rPr>
        <w:t>Información confidencial</w:t>
      </w:r>
      <w:r w:rsidRPr="006051D0">
        <w:rPr>
          <w:i/>
          <w:iC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E77B5B" w:rsidRPr="006051D0" w:rsidRDefault="00E77B5B"/>
    <w:p w:rsidR="00E77B5B" w:rsidRPr="006051D0" w:rsidRDefault="000637F7">
      <w:pPr>
        <w:spacing w:line="240" w:lineRule="auto"/>
        <w:ind w:left="567" w:right="567"/>
        <w:rPr>
          <w:i/>
          <w:iCs/>
        </w:rPr>
      </w:pPr>
      <w:r w:rsidRPr="006051D0">
        <w:rPr>
          <w:b/>
          <w:bCs/>
          <w:i/>
          <w:iCs/>
        </w:rPr>
        <w:t>XLV. Versión pública:</w:t>
      </w:r>
      <w:r w:rsidRPr="006051D0">
        <w:rPr>
          <w:i/>
          <w:iCs/>
        </w:rPr>
        <w:t xml:space="preserve"> Documento en el que se elimine, suprime o borra la información clasificada como reservada o confidencial para permitir su acceso. </w:t>
      </w:r>
    </w:p>
    <w:p w:rsidR="00E77B5B" w:rsidRPr="006051D0" w:rsidRDefault="00E77B5B"/>
    <w:p w:rsidR="00E77B5B" w:rsidRPr="006051D0" w:rsidRDefault="000637F7">
      <w:pPr>
        <w:spacing w:line="240" w:lineRule="auto"/>
        <w:ind w:left="567" w:right="567"/>
        <w:rPr>
          <w:i/>
          <w:iCs/>
        </w:rPr>
      </w:pPr>
      <w:r w:rsidRPr="006051D0">
        <w:rPr>
          <w:b/>
          <w:bCs/>
          <w:i/>
          <w:iCs/>
        </w:rPr>
        <w:t>Artículo 51.</w:t>
      </w:r>
      <w:r w:rsidRPr="006051D0">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6051D0">
        <w:rPr>
          <w:b/>
          <w:bCs/>
          <w:i/>
          <w:iCs/>
        </w:rPr>
        <w:t xml:space="preserve">y tendrá la responsabilidad de verificar en cada caso que la misma no sea confidencial o reservada. </w:t>
      </w:r>
      <w:r w:rsidRPr="006051D0">
        <w:rPr>
          <w:i/>
          <w:iCs/>
        </w:rPr>
        <w:t>Dicha Unidad contará con las facultades internas necesarias para gestionar la atención a las solicitudes de información en los términos de la Ley General y la presente Ley.</w:t>
      </w:r>
    </w:p>
    <w:p w:rsidR="00E77B5B" w:rsidRPr="006051D0" w:rsidRDefault="00E77B5B"/>
    <w:p w:rsidR="00E77B5B" w:rsidRPr="006051D0" w:rsidRDefault="000637F7">
      <w:pPr>
        <w:spacing w:line="240" w:lineRule="auto"/>
        <w:ind w:left="567" w:right="567"/>
        <w:rPr>
          <w:i/>
          <w:iCs/>
        </w:rPr>
      </w:pPr>
      <w:r w:rsidRPr="006051D0">
        <w:rPr>
          <w:b/>
          <w:bCs/>
          <w:i/>
          <w:iCs/>
        </w:rPr>
        <w:t>Artículo 52.</w:t>
      </w:r>
      <w:r w:rsidRPr="006051D0">
        <w:rPr>
          <w:i/>
          <w:iCs/>
        </w:rPr>
        <w:t xml:space="preserve"> Las solicitudes de acceso a la información y las respuestas que se les dé, incluyendo, en su caso, </w:t>
      </w:r>
      <w:r w:rsidRPr="006051D0">
        <w:rPr>
          <w:i/>
          <w:iCs/>
          <w:u w:val="single"/>
        </w:rPr>
        <w:t>la información entregada, así como las resoluciones a los recursos que en su caso se promuevan serán públicas, y de ser el caso que contenga datos personales que deban ser protegidos se podrá dar su acceso en su versión pública</w:t>
      </w:r>
      <w:r w:rsidRPr="006051D0">
        <w:rPr>
          <w:i/>
          <w:iCs/>
        </w:rPr>
        <w:t xml:space="preserve">, siempre y cuando la resolución de referencia se someta a un proceso de disociación, es decir, no haga identificable al titular de tales datos personales.” </w:t>
      </w:r>
      <w:r w:rsidRPr="006051D0">
        <w:t>(Énfasis añadido)</w:t>
      </w:r>
    </w:p>
    <w:p w:rsidR="00E77B5B" w:rsidRPr="006051D0" w:rsidRDefault="00E77B5B"/>
    <w:p w:rsidR="00E77B5B" w:rsidRPr="006051D0" w:rsidRDefault="000637F7">
      <w:r w:rsidRPr="006051D0">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E77B5B" w:rsidRPr="006051D0" w:rsidRDefault="00E77B5B"/>
    <w:p w:rsidR="00E77B5B" w:rsidRPr="006051D0" w:rsidRDefault="000637F7">
      <w:pPr>
        <w:spacing w:line="240" w:lineRule="auto"/>
        <w:ind w:left="567" w:right="567"/>
        <w:rPr>
          <w:i/>
          <w:iCs/>
        </w:rPr>
      </w:pPr>
      <w:r w:rsidRPr="006051D0">
        <w:rPr>
          <w:b/>
          <w:bCs/>
          <w:i/>
          <w:iCs/>
        </w:rPr>
        <w:t>“Artículo 22.</w:t>
      </w:r>
      <w:r w:rsidRPr="006051D0">
        <w:rPr>
          <w:i/>
          <w:iCs/>
        </w:rPr>
        <w:t xml:space="preserve"> Todo tratamiento de datos personales que efectúe el responsable deberá estar justificado por finalidades concretas, lícitas, explícitas y legítimas, relacionadas con las atribuciones que la normatividad aplicable les confiera. </w:t>
      </w:r>
    </w:p>
    <w:p w:rsidR="00E77B5B" w:rsidRPr="006051D0" w:rsidRDefault="00E77B5B"/>
    <w:p w:rsidR="00E77B5B" w:rsidRPr="006051D0" w:rsidRDefault="000637F7">
      <w:pPr>
        <w:spacing w:line="240" w:lineRule="auto"/>
        <w:ind w:left="567" w:right="567"/>
        <w:rPr>
          <w:i/>
          <w:iCs/>
        </w:rPr>
      </w:pPr>
      <w:r w:rsidRPr="006051D0">
        <w:rPr>
          <w:b/>
          <w:bCs/>
          <w:i/>
          <w:iCs/>
        </w:rPr>
        <w:t>Artículo 38.</w:t>
      </w:r>
      <w:r w:rsidRPr="006051D0">
        <w:rPr>
          <w:i/>
          <w:iC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6051D0">
        <w:rPr>
          <w:b/>
          <w:bCs/>
          <w:i/>
          <w:iCs/>
        </w:rPr>
        <w:t>”</w:t>
      </w:r>
      <w:r w:rsidRPr="006051D0">
        <w:rPr>
          <w:i/>
          <w:iCs/>
        </w:rPr>
        <w:t xml:space="preserve"> </w:t>
      </w:r>
    </w:p>
    <w:p w:rsidR="00E77B5B" w:rsidRPr="006051D0" w:rsidRDefault="00E77B5B">
      <w:pPr>
        <w:rPr>
          <w:i/>
          <w:iCs/>
        </w:rPr>
      </w:pPr>
    </w:p>
    <w:p w:rsidR="00E77B5B" w:rsidRPr="006051D0" w:rsidRDefault="000637F7">
      <w:r w:rsidRPr="006051D0">
        <w:t xml:space="preserve">De este modo, en armonía entre los principios constitucionales de máxima publicidad y de protección de datos personales, la Ley de la materia permite la elaboración de versiones </w:t>
      </w:r>
      <w:r w:rsidRPr="006051D0">
        <w:lastRenderedPageBreak/>
        <w:t xml:space="preserve">públicas en las que se suprima aquella información relacionada con la vida privada de los particulares toda vez que ésta tiene por objeto proteger datos personales, entendiéndose por tales, aquéllos que hacen identificable a una persona. </w:t>
      </w:r>
    </w:p>
    <w:p w:rsidR="00E77B5B" w:rsidRPr="006051D0" w:rsidRDefault="00E77B5B"/>
    <w:p w:rsidR="00E77B5B" w:rsidRPr="006051D0" w:rsidRDefault="000637F7">
      <w:r w:rsidRPr="006051D0">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6051D0">
        <w:rPr>
          <w:b/>
          <w:bCs/>
        </w:rPr>
        <w:t>EL SUJETO OBLIGADO,</w:t>
      </w:r>
      <w:r w:rsidRPr="006051D0">
        <w:t xml:space="preserve"> por lo que, todo dato personal susceptible de clasificación debe ser protegido.</w:t>
      </w:r>
    </w:p>
    <w:p w:rsidR="00E77B5B" w:rsidRPr="006051D0" w:rsidRDefault="00E77B5B"/>
    <w:p w:rsidR="00E77B5B" w:rsidRPr="006051D0" w:rsidRDefault="000637F7">
      <w:r w:rsidRPr="006051D0">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E77B5B" w:rsidRPr="006051D0" w:rsidRDefault="00E77B5B"/>
    <w:p w:rsidR="00E77B5B" w:rsidRPr="006051D0" w:rsidRDefault="000637F7">
      <w:r w:rsidRPr="006051D0">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E77B5B" w:rsidRPr="006051D0" w:rsidRDefault="00E77B5B"/>
    <w:p w:rsidR="00E77B5B" w:rsidRPr="006051D0" w:rsidRDefault="000637F7">
      <w:pPr>
        <w:jc w:val="center"/>
        <w:rPr>
          <w:b/>
          <w:bCs/>
          <w:i/>
          <w:iCs/>
        </w:rPr>
      </w:pPr>
      <w:r w:rsidRPr="006051D0">
        <w:rPr>
          <w:b/>
          <w:bCs/>
          <w:i/>
          <w:iCs/>
        </w:rPr>
        <w:t>Ley de Transparencia y Acceso a la Información Pública del Estado de México y Municipios</w:t>
      </w:r>
    </w:p>
    <w:p w:rsidR="00E77B5B" w:rsidRPr="006051D0" w:rsidRDefault="00E77B5B"/>
    <w:p w:rsidR="00E77B5B" w:rsidRPr="006051D0" w:rsidRDefault="000637F7">
      <w:pPr>
        <w:spacing w:line="240" w:lineRule="auto"/>
        <w:ind w:left="567" w:right="567"/>
        <w:rPr>
          <w:i/>
          <w:iCs/>
        </w:rPr>
      </w:pPr>
      <w:r w:rsidRPr="006051D0">
        <w:rPr>
          <w:b/>
          <w:bCs/>
          <w:i/>
          <w:iCs/>
        </w:rPr>
        <w:t xml:space="preserve">“Artículo 49. </w:t>
      </w:r>
      <w:r w:rsidRPr="006051D0">
        <w:rPr>
          <w:i/>
          <w:iCs/>
        </w:rPr>
        <w:t>Los Comités de Transparencia tendrán las siguientes atribuciones:</w:t>
      </w:r>
    </w:p>
    <w:p w:rsidR="00E77B5B" w:rsidRPr="006051D0" w:rsidRDefault="000637F7">
      <w:pPr>
        <w:spacing w:line="240" w:lineRule="auto"/>
        <w:ind w:left="567" w:right="567"/>
        <w:rPr>
          <w:i/>
          <w:iCs/>
        </w:rPr>
      </w:pPr>
      <w:r w:rsidRPr="006051D0">
        <w:rPr>
          <w:b/>
          <w:bCs/>
          <w:i/>
          <w:iCs/>
        </w:rPr>
        <w:t>VIII.</w:t>
      </w:r>
      <w:r w:rsidRPr="006051D0">
        <w:rPr>
          <w:i/>
          <w:iCs/>
        </w:rPr>
        <w:t xml:space="preserve"> Aprobar, modificar o revocar la clasificación de la información;</w:t>
      </w:r>
    </w:p>
    <w:p w:rsidR="00E77B5B" w:rsidRPr="006051D0" w:rsidRDefault="00E77B5B"/>
    <w:p w:rsidR="00E77B5B" w:rsidRPr="006051D0" w:rsidRDefault="000637F7">
      <w:pPr>
        <w:spacing w:line="240" w:lineRule="auto"/>
        <w:ind w:left="567" w:right="567"/>
        <w:rPr>
          <w:i/>
          <w:iCs/>
        </w:rPr>
      </w:pPr>
      <w:r w:rsidRPr="006051D0">
        <w:rPr>
          <w:b/>
          <w:bCs/>
          <w:i/>
          <w:iCs/>
        </w:rPr>
        <w:t>Artículo 132.</w:t>
      </w:r>
      <w:r w:rsidRPr="006051D0">
        <w:rPr>
          <w:i/>
          <w:iCs/>
        </w:rPr>
        <w:t xml:space="preserve"> La clasificación de la información se llevará a cabo en el momento en que:</w:t>
      </w:r>
    </w:p>
    <w:p w:rsidR="00E77B5B" w:rsidRPr="006051D0" w:rsidRDefault="000637F7">
      <w:pPr>
        <w:spacing w:line="240" w:lineRule="auto"/>
        <w:ind w:left="567" w:right="567"/>
        <w:rPr>
          <w:i/>
          <w:iCs/>
        </w:rPr>
      </w:pPr>
      <w:r w:rsidRPr="006051D0">
        <w:rPr>
          <w:b/>
          <w:bCs/>
          <w:i/>
          <w:iCs/>
        </w:rPr>
        <w:t>I.</w:t>
      </w:r>
      <w:r w:rsidRPr="006051D0">
        <w:rPr>
          <w:i/>
          <w:iCs/>
        </w:rPr>
        <w:t xml:space="preserve"> Se reciba una solicitud de acceso a la información;</w:t>
      </w:r>
    </w:p>
    <w:p w:rsidR="00E77B5B" w:rsidRPr="006051D0" w:rsidRDefault="000637F7">
      <w:pPr>
        <w:spacing w:line="240" w:lineRule="auto"/>
        <w:ind w:left="567" w:right="567"/>
        <w:rPr>
          <w:i/>
          <w:iCs/>
        </w:rPr>
      </w:pPr>
      <w:r w:rsidRPr="006051D0">
        <w:rPr>
          <w:b/>
          <w:bCs/>
          <w:i/>
          <w:iCs/>
        </w:rPr>
        <w:t>II.</w:t>
      </w:r>
      <w:r w:rsidRPr="006051D0">
        <w:rPr>
          <w:i/>
          <w:iCs/>
        </w:rPr>
        <w:t xml:space="preserve"> Se determine mediante resolución de autoridad competente; o</w:t>
      </w:r>
    </w:p>
    <w:p w:rsidR="00E77B5B" w:rsidRPr="006051D0" w:rsidRDefault="000637F7">
      <w:pPr>
        <w:spacing w:line="240" w:lineRule="auto"/>
        <w:ind w:left="567" w:right="567"/>
        <w:rPr>
          <w:b/>
          <w:bCs/>
          <w:i/>
          <w:iCs/>
        </w:rPr>
      </w:pPr>
      <w:r w:rsidRPr="006051D0">
        <w:rPr>
          <w:b/>
          <w:bCs/>
          <w:i/>
          <w:iCs/>
        </w:rPr>
        <w:t>III.</w:t>
      </w:r>
      <w:r w:rsidRPr="006051D0">
        <w:rPr>
          <w:i/>
          <w:iCs/>
        </w:rPr>
        <w:t xml:space="preserve"> Se generen versiones públicas para dar cumplimiento a las obligaciones de transparencia previstas en esta Ley.</w:t>
      </w:r>
      <w:r w:rsidRPr="006051D0">
        <w:rPr>
          <w:b/>
          <w:bCs/>
          <w:i/>
          <w:iCs/>
        </w:rPr>
        <w:t>”</w:t>
      </w:r>
    </w:p>
    <w:p w:rsidR="00E77B5B" w:rsidRPr="006051D0" w:rsidRDefault="00E77B5B"/>
    <w:p w:rsidR="00E77B5B" w:rsidRPr="006051D0" w:rsidRDefault="000637F7">
      <w:pPr>
        <w:spacing w:line="240" w:lineRule="auto"/>
        <w:ind w:left="567" w:right="567"/>
        <w:rPr>
          <w:i/>
          <w:iCs/>
        </w:rPr>
      </w:pPr>
      <w:r w:rsidRPr="006051D0">
        <w:rPr>
          <w:b/>
          <w:bCs/>
          <w:i/>
          <w:iCs/>
        </w:rPr>
        <w:t>“Segundo. -</w:t>
      </w:r>
      <w:r w:rsidRPr="006051D0">
        <w:rPr>
          <w:i/>
          <w:iCs/>
        </w:rPr>
        <w:t xml:space="preserve"> Para efectos de los presentes Lineamientos Generales, se entenderá por:</w:t>
      </w:r>
    </w:p>
    <w:p w:rsidR="00E77B5B" w:rsidRPr="006051D0" w:rsidRDefault="000637F7">
      <w:pPr>
        <w:spacing w:line="240" w:lineRule="auto"/>
        <w:ind w:left="567" w:right="567"/>
        <w:rPr>
          <w:i/>
          <w:iCs/>
        </w:rPr>
      </w:pPr>
      <w:r w:rsidRPr="006051D0">
        <w:rPr>
          <w:b/>
          <w:bCs/>
          <w:i/>
          <w:iCs/>
        </w:rPr>
        <w:t>XVIII.</w:t>
      </w:r>
      <w:r w:rsidRPr="006051D0">
        <w:rPr>
          <w:i/>
          <w:iCs/>
        </w:rPr>
        <w:t xml:space="preserve">  </w:t>
      </w:r>
      <w:r w:rsidRPr="006051D0">
        <w:rPr>
          <w:b/>
          <w:bCs/>
          <w:i/>
          <w:iCs/>
        </w:rPr>
        <w:t>Versión pública:</w:t>
      </w:r>
      <w:r w:rsidRPr="006051D0">
        <w:rPr>
          <w:i/>
          <w:iCs/>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E77B5B" w:rsidRPr="006051D0" w:rsidRDefault="00E77B5B">
      <w:pPr>
        <w:spacing w:line="240" w:lineRule="auto"/>
        <w:ind w:left="567" w:right="567"/>
        <w:rPr>
          <w:i/>
          <w:iCs/>
        </w:rPr>
      </w:pPr>
    </w:p>
    <w:p w:rsidR="00E77B5B" w:rsidRPr="006051D0" w:rsidRDefault="000637F7">
      <w:pPr>
        <w:spacing w:line="240" w:lineRule="auto"/>
        <w:ind w:left="567" w:right="567"/>
        <w:rPr>
          <w:b/>
          <w:bCs/>
          <w:i/>
          <w:iCs/>
        </w:rPr>
      </w:pPr>
      <w:r w:rsidRPr="006051D0">
        <w:rPr>
          <w:b/>
          <w:bCs/>
          <w:i/>
          <w:iCs/>
        </w:rPr>
        <w:t>Lineamientos Generales en materia de Clasificación y Desclasificación de la Información</w:t>
      </w:r>
    </w:p>
    <w:p w:rsidR="00E77B5B" w:rsidRPr="006051D0" w:rsidRDefault="00E77B5B">
      <w:pPr>
        <w:spacing w:line="240" w:lineRule="auto"/>
        <w:ind w:left="567" w:right="567"/>
        <w:rPr>
          <w:i/>
          <w:iCs/>
        </w:rPr>
      </w:pPr>
    </w:p>
    <w:p w:rsidR="00E77B5B" w:rsidRPr="006051D0" w:rsidRDefault="000637F7">
      <w:pPr>
        <w:spacing w:line="240" w:lineRule="auto"/>
        <w:ind w:left="567" w:right="567"/>
        <w:rPr>
          <w:i/>
          <w:iCs/>
        </w:rPr>
      </w:pPr>
      <w:r w:rsidRPr="006051D0">
        <w:rPr>
          <w:b/>
          <w:bCs/>
          <w:i/>
          <w:iCs/>
        </w:rPr>
        <w:t>Cuarto.</w:t>
      </w:r>
      <w:r w:rsidRPr="006051D0">
        <w:rPr>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E77B5B" w:rsidRPr="006051D0" w:rsidRDefault="000637F7">
      <w:pPr>
        <w:spacing w:line="240" w:lineRule="auto"/>
        <w:ind w:left="567" w:right="567"/>
        <w:rPr>
          <w:i/>
          <w:iCs/>
        </w:rPr>
      </w:pPr>
      <w:r w:rsidRPr="006051D0">
        <w:rPr>
          <w:i/>
          <w:iCs/>
        </w:rPr>
        <w:t>Los sujetos obligados deberán aplicar, de manera estricta, las excepciones al derecho de acceso a la información y sólo podrán invocarlas cuando acrediten su procedencia.</w:t>
      </w:r>
    </w:p>
    <w:p w:rsidR="00E77B5B" w:rsidRPr="006051D0" w:rsidRDefault="00E77B5B"/>
    <w:p w:rsidR="00E77B5B" w:rsidRPr="006051D0" w:rsidRDefault="000637F7">
      <w:pPr>
        <w:spacing w:line="240" w:lineRule="auto"/>
        <w:ind w:left="567" w:right="567"/>
        <w:rPr>
          <w:i/>
          <w:iCs/>
        </w:rPr>
      </w:pPr>
      <w:r w:rsidRPr="006051D0">
        <w:rPr>
          <w:b/>
          <w:bCs/>
          <w:i/>
          <w:iCs/>
        </w:rPr>
        <w:t>Quinto.</w:t>
      </w:r>
      <w:r w:rsidRPr="006051D0">
        <w:rPr>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E77B5B" w:rsidRPr="006051D0" w:rsidRDefault="00E77B5B"/>
    <w:p w:rsidR="00E77B5B" w:rsidRPr="006051D0" w:rsidRDefault="000637F7">
      <w:pPr>
        <w:spacing w:line="240" w:lineRule="auto"/>
        <w:ind w:left="567" w:right="567"/>
        <w:rPr>
          <w:i/>
          <w:iCs/>
        </w:rPr>
      </w:pPr>
      <w:r w:rsidRPr="006051D0">
        <w:rPr>
          <w:b/>
          <w:bCs/>
          <w:i/>
          <w:iCs/>
        </w:rPr>
        <w:lastRenderedPageBreak/>
        <w:t>Sexto.</w:t>
      </w:r>
      <w:r w:rsidRPr="006051D0">
        <w:rPr>
          <w:i/>
          <w:iCs/>
        </w:rPr>
        <w:t xml:space="preserve"> Se deroga.</w:t>
      </w:r>
    </w:p>
    <w:p w:rsidR="00E77B5B" w:rsidRPr="006051D0" w:rsidRDefault="00E77B5B"/>
    <w:p w:rsidR="00E77B5B" w:rsidRPr="006051D0" w:rsidRDefault="000637F7">
      <w:pPr>
        <w:spacing w:line="240" w:lineRule="auto"/>
        <w:ind w:left="567" w:right="567"/>
        <w:rPr>
          <w:i/>
          <w:iCs/>
        </w:rPr>
      </w:pPr>
      <w:r w:rsidRPr="006051D0">
        <w:rPr>
          <w:b/>
          <w:bCs/>
          <w:i/>
          <w:iCs/>
        </w:rPr>
        <w:t>Séptimo.</w:t>
      </w:r>
      <w:r w:rsidRPr="006051D0">
        <w:rPr>
          <w:i/>
          <w:iCs/>
        </w:rPr>
        <w:t xml:space="preserve"> La clasificación de la información se llevará a cabo en el momento en que:</w:t>
      </w:r>
    </w:p>
    <w:p w:rsidR="00E77B5B" w:rsidRPr="006051D0" w:rsidRDefault="000637F7">
      <w:pPr>
        <w:spacing w:line="240" w:lineRule="auto"/>
        <w:ind w:left="567" w:right="567"/>
        <w:rPr>
          <w:i/>
          <w:iCs/>
        </w:rPr>
      </w:pPr>
      <w:r w:rsidRPr="006051D0">
        <w:rPr>
          <w:b/>
          <w:bCs/>
          <w:i/>
          <w:iCs/>
        </w:rPr>
        <w:t>I.</w:t>
      </w:r>
      <w:r w:rsidRPr="006051D0">
        <w:rPr>
          <w:i/>
          <w:iCs/>
        </w:rPr>
        <w:t xml:space="preserve">        Se reciba una solicitud de acceso a la información;</w:t>
      </w:r>
    </w:p>
    <w:p w:rsidR="00E77B5B" w:rsidRPr="006051D0" w:rsidRDefault="000637F7">
      <w:pPr>
        <w:spacing w:line="240" w:lineRule="auto"/>
        <w:ind w:left="567" w:right="567"/>
        <w:rPr>
          <w:i/>
          <w:iCs/>
        </w:rPr>
      </w:pPr>
      <w:r w:rsidRPr="006051D0">
        <w:rPr>
          <w:b/>
          <w:bCs/>
          <w:i/>
          <w:iCs/>
        </w:rPr>
        <w:t>II.</w:t>
      </w:r>
      <w:r w:rsidRPr="006051D0">
        <w:rPr>
          <w:i/>
          <w:iCs/>
        </w:rPr>
        <w:t xml:space="preserve">       Se determine mediante resolución del Comité de Transparencia, el órgano garante competente, o en cumplimiento a una sentencia del Poder Judicial; o</w:t>
      </w:r>
    </w:p>
    <w:p w:rsidR="00E77B5B" w:rsidRPr="006051D0" w:rsidRDefault="000637F7">
      <w:pPr>
        <w:spacing w:line="240" w:lineRule="auto"/>
        <w:ind w:left="567" w:right="567"/>
        <w:rPr>
          <w:i/>
          <w:iCs/>
        </w:rPr>
      </w:pPr>
      <w:r w:rsidRPr="006051D0">
        <w:rPr>
          <w:b/>
          <w:bCs/>
          <w:i/>
          <w:iCs/>
        </w:rPr>
        <w:t>III.</w:t>
      </w:r>
      <w:r w:rsidRPr="006051D0">
        <w:rPr>
          <w:i/>
          <w:iCs/>
        </w:rPr>
        <w:t xml:space="preserve">      Se generen versiones públicas para dar cumplimiento a las obligaciones de transparencia previstas en la Ley General, la Ley Federal y las correspondientes de las entidades federativas.</w:t>
      </w:r>
    </w:p>
    <w:p w:rsidR="00E77B5B" w:rsidRPr="006051D0" w:rsidRDefault="000637F7">
      <w:pPr>
        <w:spacing w:line="240" w:lineRule="auto"/>
        <w:ind w:left="567" w:right="567"/>
        <w:rPr>
          <w:i/>
          <w:iCs/>
        </w:rPr>
      </w:pPr>
      <w:r w:rsidRPr="006051D0">
        <w:rPr>
          <w:i/>
          <w:iCs/>
        </w:rPr>
        <w:t xml:space="preserve">Los titulares de las áreas deberán revisar la información requerida al momento de la recepción de una solicitud de acceso, para verificar, conforme a su naturaleza, si encuadra en una causal de reserva o de confidencialidad. </w:t>
      </w:r>
    </w:p>
    <w:p w:rsidR="00E77B5B" w:rsidRPr="006051D0" w:rsidRDefault="00E77B5B"/>
    <w:p w:rsidR="00E77B5B" w:rsidRPr="006051D0" w:rsidRDefault="000637F7">
      <w:pPr>
        <w:spacing w:line="240" w:lineRule="auto"/>
        <w:ind w:left="567" w:right="567"/>
        <w:rPr>
          <w:i/>
          <w:iCs/>
        </w:rPr>
      </w:pPr>
      <w:r w:rsidRPr="006051D0">
        <w:rPr>
          <w:b/>
          <w:bCs/>
          <w:i/>
          <w:iCs/>
        </w:rPr>
        <w:t>Octavo.</w:t>
      </w:r>
      <w:r w:rsidRPr="006051D0">
        <w:rPr>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E77B5B" w:rsidRPr="006051D0" w:rsidRDefault="000637F7">
      <w:pPr>
        <w:spacing w:line="240" w:lineRule="auto"/>
        <w:ind w:left="567" w:right="567"/>
        <w:rPr>
          <w:i/>
          <w:iCs/>
        </w:rPr>
      </w:pPr>
      <w:r w:rsidRPr="006051D0">
        <w:rPr>
          <w:i/>
          <w:iCs/>
        </w:rPr>
        <w:t>Para motivar la clasificación se deberán señalar las razones o circunstancias especiales que lo llevaron a concluir que el caso particular se ajusta al supuesto previsto por la norma legal invocada como fundamento.</w:t>
      </w:r>
    </w:p>
    <w:p w:rsidR="00E77B5B" w:rsidRPr="006051D0" w:rsidRDefault="000637F7">
      <w:pPr>
        <w:spacing w:line="240" w:lineRule="auto"/>
        <w:ind w:left="567" w:right="567"/>
        <w:rPr>
          <w:i/>
          <w:iCs/>
        </w:rPr>
      </w:pPr>
      <w:r w:rsidRPr="006051D0">
        <w:rPr>
          <w:i/>
          <w:iCs/>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E77B5B" w:rsidRPr="006051D0" w:rsidRDefault="00E77B5B"/>
    <w:p w:rsidR="00E77B5B" w:rsidRPr="006051D0" w:rsidRDefault="000637F7">
      <w:pPr>
        <w:spacing w:line="240" w:lineRule="auto"/>
        <w:ind w:left="567" w:right="567"/>
        <w:rPr>
          <w:i/>
          <w:iCs/>
        </w:rPr>
      </w:pPr>
      <w:r w:rsidRPr="006051D0">
        <w:rPr>
          <w:b/>
          <w:bCs/>
          <w:i/>
          <w:iCs/>
        </w:rPr>
        <w:t>Noveno.</w:t>
      </w:r>
      <w:r w:rsidRPr="006051D0">
        <w:rPr>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E77B5B" w:rsidRPr="006051D0" w:rsidRDefault="00E77B5B"/>
    <w:p w:rsidR="00E77B5B" w:rsidRPr="006051D0" w:rsidRDefault="000637F7">
      <w:pPr>
        <w:spacing w:line="240" w:lineRule="auto"/>
        <w:ind w:left="567" w:right="567"/>
        <w:rPr>
          <w:i/>
          <w:iCs/>
        </w:rPr>
      </w:pPr>
      <w:r w:rsidRPr="006051D0">
        <w:rPr>
          <w:b/>
          <w:bCs/>
          <w:i/>
          <w:iCs/>
        </w:rPr>
        <w:t>Décimo.</w:t>
      </w:r>
      <w:r w:rsidRPr="006051D0">
        <w:rPr>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E77B5B" w:rsidRPr="006051D0" w:rsidRDefault="000637F7">
      <w:pPr>
        <w:spacing w:line="240" w:lineRule="auto"/>
        <w:ind w:left="567" w:right="567"/>
        <w:rPr>
          <w:i/>
          <w:iCs/>
        </w:rPr>
      </w:pPr>
      <w:r w:rsidRPr="006051D0">
        <w:rPr>
          <w:i/>
          <w:iCs/>
        </w:rPr>
        <w:lastRenderedPageBreak/>
        <w:t>En ausencia de los titulares de las áreas, la información será clasificada o desclasificada por la persona que lo supla, en términos de la normativa que rija la actuación del sujeto obligado.</w:t>
      </w:r>
    </w:p>
    <w:p w:rsidR="00E77B5B" w:rsidRPr="006051D0" w:rsidRDefault="000637F7">
      <w:pPr>
        <w:spacing w:line="240" w:lineRule="auto"/>
        <w:ind w:left="567" w:right="567"/>
        <w:rPr>
          <w:b/>
          <w:bCs/>
          <w:i/>
          <w:iCs/>
        </w:rPr>
      </w:pPr>
      <w:r w:rsidRPr="006051D0">
        <w:rPr>
          <w:b/>
          <w:bCs/>
          <w:i/>
          <w:iCs/>
        </w:rPr>
        <w:t>Décimo primero.</w:t>
      </w:r>
      <w:r w:rsidRPr="006051D0">
        <w:rPr>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6051D0">
        <w:rPr>
          <w:b/>
          <w:bCs/>
          <w:i/>
          <w:iCs/>
        </w:rPr>
        <w:t>”</w:t>
      </w:r>
    </w:p>
    <w:p w:rsidR="00E77B5B" w:rsidRPr="006051D0" w:rsidRDefault="00E77B5B"/>
    <w:p w:rsidR="00E77B5B" w:rsidRPr="006051D0" w:rsidRDefault="000637F7">
      <w:r w:rsidRPr="006051D0">
        <w:t xml:space="preserve">Consecuentemente, se destaca que la versión pública que elabore </w:t>
      </w:r>
      <w:r w:rsidRPr="006051D0">
        <w:rPr>
          <w:b/>
          <w:bCs/>
        </w:rPr>
        <w:t>EL SUJETO OBLIGADO</w:t>
      </w:r>
      <w:r w:rsidRPr="006051D0">
        <w:t xml:space="preserve"> debe cumplir con las formalidades exigidas en la Ley, por lo que para tal efecto emitirá el </w:t>
      </w:r>
      <w:r w:rsidRPr="006051D0">
        <w:rPr>
          <w:b/>
          <w:bCs/>
        </w:rPr>
        <w:t>Acuerdo del Comité de Transparencia</w:t>
      </w:r>
      <w:r w:rsidRPr="006051D0">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E77B5B" w:rsidRPr="006051D0" w:rsidRDefault="00E77B5B">
      <w:pPr>
        <w:rPr>
          <w:color w:val="000000"/>
        </w:rPr>
      </w:pPr>
    </w:p>
    <w:p w:rsidR="00E77B5B" w:rsidRPr="006051D0" w:rsidRDefault="000637F7">
      <w:pPr>
        <w:numPr>
          <w:ilvl w:val="0"/>
          <w:numId w:val="1"/>
        </w:numPr>
        <w:ind w:right="-93"/>
        <w:rPr>
          <w:b/>
          <w:bCs/>
        </w:rPr>
      </w:pPr>
      <w:r w:rsidRPr="006051D0">
        <w:rPr>
          <w:b/>
          <w:bCs/>
        </w:rPr>
        <w:t xml:space="preserve">De los procedimientos concluidos en los que se haya determinado sanción condenatoria por faltas administrativas graves. </w:t>
      </w:r>
    </w:p>
    <w:p w:rsidR="00E77B5B" w:rsidRPr="006051D0" w:rsidRDefault="00E77B5B">
      <w:pPr>
        <w:ind w:right="40"/>
      </w:pPr>
    </w:p>
    <w:p w:rsidR="00E77B5B" w:rsidRPr="006051D0" w:rsidRDefault="000637F7">
      <w:pPr>
        <w:ind w:right="40"/>
      </w:pPr>
      <w:r w:rsidRPr="006051D0">
        <w:t xml:space="preserve">En el caso de procedimientos que encuadren en el supuesto que se analiza, ya han causado estado, es decir, que ya no acepta recurso o medio de defensa alguno, es procedente entregar la información a </w:t>
      </w:r>
      <w:r w:rsidRPr="006051D0">
        <w:rPr>
          <w:b/>
          <w:bCs/>
        </w:rPr>
        <w:t xml:space="preserve">LA PARTE RECURRENTE </w:t>
      </w:r>
      <w:r w:rsidRPr="006051D0">
        <w:t xml:space="preserve">en versión pública, dejando </w:t>
      </w:r>
      <w:r w:rsidRPr="006051D0">
        <w:rPr>
          <w:b/>
          <w:bCs/>
        </w:rPr>
        <w:t xml:space="preserve">visible el nombre, cargo y sanción impuesta al Servidor Público </w:t>
      </w:r>
      <w:r w:rsidRPr="006051D0">
        <w:t xml:space="preserve">condenado, no así todos los datos personales </w:t>
      </w:r>
      <w:r w:rsidRPr="006051D0">
        <w:lastRenderedPageBreak/>
        <w:t xml:space="preserve">que en éste se encuentren los que se deberán proteger, para lo cual </w:t>
      </w:r>
      <w:r w:rsidRPr="006051D0">
        <w:rPr>
          <w:b/>
          <w:bCs/>
        </w:rPr>
        <w:t>EL SUJETO OBLIGADO</w:t>
      </w:r>
      <w:r w:rsidRPr="006051D0">
        <w:t xml:space="preserve"> deberá realizar y notificar el acuerdo de clasificación de la información relativa a los datos personales a efecto de que pueda emitir la versión pública.</w:t>
      </w:r>
    </w:p>
    <w:p w:rsidR="00E77B5B" w:rsidRPr="006051D0" w:rsidRDefault="00E77B5B">
      <w:pPr>
        <w:ind w:right="40"/>
      </w:pPr>
    </w:p>
    <w:p w:rsidR="00E77B5B" w:rsidRPr="006051D0" w:rsidRDefault="000637F7">
      <w:pPr>
        <w:ind w:right="40"/>
      </w:pPr>
      <w:r w:rsidRPr="006051D0">
        <w:t xml:space="preserve">Ahora bien, si bien la difusión del nombre de los servidores públicos sancionados, podría generar una percepción negativa de estos, ocasionando un perjuicio en su honor, intimidad, buena imagen y nombre, así como a su vida privada, lo cierto es que, en el presente caso dicha afectación se encuentra justificada, en virtud de que se trata de responsabilidades administrativas graves que han quedado firmes, prevaleciendo así el interés público en conocer la actuación de los servidores públicos y las sanciones impuestas. </w:t>
      </w:r>
    </w:p>
    <w:p w:rsidR="00E77B5B" w:rsidRPr="006051D0" w:rsidRDefault="00E77B5B">
      <w:pPr>
        <w:ind w:right="40"/>
      </w:pPr>
    </w:p>
    <w:p w:rsidR="00E77B5B" w:rsidRPr="006051D0" w:rsidRDefault="000637F7">
      <w:pPr>
        <w:ind w:right="40"/>
      </w:pPr>
      <w:r w:rsidRPr="006051D0">
        <w:t>Al respecto, se pueden establecer responsabilidades graves, cuando un servidor público cometa actos u omisiones de corrupción, desvío de recursos públicos, abuso de funciones, cometer o tolerar conductas de hostigamiento y acoso sexual, enriquecimiento oculto, tráfico de influencias, entre otros, los cuales recaer en diversas sanciones, entre las que se encuentran la recisión, o en su caso, la sanción económica.</w:t>
      </w:r>
    </w:p>
    <w:p w:rsidR="00E77B5B" w:rsidRPr="006051D0" w:rsidRDefault="00E77B5B">
      <w:pPr>
        <w:ind w:left="720"/>
      </w:pPr>
    </w:p>
    <w:p w:rsidR="00E77B5B" w:rsidRPr="006051D0" w:rsidRDefault="000637F7">
      <w:pPr>
        <w:ind w:right="40"/>
      </w:pPr>
      <w:r w:rsidRPr="006051D0">
        <w:t>Además, cabe señalar que la mayoría de dichas conductas, se encuentran reguladas en el Título Sexto Delitos por Hechos de Corrupción, del Código Penal del Estado de México, en donde se prevé como delitos el abuso de autoridad, uso ilícito de atribuciones, ejercicio abusivo de funciones y enriquecimiento ilícito.</w:t>
      </w:r>
    </w:p>
    <w:p w:rsidR="00E77B5B" w:rsidRPr="006051D0" w:rsidRDefault="00E77B5B">
      <w:pPr>
        <w:ind w:left="720"/>
      </w:pPr>
    </w:p>
    <w:p w:rsidR="00E77B5B" w:rsidRPr="006051D0" w:rsidRDefault="000637F7">
      <w:pPr>
        <w:ind w:right="40"/>
      </w:pPr>
      <w:r w:rsidRPr="006051D0">
        <w:t xml:space="preserve">Conforme a lo anterior, se logra vislumbrar que las responsabilidades graves, causan un perjuicio de manera externa, esto es, a terceras personas o bien, a la hacienda o erario público; por lo que, se podría considerar que existe una trascendencia social, para dar a conocer dicha </w:t>
      </w:r>
      <w:r w:rsidRPr="006051D0">
        <w:lastRenderedPageBreak/>
        <w:t>información, además que se relacionan dichas conductas con actos de corrupción, conforme a la normatividad citada en el párrafo previo.</w:t>
      </w:r>
    </w:p>
    <w:p w:rsidR="00E77B5B" w:rsidRPr="006051D0" w:rsidRDefault="000637F7">
      <w:pPr>
        <w:ind w:right="40"/>
      </w:pPr>
      <w:r w:rsidRPr="006051D0">
        <w:t>En ese orden de ideas, si bien las resoluciones solicitadas podrían generar una percepción negativa de los servidores públicos que les acreditó una responsabilidad grave, ocasionaría un perjuicio en su honor, intimidad y buena imagen, también lo es que existe un interés público en darlas a conocer, pues establecen que el actuar de los Servidores Públicos, en ejercicio de sus atribuciones, fueron en contra de las disposiciones normativas aplicables y que causaron un perjuicio a otras personas o al erario público.</w:t>
      </w:r>
    </w:p>
    <w:p w:rsidR="00E77B5B" w:rsidRPr="006051D0" w:rsidRDefault="00E77B5B">
      <w:pPr>
        <w:ind w:left="720"/>
      </w:pPr>
    </w:p>
    <w:p w:rsidR="00E77B5B" w:rsidRPr="006051D0" w:rsidRDefault="000637F7">
      <w:pPr>
        <w:ind w:right="40"/>
      </w:pPr>
      <w:r w:rsidRPr="006051D0">
        <w:t>Ante tales circunstancias, se desprende que, en el caso concreto, sobreviene una colisión de derechos fundamentales, esto es, por una parte, se tiene el derecho de acceso a la información de la Particular para conocer la información en análisis, y por la otra, el derecho a la protección de la vida privada de diversos servidores públicos, lo cual implica dar a conocer información confidencial, consistente en los procedimientos en donde se les acreditó una responsabilidad grave, de tal manera, en que los puedan reconocer.</w:t>
      </w:r>
    </w:p>
    <w:p w:rsidR="00E77B5B" w:rsidRPr="006051D0" w:rsidRDefault="00E77B5B">
      <w:pPr>
        <w:ind w:left="720"/>
      </w:pPr>
    </w:p>
    <w:p w:rsidR="00E77B5B" w:rsidRPr="006051D0" w:rsidRDefault="000637F7">
      <w:pPr>
        <w:ind w:right="40"/>
      </w:pPr>
      <w:r w:rsidRPr="006051D0">
        <w:t>Sobre el particular, debe señalarse que, en un sistema jurídico racional, el contenido de ciertos derechos fundamentales no es absoluto y la colisión entre derechos fundamentales debe resolverse mediante una ponderación que determine el derecho que ha de prevalecer en el caso concretó, y no apelando a reglas de prioridad entre normas.</w:t>
      </w:r>
    </w:p>
    <w:p w:rsidR="00E77B5B" w:rsidRPr="006051D0" w:rsidRDefault="00E77B5B">
      <w:pPr>
        <w:ind w:left="720"/>
      </w:pPr>
    </w:p>
    <w:p w:rsidR="00E77B5B" w:rsidRPr="006051D0" w:rsidRDefault="000637F7">
      <w:pPr>
        <w:ind w:right="40"/>
      </w:pPr>
      <w:r w:rsidRPr="006051D0">
        <w:t xml:space="preserve">Por cuanto hace a la colisión entre el derecho a la información y el derecho a la intimidad o a la vida privada, el Poder Judicial de la Federación ha sostenido la necesidad de resolver el conflicto apuntado mediante el ejercicio de ponderación; además, que el interés público que tenga cierta información, será concepto legitimador de las intromisiones en la intimidad o la vida privada, en donde este derecho debe ceder a favor del derecho a comunicar y recibir </w:t>
      </w:r>
      <w:r w:rsidRPr="006051D0">
        <w:lastRenderedPageBreak/>
        <w:t>información, atendiendo a las circunstancias de cada caso en concreto, tal y como se desprende de la tesis 1a. XLIII/2010, emitida por la Primera Sala de la Suprema Corte de Justicia de la Nación, publicada en el Semanario Judicial de la Federación y su Gaceta, Tomo XXXI, página 928, de marzo de 2010, Novena Época, materia constitucional.</w:t>
      </w:r>
    </w:p>
    <w:p w:rsidR="00E77B5B" w:rsidRPr="006051D0" w:rsidRDefault="00E77B5B">
      <w:pPr>
        <w:ind w:left="720"/>
      </w:pPr>
    </w:p>
    <w:p w:rsidR="00E77B5B" w:rsidRPr="006051D0" w:rsidRDefault="000637F7">
      <w:pPr>
        <w:ind w:right="40"/>
      </w:pPr>
      <w:r w:rsidRPr="006051D0">
        <w:t>En ese mismo sentido y atendiendo a la naturaleza del derecho a la protección de datos personales, por analogía, este debe ceder cuando exista un interés público mayor de acuerdo a las circunstancias del caso. Señalado lo anterior, resulta necesario realizar una ponderación de los dos intereses jurídicos tutelados que convergen en la controversia que se dirime; para lo cual, el artículo 184 de la Ley de Transparencia y Acceso a la Información Pública del Estado de México y Municipios prevé que cuando exista una colisión de derechos, este Instituto, al resolver el recurso de revisión, debe aplicar una prueba de interés público con base en elementos de idoneidad, necesidad y proporcionalidad. Para estos efectos, se entenderá por:</w:t>
      </w:r>
    </w:p>
    <w:p w:rsidR="00E77B5B" w:rsidRPr="006051D0" w:rsidRDefault="00E77B5B">
      <w:pPr>
        <w:ind w:right="40"/>
      </w:pPr>
    </w:p>
    <w:p w:rsidR="00E77B5B" w:rsidRPr="006051D0" w:rsidRDefault="000637F7">
      <w:pPr>
        <w:tabs>
          <w:tab w:val="left" w:pos="851"/>
        </w:tabs>
        <w:ind w:left="567" w:firstLine="7"/>
      </w:pPr>
      <w:r w:rsidRPr="006051D0">
        <w:t>−</w:t>
      </w:r>
      <w:r w:rsidRPr="006051D0">
        <w:rPr>
          <w:sz w:val="16"/>
          <w:szCs w:val="16"/>
        </w:rPr>
        <w:t xml:space="preserve">          </w:t>
      </w:r>
      <w:r w:rsidRPr="006051D0">
        <w:rPr>
          <w:b/>
          <w:bCs/>
        </w:rPr>
        <w:t>Idoneidad:</w:t>
      </w:r>
      <w:r w:rsidRPr="006051D0">
        <w:t xml:space="preserve"> La legitimidad del derecho adoptado como preferente, que sea el adecuado para el logro de un fin constitucionalmente válido o apto para conseguir el fin pretendido;</w:t>
      </w:r>
    </w:p>
    <w:p w:rsidR="00E77B5B" w:rsidRPr="006051D0" w:rsidRDefault="000637F7">
      <w:pPr>
        <w:tabs>
          <w:tab w:val="left" w:pos="851"/>
        </w:tabs>
        <w:spacing w:before="240" w:after="240"/>
        <w:ind w:left="567" w:firstLine="7"/>
      </w:pPr>
      <w:r w:rsidRPr="006051D0">
        <w:t>−</w:t>
      </w:r>
      <w:r w:rsidRPr="006051D0">
        <w:rPr>
          <w:sz w:val="16"/>
          <w:szCs w:val="16"/>
        </w:rPr>
        <w:t xml:space="preserve">          </w:t>
      </w:r>
      <w:r w:rsidRPr="006051D0">
        <w:rPr>
          <w:b/>
          <w:bCs/>
        </w:rPr>
        <w:t>Necesidad:</w:t>
      </w:r>
      <w:r w:rsidRPr="006051D0">
        <w:t xml:space="preserve"> La falta de un medio alternativo menos lesivo a la apertura de la información, para satisfacer el interés público, y</w:t>
      </w:r>
    </w:p>
    <w:p w:rsidR="00E77B5B" w:rsidRPr="006051D0" w:rsidRDefault="000637F7">
      <w:pPr>
        <w:tabs>
          <w:tab w:val="left" w:pos="851"/>
        </w:tabs>
        <w:spacing w:before="240" w:after="240"/>
        <w:ind w:left="567" w:firstLine="7"/>
      </w:pPr>
      <w:r w:rsidRPr="006051D0">
        <w:t>−</w:t>
      </w:r>
      <w:r w:rsidRPr="006051D0">
        <w:rPr>
          <w:sz w:val="16"/>
          <w:szCs w:val="16"/>
        </w:rPr>
        <w:t xml:space="preserve">          </w:t>
      </w:r>
      <w:r w:rsidRPr="006051D0">
        <w:rPr>
          <w:b/>
          <w:bCs/>
        </w:rPr>
        <w:t>Proporcionalidad:</w:t>
      </w:r>
      <w:r w:rsidRPr="006051D0">
        <w:t xml:space="preserve"> El equilibrio entre perjuicio y beneficio a favor del interés público, a fin de que la decisión tomada represente un beneficio mayor al perjuicio que podría causar a la población.</w:t>
      </w:r>
    </w:p>
    <w:p w:rsidR="00E77B5B" w:rsidRPr="006051D0" w:rsidRDefault="000637F7">
      <w:pPr>
        <w:spacing w:before="240"/>
      </w:pPr>
      <w:r w:rsidRPr="006051D0">
        <w:lastRenderedPageBreak/>
        <w:t>En ese orden de ideas, resulta procedente analizar cada uno de los elementos referidos, partiendo de que, en el caso concreto, se estima como preferente el derecho de acceso a la información, bajo las consideraciones que se verterán a continuación.</w:t>
      </w:r>
    </w:p>
    <w:p w:rsidR="00E77B5B" w:rsidRPr="006051D0" w:rsidRDefault="00E77B5B"/>
    <w:p w:rsidR="00E77B5B" w:rsidRPr="006051D0" w:rsidRDefault="000637F7">
      <w:pPr>
        <w:spacing w:after="240"/>
      </w:pPr>
      <w:r w:rsidRPr="006051D0">
        <w:rPr>
          <w:b/>
          <w:bCs/>
        </w:rPr>
        <w:t>a) Idoneidad</w:t>
      </w:r>
      <w:r w:rsidRPr="006051D0">
        <w:t>. El presente asunto representa un caso en el que el ejercicio del derecho de acceso a la información se contrapone al derecho a la vida privada, los cuales se encuentran reconocidos en el plano constitucional, en igualdad de características para los gobernados.</w:t>
      </w:r>
    </w:p>
    <w:p w:rsidR="00E77B5B" w:rsidRPr="006051D0" w:rsidRDefault="000637F7">
      <w:pPr>
        <w:spacing w:before="240"/>
      </w:pPr>
      <w:r w:rsidRPr="006051D0">
        <w:t>Sin embargo, existen dos fines válidos para otorgar los acuerdos emitidos en los expedientes de procedimientos de responsabilidades graves; los cuales, consisten en transparentar, por un lado, el desempeño de dichos trabajadores en cuestión en el ejercicio de sus funciones, sobre todo, dado que se tratan de servidores públicos, con la finalidad de calificar su actuar, ello con independencia de que tal funcionario también revista el carácter de persona física identificada e identificable, y, por otro lado, la actividad desplegada por el Sujeto Obligado, en la investigación y determinación de los asuntos. Aunado, a que se relacionan con responsabilidades calificadas como graves.</w:t>
      </w:r>
    </w:p>
    <w:p w:rsidR="00E77B5B" w:rsidRPr="006051D0" w:rsidRDefault="00E77B5B"/>
    <w:p w:rsidR="00E77B5B" w:rsidRPr="006051D0" w:rsidRDefault="000637F7">
      <w:r w:rsidRPr="006051D0">
        <w:t>Ahora bien, respecto al derecho al honor y a la privacidad, es establecido que cuando se hace referencia a servidores públicos, el umbral de protección del derecho a su honor debe permitir el más amplio control ciudadano sobre el ejercicio de sus funciones, porque el funcionario público se expone voluntariamente al escrutinio de la sociedad al asumir ciertas responsabilidades profesionales -lo que conlleva naturalmente mayores riesgos de sufrir afectaciones en su honor- y, porque su condición le permite tener mayor influencia social y acceder con facilidad a los medios de comunicación para dar explicaciones o reaccionar ante hechos que lo involucren.</w:t>
      </w:r>
    </w:p>
    <w:p w:rsidR="00E77B5B" w:rsidRPr="006051D0" w:rsidRDefault="00E77B5B">
      <w:pPr>
        <w:ind w:left="720"/>
      </w:pPr>
    </w:p>
    <w:p w:rsidR="00E77B5B" w:rsidRPr="006051D0" w:rsidRDefault="000637F7">
      <w:r w:rsidRPr="006051D0">
        <w:lastRenderedPageBreak/>
        <w:t>Así, se advierte que aquellas personas con responsabilidades públicas mantienen la protección derivada del derecho al honor incluso cuando no estén actuando en carácter de particulares, pero las implicaciones de esta protección deben ser ponderadas con las que derivan del interés en un debate abierto sobre los asuntos públicos.</w:t>
      </w:r>
    </w:p>
    <w:p w:rsidR="00E77B5B" w:rsidRPr="006051D0" w:rsidRDefault="00E77B5B">
      <w:pPr>
        <w:ind w:left="720"/>
      </w:pPr>
    </w:p>
    <w:p w:rsidR="00E77B5B" w:rsidRPr="006051D0" w:rsidRDefault="000637F7">
      <w:r w:rsidRPr="006051D0">
        <w:t>En ese sentido, el hecho de que los servidores públicos concluyan sus funciones, no implica que termine el mayor nivel de tolerancia frente a la crítica de su desempeño, es decir, no significa que una vez que el servidor público termine su encargo, debe estar vedado publicar información respecto de su desempeño o que se termine el mayor nivel de tolerancia que debe tener frente a la crítica, sino que ese mayor nivel, sólo se tiene frente a la información de interés público.</w:t>
      </w:r>
    </w:p>
    <w:p w:rsidR="00E77B5B" w:rsidRPr="006051D0" w:rsidRDefault="00E77B5B">
      <w:pPr>
        <w:ind w:left="720"/>
      </w:pPr>
    </w:p>
    <w:p w:rsidR="00E77B5B" w:rsidRPr="006051D0" w:rsidRDefault="000637F7">
      <w:r w:rsidRPr="006051D0">
        <w:t>En ese contexto, dado que la información se relaciona con el actuar de servidores públicos, existe un interés público por conocer los procedimientos generados en análisis vinculados con el nombre del servidor público sancionado, y, por lo tanto, la información del interés del particular no es susceptible de protección en tanto que su vinculación con una persona determinada reviste un interés público mayor de ser dado a conocer.</w:t>
      </w:r>
    </w:p>
    <w:p w:rsidR="00E77B5B" w:rsidRPr="006051D0" w:rsidRDefault="00E77B5B">
      <w:pPr>
        <w:ind w:left="720"/>
      </w:pPr>
    </w:p>
    <w:p w:rsidR="00E77B5B" w:rsidRPr="006051D0" w:rsidRDefault="000637F7">
      <w:r w:rsidRPr="006051D0">
        <w:t>Lo anterior, ya que como se precisó en párrafos anteriores, proporcionar la información de referencia, garantizaría la rendición de cuentas por parte de la Contraloría Municipal del Sujeto Obligado, relativo a su actuación, teniendo como consecuencia que los ciudadanos tengan confianza en sus autoridades, al poder conocer todos los documentos derivados de los procedimientos administrativos disciplinarios y que hayan concluido con resolución en donde se determine que un servidor público tuvo responsabilidades graves, relacionadas al ejercicio de las funciones.</w:t>
      </w:r>
    </w:p>
    <w:p w:rsidR="00E77B5B" w:rsidRPr="006051D0" w:rsidRDefault="00E77B5B">
      <w:pPr>
        <w:ind w:left="720"/>
      </w:pPr>
    </w:p>
    <w:p w:rsidR="00E77B5B" w:rsidRPr="006051D0" w:rsidRDefault="000637F7">
      <w:r w:rsidRPr="006051D0">
        <w:lastRenderedPageBreak/>
        <w:t>Además, que, con dicha información, se estaría revelando que el desempeño de los servidores públicos sancionados, no fue conforme a derecho, asimismo, de dar a conocer que los referidos acreditaron que había cometido alguna responsabilidad grave.</w:t>
      </w:r>
    </w:p>
    <w:p w:rsidR="00E77B5B" w:rsidRPr="006051D0" w:rsidRDefault="00E77B5B">
      <w:pPr>
        <w:ind w:left="720"/>
      </w:pPr>
    </w:p>
    <w:p w:rsidR="00E77B5B" w:rsidRPr="006051D0" w:rsidRDefault="000637F7">
      <w:r w:rsidRPr="006051D0">
        <w:t>Con base en lo anterior, se considera que el principio que se debe adoptar en el presente asunto es el que subyace en el derecho fundamental de acceso a la información, puesto que a través de éste se busca no sólo satisfacer un interés individual, sino la necesidad de la colectividad de estar en posibilidad de evaluar el desempeño de los servidores públicos y autoridades.</w:t>
      </w:r>
    </w:p>
    <w:p w:rsidR="00E77B5B" w:rsidRPr="006051D0" w:rsidRDefault="00E77B5B"/>
    <w:p w:rsidR="00E77B5B" w:rsidRPr="006051D0" w:rsidRDefault="000637F7">
      <w:pPr>
        <w:spacing w:after="240"/>
      </w:pPr>
      <w:r w:rsidRPr="006051D0">
        <w:rPr>
          <w:b/>
          <w:bCs/>
        </w:rPr>
        <w:t xml:space="preserve">b) Necesidad: </w:t>
      </w:r>
      <w:r w:rsidRPr="006051D0">
        <w:t>Por otra parte, este Instituto observa que también se actualiza el principio de necesidad, ya que no existe un medio menos oneroso para lograr el fin válido, pues se estima necesaria la difusión de la información requerida, es decir, de los procedimientos en análisis vinculándolos al servidor público sancionado, pues se relacionan con el ejercicio de sus funciones de los cargos ocupados, a fin de que los ciudadanos identifiquen el tipo de desempeño efectuado por el trabajador, en el ejercicio de sus atribuciones y así, calificar su actuar, ello con independencia de que el funcionario también revista el carácter de persona física identificada e identificable, pues, tal como se hizo alusión en el análisis que precede, la protección de sus datos personales queda supeditada al interés mayor de conocer los motivos y circunstancias que dieron origen a las posibles responsabilidades instauradas en su contra, que en su caso obren en los archivos.</w:t>
      </w:r>
    </w:p>
    <w:p w:rsidR="00E77B5B" w:rsidRPr="006051D0" w:rsidRDefault="000637F7">
      <w:pPr>
        <w:spacing w:before="240"/>
      </w:pPr>
      <w:r w:rsidRPr="006051D0">
        <w:t>Lo anterior, considerando que sólo por esta vía se podría lograr el acceso a la información correspondiente a los documentos del interés del Particular, para garantizar la rendición de cuentas sobre su actuación, así como, la de los servidores públicos sancionados.</w:t>
      </w:r>
    </w:p>
    <w:p w:rsidR="00E77B5B" w:rsidRPr="006051D0" w:rsidRDefault="00E77B5B">
      <w:pPr>
        <w:ind w:left="720"/>
      </w:pPr>
    </w:p>
    <w:p w:rsidR="00E77B5B" w:rsidRPr="006051D0" w:rsidRDefault="000637F7">
      <w:r w:rsidRPr="006051D0">
        <w:lastRenderedPageBreak/>
        <w:t>En tal virtud, por la trascendencia social de la materia del requerimiento, el derecho de acceso a la información deberá prevalecer sobre el derecho a la privacidad.</w:t>
      </w:r>
    </w:p>
    <w:p w:rsidR="00E77B5B" w:rsidRPr="006051D0" w:rsidRDefault="00E77B5B"/>
    <w:p w:rsidR="00E77B5B" w:rsidRPr="006051D0" w:rsidRDefault="000637F7">
      <w:pPr>
        <w:spacing w:after="240"/>
      </w:pPr>
      <w:r w:rsidRPr="006051D0">
        <w:rPr>
          <w:b/>
          <w:bCs/>
        </w:rPr>
        <w:t>c) Proporcionalidad en sentido estricto:</w:t>
      </w:r>
      <w:r w:rsidRPr="006051D0">
        <w:t xml:space="preserve"> El sacrificio de la protección del nombre de los servidores públicos, en caso de que hayan sido sujetos a proceso y cuente con una resolución sancionatoria por haber cometido responsabilidades graves, relacionadas con el desempeño de sus funciones, como medio para lograr el fin válido señalado, se justifica en razón de que se satisface el interés público en conocer el desempeño de sus funciones como trabajador gubernamental y elemento de la institución policial, esto es, que no operó conforme a derecho, así como, la actividad desplegada por las autoridades correspondientes, en el trámite de dichos asuntos. Además, que como se precisó en párrafos previos, dichas faltas recaen en una afectación, para terceras personas, o bien, al erario público.</w:t>
      </w:r>
    </w:p>
    <w:p w:rsidR="00E77B5B" w:rsidRPr="006051D0" w:rsidRDefault="000637F7">
      <w:pPr>
        <w:spacing w:before="240"/>
      </w:pPr>
      <w:r w:rsidRPr="006051D0">
        <w:t>De esta manera, se logra un mayor beneficio en proporción del otro derecho que se verá restringido, logrando publicitar información que es de interés público, por lo que, se advierte que el daño que se causaría con su difusión es menor a aquél que se causaría con su resguardo.</w:t>
      </w:r>
    </w:p>
    <w:p w:rsidR="00E77B5B" w:rsidRPr="006051D0" w:rsidRDefault="00E77B5B"/>
    <w:p w:rsidR="00E77B5B" w:rsidRPr="006051D0" w:rsidRDefault="000637F7">
      <w:r w:rsidRPr="006051D0">
        <w:t>En ese orden de ideas, es posible advertir un margen de beneficio mayor al favorecer el derecho de acceso a la información, respecto del derecho a la vida privada; por lo que, la intervención que subsume este ejercicio de ponderación apunta a la obtención de mayores efectos positivos y una afectación menor en la esfera de privacidad de los servidores públicos.</w:t>
      </w:r>
    </w:p>
    <w:p w:rsidR="00E77B5B" w:rsidRPr="006051D0" w:rsidRDefault="00E77B5B">
      <w:pPr>
        <w:ind w:left="720"/>
      </w:pPr>
    </w:p>
    <w:p w:rsidR="00E77B5B" w:rsidRPr="006051D0" w:rsidRDefault="000637F7">
      <w:r w:rsidRPr="006051D0">
        <w:t xml:space="preserve">Lo anterior se robustece con el hecho de que la difusión de la información solicitada contribuiría a garantizar el ejercicio de acceso a la información, a favorecer la rendición de cuentas a los ciudadanos, de manera que puedan valorar el desempeño de los sujetos obligados y servidores públicos, además de fortalecer el escrutinio ciudadano sobre las </w:t>
      </w:r>
      <w:r w:rsidRPr="006051D0">
        <w:lastRenderedPageBreak/>
        <w:t>actividades sustantivas de los sujetos obligados, en cumplimiento a los objetivos previstos en el artículo 2° de la Ley Federal de Transparencia y Acceso a la Información Pública.</w:t>
      </w:r>
    </w:p>
    <w:p w:rsidR="00E77B5B" w:rsidRPr="006051D0" w:rsidRDefault="00E77B5B">
      <w:pPr>
        <w:ind w:left="720"/>
      </w:pPr>
    </w:p>
    <w:p w:rsidR="00E77B5B" w:rsidRPr="006051D0" w:rsidRDefault="000637F7">
      <w:r w:rsidRPr="006051D0">
        <w:t>Por tanto, se concluye que, al tenor de la ponderación realizada, se cumple con los tres elementos para darle preminencia, en el caso concreto, al derecho de acceso a la información.</w:t>
      </w:r>
    </w:p>
    <w:p w:rsidR="00E77B5B" w:rsidRPr="006051D0" w:rsidRDefault="000637F7">
      <w:pPr>
        <w:numPr>
          <w:ilvl w:val="0"/>
          <w:numId w:val="2"/>
        </w:numPr>
        <w:ind w:right="49"/>
        <w:rPr>
          <w:b/>
          <w:bCs/>
          <w:color w:val="000000"/>
        </w:rPr>
      </w:pPr>
      <w:r w:rsidRPr="006051D0">
        <w:rPr>
          <w:b/>
          <w:bCs/>
          <w:color w:val="000000"/>
        </w:rPr>
        <w:t xml:space="preserve">Procedimientos de sanciones graves absolutorias, concluidos. </w:t>
      </w:r>
    </w:p>
    <w:p w:rsidR="00E77B5B" w:rsidRPr="006051D0" w:rsidRDefault="000637F7">
      <w:pPr>
        <w:ind w:right="49"/>
      </w:pPr>
      <w:r w:rsidRPr="006051D0">
        <w:t>Si el o los expedientes requeridos por el particular, encuadren en el presente caso se procederá a su acceso en versión pública, protegiendo el nombre, cargo y área de adscripción del Servidor Público absuelto y aquellos datos personales que hagan identificable a una persona, toda vez que la información solicitada, se relaciona con servidores públicos en específico, los cuales al no haber recibido alguna sanción por posibles responsabilidades, se procede a clasificar como confidencial, al poder causar un perjuicio a la vida privada de estos.</w:t>
      </w:r>
    </w:p>
    <w:p w:rsidR="00E77B5B" w:rsidRPr="006051D0" w:rsidRDefault="00E77B5B">
      <w:pPr>
        <w:ind w:right="49"/>
      </w:pPr>
    </w:p>
    <w:p w:rsidR="00E77B5B" w:rsidRPr="006051D0" w:rsidRDefault="000637F7">
      <w:pPr>
        <w:ind w:right="49"/>
      </w:pPr>
      <w:r w:rsidRPr="006051D0">
        <w:t>Cabe mencionar que el artículo 6°, Apartado A), fracción II, de la Constitución Política de los Estados Unidos Mexicanos, prevé que la información que se refiere a la vida privada y los datos personales, será protegida en los términos y con las excepciones que fijen las leyes. Igualmente, el segundo párrafo del artículo 16 de la Carta Magna dispone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rsidR="00E77B5B" w:rsidRPr="006051D0" w:rsidRDefault="00E77B5B">
      <w:pPr>
        <w:ind w:right="49"/>
      </w:pPr>
    </w:p>
    <w:p w:rsidR="00E77B5B" w:rsidRPr="006051D0" w:rsidRDefault="000637F7">
      <w:pPr>
        <w:ind w:right="49"/>
      </w:pPr>
      <w:r w:rsidRPr="006051D0">
        <w:t xml:space="preserve">Acorde con lo anterior, la Ley General de Transparencia y Acceso a la Información Pública, en su artículo 116, dispone que se considera información confidencial la que contenga datos personales concernientes a una persona física identificada o identificable. De la misma </w:t>
      </w:r>
      <w:r w:rsidRPr="006051D0">
        <w:lastRenderedPageBreak/>
        <w:t>manera, el artículo 5°, fracciones I y II de la Constitución Política del Estado Libre y Soberano de México, prevé que toda la información en posesión de los Sujetos Obligados será pública; no obstante, aquella referente a la intimidad de la vida privada y la imagen de las personas, será protegida a través de un marco jurídico rígido, de tratamiento y manejo de datos personales.</w:t>
      </w:r>
    </w:p>
    <w:p w:rsidR="00E77B5B" w:rsidRPr="006051D0" w:rsidRDefault="00E77B5B">
      <w:pPr>
        <w:ind w:right="49"/>
      </w:pPr>
    </w:p>
    <w:p w:rsidR="00E77B5B" w:rsidRPr="006051D0" w:rsidRDefault="000637F7">
      <w:pPr>
        <w:ind w:right="49"/>
      </w:pPr>
      <w:r w:rsidRPr="006051D0">
        <w:t>Por su parte, el artículo 24, fracción VI, de la Ley de Transparencia y Acceso a la Información Pública del Estado de México y Municipios, precisa que los Sujetos Obligados serán los responsables de proteger y resguardar la información clasificada como reservada o confidencial.</w:t>
      </w:r>
    </w:p>
    <w:p w:rsidR="00E77B5B" w:rsidRPr="006051D0" w:rsidRDefault="00E77B5B">
      <w:pPr>
        <w:ind w:right="49"/>
      </w:pPr>
    </w:p>
    <w:p w:rsidR="00E77B5B" w:rsidRPr="006051D0" w:rsidRDefault="000637F7">
      <w:pPr>
        <w:ind w:right="49"/>
      </w:pPr>
      <w:r w:rsidRPr="006051D0">
        <w:t>En concordancia con lo previo, el artículo 143, fracción I, de la Ley previamente citada, establece que la información privada y los datos personales, concernientes a una persona física identificada o identificable son confidenciales.</w:t>
      </w:r>
    </w:p>
    <w:p w:rsidR="00E77B5B" w:rsidRPr="006051D0" w:rsidRDefault="00E77B5B">
      <w:pPr>
        <w:ind w:right="49"/>
      </w:pPr>
    </w:p>
    <w:p w:rsidR="00E77B5B" w:rsidRPr="006051D0" w:rsidRDefault="000637F7">
      <w:pPr>
        <w:ind w:right="49"/>
      </w:pPr>
      <w:r w:rsidRPr="006051D0">
        <w:t xml:space="preserve">Asimismo, en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w:t>
      </w:r>
      <w:r w:rsidRPr="006051D0">
        <w:rPr>
          <w:b/>
          <w:bCs/>
        </w:rPr>
        <w:t xml:space="preserve">i) </w:t>
      </w:r>
      <w:r w:rsidRPr="006051D0">
        <w:t xml:space="preserve">la información se encuentre en registros públicos o fuentes de acceso público, </w:t>
      </w:r>
      <w:r w:rsidRPr="006051D0">
        <w:rPr>
          <w:b/>
          <w:bCs/>
        </w:rPr>
        <w:t>ii)</w:t>
      </w:r>
      <w:r w:rsidRPr="006051D0">
        <w:t xml:space="preserve"> por ley tenga el carácter de pública, </w:t>
      </w:r>
      <w:r w:rsidRPr="006051D0">
        <w:rPr>
          <w:b/>
          <w:bCs/>
        </w:rPr>
        <w:t>iii)</w:t>
      </w:r>
      <w:r w:rsidRPr="006051D0">
        <w:t xml:space="preserve"> exista una orden judicial, </w:t>
      </w:r>
      <w:r w:rsidRPr="006051D0">
        <w:rPr>
          <w:b/>
          <w:bCs/>
        </w:rPr>
        <w:t>iv)</w:t>
      </w:r>
      <w:r w:rsidRPr="006051D0">
        <w:t xml:space="preserve"> por razones de seguridad nacional y salubridad general o </w:t>
      </w:r>
      <w:r w:rsidRPr="006051D0">
        <w:rPr>
          <w:b/>
          <w:bCs/>
        </w:rPr>
        <w:t>v)</w:t>
      </w:r>
      <w:r w:rsidRPr="006051D0">
        <w:t xml:space="preserve"> para proteger los derechos de terceros o cuando se transmita entre sujetos obligados en términos de los tratados y los acuerdos interinstitucionales.</w:t>
      </w:r>
    </w:p>
    <w:p w:rsidR="00E77B5B" w:rsidRPr="006051D0" w:rsidRDefault="00E77B5B">
      <w:pPr>
        <w:ind w:right="49"/>
      </w:pPr>
    </w:p>
    <w:p w:rsidR="00E77B5B" w:rsidRPr="006051D0" w:rsidRDefault="000637F7">
      <w:pPr>
        <w:ind w:right="49"/>
      </w:pPr>
      <w:r w:rsidRPr="006051D0">
        <w:t>En términos de lo expuesto, la documentación y aquellos datos que se consideren confidenciales, serán una limitante del derecho de acceso a la información, siempre y cuando:</w:t>
      </w:r>
    </w:p>
    <w:p w:rsidR="00E77B5B" w:rsidRPr="006051D0" w:rsidRDefault="00E77B5B">
      <w:pPr>
        <w:ind w:left="360" w:right="49"/>
      </w:pPr>
    </w:p>
    <w:p w:rsidR="00E77B5B" w:rsidRPr="006051D0" w:rsidRDefault="000637F7">
      <w:pPr>
        <w:ind w:left="360" w:right="51"/>
      </w:pPr>
      <w:r w:rsidRPr="006051D0">
        <w:t xml:space="preserve">a). Se trate de datos personales; esto es, información concerniente a una persona física y que ésta sea identificada o identificable. </w:t>
      </w:r>
    </w:p>
    <w:p w:rsidR="00E77B5B" w:rsidRPr="006051D0" w:rsidRDefault="00E77B5B">
      <w:pPr>
        <w:ind w:left="360" w:right="51"/>
      </w:pPr>
    </w:p>
    <w:p w:rsidR="00E77B5B" w:rsidRPr="006051D0" w:rsidRDefault="000637F7">
      <w:pPr>
        <w:ind w:left="360" w:right="51"/>
      </w:pPr>
      <w:r w:rsidRPr="006051D0">
        <w:t xml:space="preserve">b). Para la difusión de los datos, se requiera el consentimiento del titular. </w:t>
      </w:r>
    </w:p>
    <w:p w:rsidR="00E77B5B" w:rsidRPr="006051D0" w:rsidRDefault="00E77B5B">
      <w:pPr>
        <w:ind w:left="360" w:right="49"/>
      </w:pPr>
    </w:p>
    <w:p w:rsidR="00E77B5B" w:rsidRPr="006051D0" w:rsidRDefault="000637F7">
      <w:pPr>
        <w:ind w:right="49"/>
      </w:pPr>
      <w:r w:rsidRPr="006051D0">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identificada o identificable (cuando su identidad pueda determinarse directa o indirectamente a través de cualquier documento informativo físico o electrónico), establecida en cualquier formato o modalidad. </w:t>
      </w:r>
    </w:p>
    <w:p w:rsidR="00E77B5B" w:rsidRPr="006051D0" w:rsidRDefault="00E77B5B">
      <w:pPr>
        <w:ind w:right="49"/>
      </w:pPr>
    </w:p>
    <w:p w:rsidR="00E77B5B" w:rsidRPr="006051D0" w:rsidRDefault="000637F7">
      <w:pPr>
        <w:ind w:right="49"/>
      </w:pPr>
      <w:r w:rsidRPr="006051D0">
        <w:t xml:space="preserve">Además, en el artículo 5° de dicho ordenamiento jurídico, establece que es la Ley aplicable para todo tratamiento de datos personales. </w:t>
      </w:r>
    </w:p>
    <w:p w:rsidR="00E77B5B" w:rsidRPr="006051D0" w:rsidRDefault="00E77B5B">
      <w:pPr>
        <w:ind w:left="360" w:right="49"/>
      </w:pPr>
    </w:p>
    <w:p w:rsidR="00E77B5B" w:rsidRPr="006051D0" w:rsidRDefault="000637F7">
      <w:pPr>
        <w:ind w:right="49"/>
      </w:pPr>
      <w:r w:rsidRPr="006051D0">
        <w:t>En ese contexto,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rsidR="00E77B5B" w:rsidRPr="006051D0" w:rsidRDefault="00E77B5B">
      <w:pPr>
        <w:ind w:right="49"/>
      </w:pPr>
    </w:p>
    <w:p w:rsidR="00E77B5B" w:rsidRPr="006051D0" w:rsidRDefault="000637F7">
      <w:pPr>
        <w:ind w:right="49"/>
      </w:pPr>
      <w:r w:rsidRPr="006051D0">
        <w:lastRenderedPageBreak/>
        <w:t>Así, un dato personal es cualquier información que pueda hacer a una persona física identificada e identificable, como su nombre o imagen. Asimismo, la doctrina desarrollada a nivel internacional, respecto del tema de datos personales, establece que también las preferencias, gustos, cualidades, opiniones y creencias, constituyen datos personales. En este sentido, cualquier información que por sí sola o relacionada con otra permita hacer identificable a una persona, es un dato personal, susceptible de ser clasificado.</w:t>
      </w:r>
    </w:p>
    <w:p w:rsidR="00E77B5B" w:rsidRPr="006051D0" w:rsidRDefault="00E77B5B">
      <w:pPr>
        <w:ind w:right="49"/>
      </w:pPr>
    </w:p>
    <w:p w:rsidR="00E77B5B" w:rsidRPr="006051D0" w:rsidRDefault="000637F7">
      <w:pPr>
        <w:ind w:right="49"/>
      </w:pPr>
      <w:r w:rsidRPr="006051D0">
        <w:t xml:space="preserve">En este contexto, la confidencialidad de los datos personales, tiene por objetivo establecer el límite del derecho de acceso a la información a partir del derecho a la intimidad y la vida privada de los individuos. </w:t>
      </w:r>
    </w:p>
    <w:p w:rsidR="00E77B5B" w:rsidRPr="006051D0" w:rsidRDefault="00E77B5B">
      <w:pPr>
        <w:ind w:right="49"/>
      </w:pPr>
    </w:p>
    <w:p w:rsidR="00E77B5B" w:rsidRPr="006051D0" w:rsidRDefault="000637F7">
      <w:pPr>
        <w:ind w:right="49"/>
      </w:pPr>
      <w:r w:rsidRPr="006051D0">
        <w:t>De tal suerte, las instituciones públicas tienen la doble responsabilidad, por un lado, de proteger los datos personales y por otro, darle publicidad aquella información de relevancia que sea de interés público.</w:t>
      </w:r>
    </w:p>
    <w:p w:rsidR="00E77B5B" w:rsidRPr="006051D0" w:rsidRDefault="00E77B5B">
      <w:pPr>
        <w:ind w:right="49"/>
      </w:pPr>
    </w:p>
    <w:p w:rsidR="00E77B5B" w:rsidRPr="006051D0" w:rsidRDefault="000637F7">
      <w:pPr>
        <w:ind w:right="49"/>
      </w:pPr>
      <w:r w:rsidRPr="006051D0">
        <w:t xml:space="preserve">En este orden de ideas, toda la información que transparente la gestión pública, favorezca la rendición de cuentas y contribuya a la democratización del Estado Mexicano es, sin excepción, de naturaleza pública; sin embargo, la información esta necesariamente vinculada con datos personales, los cuales deben ser protegidos </w:t>
      </w:r>
    </w:p>
    <w:p w:rsidR="00E77B5B" w:rsidRPr="006051D0" w:rsidRDefault="00E77B5B">
      <w:pPr>
        <w:ind w:left="360"/>
      </w:pPr>
    </w:p>
    <w:p w:rsidR="00E77B5B" w:rsidRPr="006051D0" w:rsidRDefault="000637F7">
      <w:pPr>
        <w:ind w:right="49"/>
      </w:pPr>
      <w:r w:rsidRPr="006051D0">
        <w:t>En tales circunstancias, se considera que en la especie proporcionar el nombre, cargo y área de adscripción de los Servidores Públicos absueltos,</w:t>
      </w:r>
      <w:r w:rsidRPr="006051D0">
        <w:rPr>
          <w:b/>
          <w:bCs/>
        </w:rPr>
        <w:t xml:space="preserve"> </w:t>
      </w:r>
      <w:r w:rsidRPr="006051D0">
        <w:t>en caso de que existieran, podría afectar su honor, buen nombre y su imagen.</w:t>
      </w:r>
    </w:p>
    <w:p w:rsidR="00E77B5B" w:rsidRPr="006051D0" w:rsidRDefault="00E77B5B">
      <w:pPr>
        <w:ind w:right="49"/>
      </w:pPr>
    </w:p>
    <w:p w:rsidR="00E77B5B" w:rsidRPr="006051D0" w:rsidRDefault="000637F7">
      <w:pPr>
        <w:ind w:right="49"/>
      </w:pPr>
      <w:r w:rsidRPr="006051D0">
        <w:t xml:space="preserve">Por lo expuesto, se desprende que dar a conocer el nombre, cargo y área de adscripción del servidor público, absuelto, en su caso que existan, constituye información confidencial que </w:t>
      </w:r>
      <w:r w:rsidRPr="006051D0">
        <w:lastRenderedPageBreak/>
        <w:t>afecta su esfera privada, puesto que podría generar una percepción negativa de éste, ocasionando un perjuicio en su honor, intimidad y buena imagen, pues como se precisó la afectación es para el propio servidor público, situación que no afecta a terceros.</w:t>
      </w:r>
    </w:p>
    <w:p w:rsidR="00E77B5B" w:rsidRPr="006051D0" w:rsidRDefault="00E77B5B"/>
    <w:p w:rsidR="00E77B5B" w:rsidRPr="006051D0" w:rsidRDefault="000637F7">
      <w:r w:rsidRPr="006051D0">
        <w:t xml:space="preserve">Por lo cual, dar a conocer el nombre del servidor público que no haya recibido una sanción por una supuesta responsabilidad que no se comprobó, la cual no causa una afectación a otros, pues como se precisó en párrafos anteriores, podría generar un juicio </w:t>
      </w:r>
      <w:r w:rsidRPr="006051D0">
        <w:rPr>
          <w:i/>
          <w:iCs/>
        </w:rPr>
        <w:t>a priori</w:t>
      </w:r>
      <w:r w:rsidRPr="006051D0">
        <w:t xml:space="preserve"> por parte de la sociedad, afectando su prestigio y su buen nombre, pues la sociedad podría calificar a dicho servidor público, como ineficiente o motivos de ofensas, lo cual daña si vida privada y profesional, mismas que forman parte de su intimidad; por lo que se concluye que dicha información, en caso que existiera, tiene el carácter de confidencial.</w:t>
      </w:r>
    </w:p>
    <w:p w:rsidR="00E77B5B" w:rsidRPr="006051D0" w:rsidRDefault="00E77B5B">
      <w:pPr>
        <w:pStyle w:val="Ttulo3"/>
      </w:pPr>
    </w:p>
    <w:p w:rsidR="00E77B5B" w:rsidRPr="006051D0" w:rsidRDefault="000637F7">
      <w:pPr>
        <w:pStyle w:val="Ttulo3"/>
        <w:spacing w:line="360" w:lineRule="auto"/>
      </w:pPr>
      <w:bookmarkStart w:id="29" w:name="_heading=h.750omkpc5th" w:colFirst="0" w:colLast="0"/>
      <w:bookmarkEnd w:id="29"/>
      <w:r w:rsidRPr="006051D0">
        <w:t>e) Conclusión.</w:t>
      </w:r>
    </w:p>
    <w:p w:rsidR="00E77B5B" w:rsidRPr="006051D0" w:rsidRDefault="000637F7">
      <w:pPr>
        <w:widowControl w:val="0"/>
        <w:tabs>
          <w:tab w:val="left" w:pos="1701"/>
          <w:tab w:val="left" w:pos="1843"/>
        </w:tabs>
      </w:pPr>
      <w:r w:rsidRPr="006051D0">
        <w:t xml:space="preserve">En razón de lo anteriormente expuesto, este Instituto estima que las razones o motivos de inconformidad hechos valer por </w:t>
      </w:r>
      <w:r w:rsidRPr="006051D0">
        <w:rPr>
          <w:b/>
          <w:bCs/>
        </w:rPr>
        <w:t>EL RECURRENTE</w:t>
      </w:r>
      <w:r w:rsidRPr="006051D0">
        <w:t xml:space="preserve"> devienen </w:t>
      </w:r>
      <w:r w:rsidRPr="006051D0">
        <w:rPr>
          <w:b/>
          <w:bCs/>
        </w:rPr>
        <w:t>fundadas</w:t>
      </w:r>
      <w:r w:rsidRPr="006051D0">
        <w:t xml:space="preserve">; motivo por el cual, este Órgano Garante determina </w:t>
      </w:r>
      <w:r w:rsidRPr="006051D0">
        <w:rPr>
          <w:b/>
          <w:bCs/>
        </w:rPr>
        <w:t xml:space="preserve">REVOCAR </w:t>
      </w:r>
      <w:r w:rsidRPr="006051D0">
        <w:t xml:space="preserve">la respuesta otorgada por </w:t>
      </w:r>
      <w:r w:rsidRPr="006051D0">
        <w:rPr>
          <w:b/>
          <w:bCs/>
        </w:rPr>
        <w:t xml:space="preserve">EL SUJETO OBLIGADO, </w:t>
      </w:r>
      <w:r w:rsidRPr="006051D0">
        <w:t>en términos del artículo 186, fracción III de la Ley de Transparencia y Acceso a la Información Pública del Estado de México y Municipios por las razones expuestas en el presente considerando.</w:t>
      </w:r>
    </w:p>
    <w:p w:rsidR="00E77B5B" w:rsidRPr="006051D0" w:rsidRDefault="00E77B5B">
      <w:pPr>
        <w:widowControl w:val="0"/>
        <w:tabs>
          <w:tab w:val="left" w:pos="1701"/>
          <w:tab w:val="left" w:pos="1843"/>
        </w:tabs>
      </w:pPr>
    </w:p>
    <w:p w:rsidR="00E77B5B" w:rsidRPr="006051D0" w:rsidRDefault="000637F7">
      <w:pPr>
        <w:ind w:right="-93"/>
      </w:pPr>
      <w:r w:rsidRPr="006051D0">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rsidR="00E77B5B" w:rsidRPr="006051D0" w:rsidRDefault="00E77B5B"/>
    <w:p w:rsidR="00E77B5B" w:rsidRPr="006051D0" w:rsidRDefault="000637F7">
      <w:pPr>
        <w:pStyle w:val="Ttulo1"/>
      </w:pPr>
      <w:bookmarkStart w:id="30" w:name="_heading=h.t0cgncn5r40g" w:colFirst="0" w:colLast="0"/>
      <w:bookmarkEnd w:id="30"/>
      <w:r w:rsidRPr="006051D0">
        <w:lastRenderedPageBreak/>
        <w:t>RESUELVE</w:t>
      </w:r>
    </w:p>
    <w:p w:rsidR="00E77B5B" w:rsidRPr="006051D0" w:rsidRDefault="00E77B5B">
      <w:pPr>
        <w:ind w:right="113"/>
        <w:rPr>
          <w:b/>
          <w:bCs/>
        </w:rPr>
      </w:pPr>
    </w:p>
    <w:p w:rsidR="00E77B5B" w:rsidRPr="006051D0" w:rsidRDefault="000637F7">
      <w:pPr>
        <w:widowControl w:val="0"/>
      </w:pPr>
      <w:r w:rsidRPr="006051D0">
        <w:rPr>
          <w:b/>
          <w:bCs/>
        </w:rPr>
        <w:t>PRIMERO.</w:t>
      </w:r>
      <w:r w:rsidRPr="006051D0">
        <w:t xml:space="preserve"> Se </w:t>
      </w:r>
      <w:r w:rsidRPr="006051D0">
        <w:rPr>
          <w:b/>
          <w:bCs/>
        </w:rPr>
        <w:t>REVOCA</w:t>
      </w:r>
      <w:r w:rsidRPr="006051D0">
        <w:t xml:space="preserve"> la respuesta entregada en cumplimiento a la resolución emitida por el </w:t>
      </w:r>
      <w:r w:rsidRPr="006051D0">
        <w:rPr>
          <w:b/>
          <w:bCs/>
        </w:rPr>
        <w:t>SUJETO OBLIGADO</w:t>
      </w:r>
      <w:r w:rsidRPr="006051D0">
        <w:t xml:space="preserve"> en la solicitud de información</w:t>
      </w:r>
      <w:r w:rsidRPr="006051D0">
        <w:rPr>
          <w:b/>
          <w:bCs/>
        </w:rPr>
        <w:t xml:space="preserve"> </w:t>
      </w:r>
      <w:r w:rsidRPr="006051D0">
        <w:rPr>
          <w:b/>
          <w:bCs/>
          <w:color w:val="000000"/>
        </w:rPr>
        <w:t>00140/TEPOTZOT/IP/2026</w:t>
      </w:r>
      <w:r w:rsidRPr="006051D0">
        <w:t xml:space="preserve">, por resultar </w:t>
      </w:r>
      <w:r w:rsidRPr="006051D0">
        <w:rPr>
          <w:b/>
          <w:bCs/>
        </w:rPr>
        <w:t>FUNDADAS</w:t>
      </w:r>
      <w:r w:rsidRPr="006051D0">
        <w:t xml:space="preserve"> las razones o motivos de inconformidad hechos valer por </w:t>
      </w:r>
      <w:r w:rsidRPr="006051D0">
        <w:rPr>
          <w:b/>
          <w:bCs/>
        </w:rPr>
        <w:t>LA PARTE RECURRENTE</w:t>
      </w:r>
      <w:r w:rsidRPr="006051D0">
        <w:t xml:space="preserve"> en el Recurso de Revisión </w:t>
      </w:r>
      <w:r w:rsidRPr="006051D0">
        <w:rPr>
          <w:b/>
          <w:bCs/>
        </w:rPr>
        <w:t xml:space="preserve">01002/INFOEM/IP/RR/2026 </w:t>
      </w:r>
      <w:r w:rsidRPr="006051D0">
        <w:t xml:space="preserve">en términos del considerando </w:t>
      </w:r>
      <w:r w:rsidRPr="006051D0">
        <w:rPr>
          <w:b/>
          <w:bCs/>
        </w:rPr>
        <w:t>SEGUNDO</w:t>
      </w:r>
      <w:r w:rsidRPr="006051D0">
        <w:t xml:space="preserve"> de la presente Resolución.</w:t>
      </w:r>
    </w:p>
    <w:p w:rsidR="00E77B5B" w:rsidRPr="006051D0" w:rsidRDefault="00E77B5B">
      <w:pPr>
        <w:widowControl w:val="0"/>
      </w:pPr>
    </w:p>
    <w:p w:rsidR="00E77B5B" w:rsidRPr="006051D0" w:rsidRDefault="000637F7">
      <w:bookmarkStart w:id="31" w:name="_heading=h.p2f5rm941076" w:colFirst="0" w:colLast="0"/>
      <w:bookmarkEnd w:id="31"/>
      <w:r w:rsidRPr="006051D0">
        <w:rPr>
          <w:b/>
          <w:bCs/>
        </w:rPr>
        <w:t>SEGUNDO.</w:t>
      </w:r>
      <w:r w:rsidRPr="006051D0">
        <w:t xml:space="preserve"> Se </w:t>
      </w:r>
      <w:r w:rsidRPr="006051D0">
        <w:rPr>
          <w:b/>
          <w:bCs/>
        </w:rPr>
        <w:t xml:space="preserve">ORDENA </w:t>
      </w:r>
      <w:r w:rsidRPr="006051D0">
        <w:t xml:space="preserve">al </w:t>
      </w:r>
      <w:r w:rsidRPr="006051D0">
        <w:rPr>
          <w:b/>
          <w:bCs/>
        </w:rPr>
        <w:t>SUJETO OBLIGADO</w:t>
      </w:r>
      <w:r w:rsidRPr="006051D0">
        <w:t xml:space="preserve">, previa búsqueda exhaustiva a efecto de que, entregue a través del </w:t>
      </w:r>
      <w:r w:rsidRPr="006051D0">
        <w:rPr>
          <w:b/>
          <w:bCs/>
        </w:rPr>
        <w:t>SAIMEX</w:t>
      </w:r>
      <w:r w:rsidRPr="006051D0">
        <w:t>, en versión pública, el o los documentos en los que conste lo siguiente:</w:t>
      </w:r>
    </w:p>
    <w:p w:rsidR="00E77B5B" w:rsidRPr="006051D0" w:rsidRDefault="00E77B5B"/>
    <w:p w:rsidR="00E77B5B" w:rsidRPr="006051D0" w:rsidRDefault="000637F7">
      <w:pPr>
        <w:numPr>
          <w:ilvl w:val="0"/>
          <w:numId w:val="3"/>
        </w:numPr>
        <w:pBdr>
          <w:top w:val="nil"/>
          <w:left w:val="nil"/>
          <w:bottom w:val="nil"/>
          <w:right w:val="nil"/>
          <w:between w:val="nil"/>
        </w:pBdr>
      </w:pPr>
      <w:r w:rsidRPr="006051D0">
        <w:rPr>
          <w:color w:val="000000"/>
        </w:rPr>
        <w:t xml:space="preserve">Los expedientes administrativos y judiciales que dieron origen a la inhabilitación de la de la servidora pública referida en respuesta, (en los que se incluya número de expediente, autoridad que los resolvió y fecha de emisión de la sanción), al 12 de enero de dos mil veintiséis. </w:t>
      </w:r>
    </w:p>
    <w:p w:rsidR="00E77B5B" w:rsidRPr="006051D0" w:rsidRDefault="00E77B5B">
      <w:pPr>
        <w:pBdr>
          <w:top w:val="nil"/>
          <w:left w:val="nil"/>
          <w:bottom w:val="nil"/>
          <w:right w:val="nil"/>
          <w:between w:val="nil"/>
        </w:pBdr>
        <w:ind w:left="720"/>
        <w:rPr>
          <w:color w:val="000000"/>
        </w:rPr>
      </w:pPr>
    </w:p>
    <w:p w:rsidR="00E77B5B" w:rsidRPr="006051D0" w:rsidRDefault="000637F7">
      <w:pPr>
        <w:widowControl w:val="0"/>
      </w:pPr>
      <w:r w:rsidRPr="006051D0">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rsidR="00E77B5B" w:rsidRPr="006051D0" w:rsidRDefault="00E77B5B">
      <w:pPr>
        <w:widowControl w:val="0"/>
      </w:pPr>
    </w:p>
    <w:p w:rsidR="00E77B5B" w:rsidRPr="006051D0" w:rsidRDefault="000637F7">
      <w:pPr>
        <w:ind w:right="-28"/>
      </w:pPr>
      <w:r w:rsidRPr="006051D0">
        <w:t xml:space="preserve">En caso de que la información ordenada, deriven en un procedimiento que se encuentre en trámite o no haya quedado firme la resolución, </w:t>
      </w:r>
      <w:r w:rsidRPr="006051D0">
        <w:rPr>
          <w:b/>
          <w:bCs/>
        </w:rPr>
        <w:t>EL SUJETO OBLIGADO</w:t>
      </w:r>
      <w:r w:rsidRPr="006051D0">
        <w:t xml:space="preserve"> deberá emitir el Acuerdo de Clasificación a través de su Comité de Transparencia y notificarlo vía </w:t>
      </w:r>
      <w:r w:rsidRPr="006051D0">
        <w:rPr>
          <w:b/>
          <w:bCs/>
        </w:rPr>
        <w:t>SAIMEX</w:t>
      </w:r>
      <w:r w:rsidRPr="006051D0">
        <w:t xml:space="preserve"> a</w:t>
      </w:r>
      <w:r w:rsidRPr="006051D0">
        <w:rPr>
          <w:b/>
          <w:bCs/>
        </w:rPr>
        <w:t xml:space="preserve"> </w:t>
      </w:r>
      <w:r w:rsidRPr="006051D0">
        <w:rPr>
          <w:b/>
          <w:bCs/>
        </w:rPr>
        <w:lastRenderedPageBreak/>
        <w:t>LA PARTE RECURRENTE</w:t>
      </w:r>
      <w:r w:rsidRPr="006051D0">
        <w:t xml:space="preserve"> en términos de los ordinales 49, fracción VIII, 129, 140 y 141 de la Ley de Transparencia y Acceso a la Información pública del Estado de México y Municipios.</w:t>
      </w:r>
    </w:p>
    <w:p w:rsidR="00E77B5B" w:rsidRPr="006051D0" w:rsidRDefault="00E77B5B">
      <w:pPr>
        <w:rPr>
          <w:b/>
          <w:bCs/>
        </w:rPr>
      </w:pPr>
    </w:p>
    <w:p w:rsidR="00E77B5B" w:rsidRPr="006051D0" w:rsidRDefault="000637F7">
      <w:r w:rsidRPr="006051D0">
        <w:rPr>
          <w:b/>
          <w:bCs/>
        </w:rPr>
        <w:t>TERCERO.</w:t>
      </w:r>
      <w:r w:rsidRPr="006051D0">
        <w:t xml:space="preserve"> </w:t>
      </w:r>
      <w:r w:rsidRPr="006051D0">
        <w:rPr>
          <w:b/>
          <w:bCs/>
        </w:rPr>
        <w:t xml:space="preserve">Notifíquese </w:t>
      </w:r>
      <w:r w:rsidRPr="006051D0">
        <w:t>vía Sistema de Acceso a la Información Mexiquense (</w:t>
      </w:r>
      <w:r w:rsidRPr="006051D0">
        <w:rPr>
          <w:b/>
          <w:bCs/>
        </w:rPr>
        <w:t>SAIMEX)</w:t>
      </w:r>
      <w:r w:rsidRPr="006051D0">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E77B5B" w:rsidRPr="006051D0" w:rsidRDefault="00E77B5B"/>
    <w:p w:rsidR="00E77B5B" w:rsidRPr="006051D0" w:rsidRDefault="000637F7">
      <w:pPr>
        <w:rPr>
          <w:b/>
          <w:bCs/>
        </w:rPr>
      </w:pPr>
      <w:r w:rsidRPr="006051D0">
        <w:rPr>
          <w:b/>
          <w:bCs/>
        </w:rPr>
        <w:t>CUARTO.</w:t>
      </w:r>
      <w:r w:rsidRPr="006051D0">
        <w:t xml:space="preserve"> Notifíquese a </w:t>
      </w:r>
      <w:r w:rsidRPr="006051D0">
        <w:rPr>
          <w:b/>
          <w:bCs/>
        </w:rPr>
        <w:t>LA PARTE RECURRENTE</w:t>
      </w:r>
      <w:r w:rsidRPr="006051D0">
        <w:t xml:space="preserve"> la presente resolución vía Sistema de Acceso a la Información Mexiquense </w:t>
      </w:r>
      <w:r w:rsidRPr="006051D0">
        <w:rPr>
          <w:b/>
          <w:bCs/>
        </w:rPr>
        <w:t>(SAIMEX).</w:t>
      </w:r>
    </w:p>
    <w:p w:rsidR="00E77B5B" w:rsidRPr="006051D0" w:rsidRDefault="00E77B5B"/>
    <w:p w:rsidR="00E77B5B" w:rsidRPr="006051D0" w:rsidRDefault="000637F7">
      <w:r w:rsidRPr="006051D0">
        <w:rPr>
          <w:b/>
          <w:bCs/>
        </w:rPr>
        <w:t>QUINTO</w:t>
      </w:r>
      <w:r w:rsidRPr="006051D0">
        <w:t xml:space="preserve">. Hágase del conocimiento a </w:t>
      </w:r>
      <w:r w:rsidRPr="006051D0">
        <w:rPr>
          <w:b/>
          <w:bCs/>
        </w:rPr>
        <w:t>LA PARTE RECURRENTE</w:t>
      </w:r>
      <w:r w:rsidRPr="006051D0">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E77B5B" w:rsidRPr="006051D0" w:rsidRDefault="00E77B5B">
      <w:pPr>
        <w:ind w:right="113"/>
        <w:rPr>
          <w:b/>
          <w:bCs/>
        </w:rPr>
      </w:pPr>
    </w:p>
    <w:p w:rsidR="00E77B5B" w:rsidRPr="006051D0" w:rsidRDefault="000637F7">
      <w:pPr>
        <w:rPr>
          <w:color w:val="000000"/>
        </w:rPr>
      </w:pPr>
      <w:r w:rsidRPr="006051D0">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6051D0">
        <w:rPr>
          <w:color w:val="000000"/>
        </w:rPr>
        <w:lastRenderedPageBreak/>
        <w:t>SHARON CRISTINA MORALES MARTÍNEZ, LUIS GUSTAVO PARRA NORIEGA</w:t>
      </w:r>
      <w:r w:rsidR="00D23527">
        <w:rPr>
          <w:color w:val="000000"/>
        </w:rPr>
        <w:t xml:space="preserve"> (EMITIENDO VOTO PARTICULAR)</w:t>
      </w:r>
      <w:r w:rsidRPr="006051D0">
        <w:rPr>
          <w:color w:val="000000"/>
        </w:rPr>
        <w:t xml:space="preserve"> Y GUADALUPE RAMÍREZ PEÑA, EN LA </w:t>
      </w:r>
      <w:r w:rsidRPr="006051D0">
        <w:t>VIGÉSIMA</w:t>
      </w:r>
      <w:r w:rsidRPr="006051D0">
        <w:rPr>
          <w:color w:val="000000"/>
        </w:rPr>
        <w:t xml:space="preserve"> </w:t>
      </w:r>
      <w:r w:rsidRPr="006051D0">
        <w:t>OCTAVA</w:t>
      </w:r>
      <w:r w:rsidRPr="006051D0">
        <w:rPr>
          <w:color w:val="000000"/>
        </w:rPr>
        <w:t xml:space="preserve"> SESIÓN ORDINARIA, CELEBRADA EL </w:t>
      </w:r>
      <w:r w:rsidRPr="006051D0">
        <w:t>DOCE DE AGOSTO</w:t>
      </w:r>
      <w:r w:rsidRPr="006051D0">
        <w:rPr>
          <w:color w:val="000000"/>
        </w:rPr>
        <w:t xml:space="preserve"> DE DOS MIL </w:t>
      </w:r>
      <w:r w:rsidRPr="006051D0">
        <w:t>VEINTISÉIS</w:t>
      </w:r>
      <w:r w:rsidRPr="006051D0">
        <w:rPr>
          <w:color w:val="000000"/>
        </w:rPr>
        <w:t xml:space="preserve"> ANTE EL SECRETARIO TÉCNICO DEL PLENO, ALEXIS TAPIA RAMÍREZ.</w:t>
      </w:r>
    </w:p>
    <w:p w:rsidR="00E77B5B" w:rsidRDefault="000637F7">
      <w:pPr>
        <w:tabs>
          <w:tab w:val="left" w:pos="2325"/>
        </w:tabs>
      </w:pPr>
      <w:r w:rsidRPr="006051D0">
        <w:rPr>
          <w:sz w:val="14"/>
          <w:szCs w:val="14"/>
        </w:rPr>
        <w:t>SCMM/AGZ/DEMF/DLM</w:t>
      </w:r>
    </w:p>
    <w:p w:rsidR="00E77B5B" w:rsidRDefault="00E77B5B">
      <w:pPr>
        <w:tabs>
          <w:tab w:val="left" w:pos="2325"/>
        </w:tabs>
      </w:pPr>
    </w:p>
    <w:p w:rsidR="00E77B5B" w:rsidRDefault="00E77B5B">
      <w:pPr>
        <w:ind w:right="-93"/>
        <w:rPr>
          <w:color w:val="000000"/>
        </w:rPr>
      </w:pPr>
    </w:p>
    <w:p w:rsidR="00E77B5B" w:rsidRDefault="00E77B5B">
      <w:pPr>
        <w:ind w:right="-93"/>
      </w:pPr>
    </w:p>
    <w:p w:rsidR="00E77B5B" w:rsidRDefault="00E77B5B">
      <w:pPr>
        <w:ind w:right="-93"/>
      </w:pPr>
    </w:p>
    <w:p w:rsidR="00E77B5B" w:rsidRDefault="00E77B5B">
      <w:pPr>
        <w:ind w:right="-93"/>
      </w:pPr>
    </w:p>
    <w:p w:rsidR="00E77B5B" w:rsidRDefault="00E77B5B">
      <w:pPr>
        <w:ind w:right="-93"/>
      </w:pPr>
    </w:p>
    <w:p w:rsidR="00E77B5B" w:rsidRDefault="00E77B5B">
      <w:pPr>
        <w:ind w:right="-93"/>
      </w:pPr>
    </w:p>
    <w:p w:rsidR="00E77B5B" w:rsidRDefault="00E77B5B">
      <w:pPr>
        <w:ind w:right="-93"/>
      </w:pPr>
    </w:p>
    <w:p w:rsidR="00E77B5B" w:rsidRDefault="00E77B5B">
      <w:pPr>
        <w:ind w:right="-93"/>
      </w:pPr>
    </w:p>
    <w:p w:rsidR="00E77B5B" w:rsidRDefault="00E77B5B">
      <w:pPr>
        <w:tabs>
          <w:tab w:val="center" w:pos="4568"/>
        </w:tabs>
        <w:ind w:right="-93"/>
      </w:pPr>
    </w:p>
    <w:p w:rsidR="00E77B5B" w:rsidRDefault="00E77B5B">
      <w:pPr>
        <w:tabs>
          <w:tab w:val="center" w:pos="4568"/>
        </w:tabs>
        <w:ind w:right="-93"/>
      </w:pPr>
    </w:p>
    <w:p w:rsidR="00E77B5B" w:rsidRDefault="00E77B5B">
      <w:pPr>
        <w:tabs>
          <w:tab w:val="center" w:pos="4568"/>
        </w:tabs>
        <w:ind w:right="-93"/>
      </w:pPr>
    </w:p>
    <w:p w:rsidR="00E77B5B" w:rsidRDefault="00E77B5B">
      <w:pPr>
        <w:tabs>
          <w:tab w:val="center" w:pos="4568"/>
        </w:tabs>
        <w:ind w:right="-93"/>
      </w:pPr>
    </w:p>
    <w:p w:rsidR="00E77B5B" w:rsidRDefault="00E77B5B">
      <w:pPr>
        <w:tabs>
          <w:tab w:val="center" w:pos="4568"/>
        </w:tabs>
        <w:ind w:right="-93"/>
      </w:pPr>
    </w:p>
    <w:p w:rsidR="00E77B5B" w:rsidRDefault="00E77B5B">
      <w:pPr>
        <w:tabs>
          <w:tab w:val="center" w:pos="4568"/>
        </w:tabs>
        <w:ind w:right="-93"/>
      </w:pPr>
    </w:p>
    <w:p w:rsidR="00E77B5B" w:rsidRDefault="00E77B5B">
      <w:pPr>
        <w:tabs>
          <w:tab w:val="center" w:pos="4568"/>
        </w:tabs>
        <w:ind w:right="-93"/>
      </w:pPr>
    </w:p>
    <w:p w:rsidR="00E77B5B" w:rsidRDefault="00E77B5B">
      <w:pPr>
        <w:tabs>
          <w:tab w:val="center" w:pos="4568"/>
        </w:tabs>
        <w:ind w:right="-93"/>
      </w:pPr>
    </w:p>
    <w:p w:rsidR="00E77B5B" w:rsidRDefault="00E77B5B">
      <w:pPr>
        <w:tabs>
          <w:tab w:val="center" w:pos="4568"/>
        </w:tabs>
        <w:ind w:right="-93"/>
      </w:pPr>
    </w:p>
    <w:p w:rsidR="00E77B5B" w:rsidRDefault="00E77B5B">
      <w:pPr>
        <w:tabs>
          <w:tab w:val="center" w:pos="4568"/>
        </w:tabs>
        <w:ind w:right="-93"/>
      </w:pPr>
    </w:p>
    <w:p w:rsidR="00E77B5B" w:rsidRDefault="00E77B5B">
      <w:pPr>
        <w:tabs>
          <w:tab w:val="center" w:pos="4568"/>
        </w:tabs>
        <w:ind w:right="-93"/>
      </w:pPr>
    </w:p>
    <w:p w:rsidR="00E77B5B" w:rsidRDefault="00E77B5B">
      <w:pPr>
        <w:tabs>
          <w:tab w:val="center" w:pos="4568"/>
        </w:tabs>
        <w:ind w:right="-93"/>
      </w:pPr>
    </w:p>
    <w:tbl>
      <w:tblPr>
        <w:tblW w:w="9284" w:type="dxa"/>
        <w:tblLayout w:type="fixed"/>
        <w:tblLook w:val="0400" w:firstRow="0" w:lastRow="0" w:firstColumn="0" w:lastColumn="0" w:noHBand="0" w:noVBand="1"/>
      </w:tblPr>
      <w:tblGrid>
        <w:gridCol w:w="4282"/>
        <w:gridCol w:w="5002"/>
      </w:tblGrid>
      <w:tr w:rsidR="00536012" w:rsidTr="00492B38">
        <w:trPr>
          <w:trHeight w:val="2342"/>
        </w:trPr>
        <w:tc>
          <w:tcPr>
            <w:tcW w:w="9284" w:type="dxa"/>
            <w:gridSpan w:val="2"/>
          </w:tcPr>
          <w:p w:rsidR="00536012" w:rsidRDefault="00536012" w:rsidP="00492B38">
            <w:pPr>
              <w:pStyle w:val="Sinespaciado"/>
              <w:jc w:val="center"/>
              <w:rPr>
                <w:rFonts w:ascii="Palatino Linotype" w:eastAsia="Palatino Linotype" w:hAnsi="Palatino Linotype"/>
                <w:sz w:val="23"/>
                <w:szCs w:val="23"/>
              </w:rPr>
            </w:pPr>
          </w:p>
          <w:p w:rsidR="00536012" w:rsidRPr="00473A89" w:rsidRDefault="00536012" w:rsidP="00492B38">
            <w:pPr>
              <w:pStyle w:val="Sinespaciado"/>
              <w:jc w:val="center"/>
              <w:rPr>
                <w:rFonts w:ascii="Palatino Linotype" w:eastAsia="Palatino Linotype" w:hAnsi="Palatino Linotype"/>
                <w:sz w:val="23"/>
                <w:szCs w:val="23"/>
              </w:rPr>
            </w:pPr>
          </w:p>
          <w:p w:rsidR="00536012" w:rsidRPr="00473A89" w:rsidRDefault="00536012" w:rsidP="00492B38">
            <w:pPr>
              <w:pStyle w:val="Sinespaciado"/>
              <w:jc w:val="center"/>
              <w:rPr>
                <w:rFonts w:ascii="Palatino Linotype" w:eastAsia="Palatino Linotype" w:hAnsi="Palatino Linotype"/>
                <w:sz w:val="23"/>
                <w:szCs w:val="23"/>
              </w:rPr>
            </w:pPr>
          </w:p>
          <w:p w:rsidR="00536012" w:rsidRPr="00473A89" w:rsidRDefault="00536012"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536012" w:rsidRPr="00473A89" w:rsidRDefault="0053601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536012" w:rsidRPr="00473A89" w:rsidRDefault="0053601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536012" w:rsidRDefault="00536012" w:rsidP="00492B38">
            <w:pPr>
              <w:pStyle w:val="Sinespaciado"/>
              <w:jc w:val="center"/>
              <w:rPr>
                <w:rFonts w:ascii="Palatino Linotype" w:eastAsia="Palatino Linotype" w:hAnsi="Palatino Linotype"/>
                <w:sz w:val="23"/>
                <w:szCs w:val="23"/>
              </w:rPr>
            </w:pPr>
          </w:p>
          <w:p w:rsidR="00536012" w:rsidRDefault="00536012" w:rsidP="00492B38">
            <w:pPr>
              <w:pStyle w:val="Sinespaciado"/>
              <w:jc w:val="center"/>
              <w:rPr>
                <w:rFonts w:ascii="Palatino Linotype" w:eastAsia="Palatino Linotype" w:hAnsi="Palatino Linotype"/>
                <w:sz w:val="23"/>
                <w:szCs w:val="23"/>
              </w:rPr>
            </w:pPr>
          </w:p>
          <w:p w:rsidR="00536012" w:rsidRDefault="00536012" w:rsidP="00492B38">
            <w:pPr>
              <w:pStyle w:val="Sinespaciado"/>
              <w:rPr>
                <w:rFonts w:ascii="Palatino Linotype" w:eastAsia="Palatino Linotype" w:hAnsi="Palatino Linotype"/>
                <w:sz w:val="23"/>
                <w:szCs w:val="23"/>
              </w:rPr>
            </w:pPr>
          </w:p>
          <w:p w:rsidR="00536012" w:rsidRPr="00473A89" w:rsidRDefault="00536012" w:rsidP="00492B38">
            <w:pPr>
              <w:pStyle w:val="Sinespaciado"/>
              <w:jc w:val="center"/>
              <w:rPr>
                <w:rFonts w:ascii="Palatino Linotype" w:eastAsia="Palatino Linotype" w:hAnsi="Palatino Linotype"/>
                <w:sz w:val="23"/>
                <w:szCs w:val="23"/>
              </w:rPr>
            </w:pPr>
          </w:p>
        </w:tc>
      </w:tr>
      <w:tr w:rsidR="00536012" w:rsidTr="00492B38">
        <w:trPr>
          <w:trHeight w:val="422"/>
        </w:trPr>
        <w:tc>
          <w:tcPr>
            <w:tcW w:w="4282" w:type="dxa"/>
          </w:tcPr>
          <w:p w:rsidR="00536012" w:rsidRPr="00473A89" w:rsidRDefault="00536012" w:rsidP="00492B38">
            <w:pPr>
              <w:pStyle w:val="Sinespaciado"/>
              <w:jc w:val="center"/>
              <w:rPr>
                <w:rFonts w:ascii="Palatino Linotype" w:eastAsia="Palatino Linotype" w:hAnsi="Palatino Linotype"/>
                <w:b/>
                <w:sz w:val="23"/>
                <w:szCs w:val="23"/>
              </w:rPr>
            </w:pPr>
          </w:p>
          <w:p w:rsidR="00536012" w:rsidRPr="00473A89" w:rsidRDefault="00536012"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536012" w:rsidRPr="00473A89" w:rsidRDefault="0053601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536012" w:rsidRPr="00473A89" w:rsidRDefault="0053601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536012" w:rsidRPr="00473A89" w:rsidRDefault="00536012" w:rsidP="00492B38">
            <w:pPr>
              <w:pStyle w:val="Sinespaciado"/>
              <w:jc w:val="center"/>
              <w:rPr>
                <w:rFonts w:ascii="Palatino Linotype" w:eastAsia="Palatino Linotype" w:hAnsi="Palatino Linotype"/>
                <w:sz w:val="23"/>
                <w:szCs w:val="23"/>
              </w:rPr>
            </w:pPr>
          </w:p>
          <w:p w:rsidR="00536012" w:rsidRPr="00473A89" w:rsidRDefault="00536012" w:rsidP="00492B38">
            <w:pPr>
              <w:pStyle w:val="Sinespaciado"/>
              <w:jc w:val="center"/>
              <w:rPr>
                <w:rFonts w:ascii="Palatino Linotype" w:eastAsia="Palatino Linotype" w:hAnsi="Palatino Linotype"/>
                <w:sz w:val="23"/>
                <w:szCs w:val="23"/>
              </w:rPr>
            </w:pPr>
          </w:p>
        </w:tc>
        <w:tc>
          <w:tcPr>
            <w:tcW w:w="5002" w:type="dxa"/>
            <w:vAlign w:val="bottom"/>
          </w:tcPr>
          <w:p w:rsidR="00536012" w:rsidRPr="00473A89" w:rsidRDefault="00536012" w:rsidP="00492B38">
            <w:pPr>
              <w:pStyle w:val="Sinespaciado"/>
              <w:jc w:val="center"/>
              <w:rPr>
                <w:rFonts w:ascii="Palatino Linotype" w:eastAsia="Palatino Linotype" w:hAnsi="Palatino Linotype"/>
                <w:sz w:val="23"/>
                <w:szCs w:val="23"/>
              </w:rPr>
            </w:pPr>
          </w:p>
          <w:p w:rsidR="00536012" w:rsidRPr="00473A89" w:rsidRDefault="00536012"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536012" w:rsidRPr="00473A89" w:rsidRDefault="0053601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536012" w:rsidRPr="00473A89" w:rsidRDefault="0053601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536012" w:rsidRPr="00473A89" w:rsidRDefault="00536012" w:rsidP="00492B38">
            <w:pPr>
              <w:pStyle w:val="Sinespaciado"/>
              <w:jc w:val="center"/>
              <w:rPr>
                <w:rFonts w:ascii="Palatino Linotype" w:eastAsia="Palatino Linotype" w:hAnsi="Palatino Linotype"/>
                <w:sz w:val="23"/>
                <w:szCs w:val="23"/>
              </w:rPr>
            </w:pPr>
          </w:p>
          <w:p w:rsidR="00536012" w:rsidRDefault="00536012" w:rsidP="00492B38">
            <w:pPr>
              <w:pStyle w:val="Sinespaciado"/>
              <w:jc w:val="center"/>
              <w:rPr>
                <w:rFonts w:ascii="Palatino Linotype" w:eastAsia="Palatino Linotype" w:hAnsi="Palatino Linotype"/>
                <w:sz w:val="23"/>
                <w:szCs w:val="23"/>
              </w:rPr>
            </w:pPr>
          </w:p>
          <w:p w:rsidR="00536012" w:rsidRDefault="00536012" w:rsidP="00492B38">
            <w:pPr>
              <w:pStyle w:val="Sinespaciado"/>
              <w:rPr>
                <w:rFonts w:ascii="Palatino Linotype" w:eastAsia="Palatino Linotype" w:hAnsi="Palatino Linotype"/>
                <w:sz w:val="23"/>
                <w:szCs w:val="23"/>
              </w:rPr>
            </w:pPr>
          </w:p>
          <w:p w:rsidR="00536012" w:rsidRDefault="00536012" w:rsidP="00492B38">
            <w:pPr>
              <w:pStyle w:val="Sinespaciado"/>
              <w:jc w:val="center"/>
              <w:rPr>
                <w:rFonts w:ascii="Palatino Linotype" w:eastAsia="Palatino Linotype" w:hAnsi="Palatino Linotype"/>
                <w:sz w:val="23"/>
                <w:szCs w:val="23"/>
              </w:rPr>
            </w:pPr>
          </w:p>
          <w:p w:rsidR="00536012" w:rsidRPr="00473A89" w:rsidRDefault="00536012" w:rsidP="00492B38">
            <w:pPr>
              <w:pStyle w:val="Sinespaciado"/>
              <w:rPr>
                <w:rFonts w:ascii="Palatino Linotype" w:eastAsia="Palatino Linotype" w:hAnsi="Palatino Linotype"/>
                <w:sz w:val="23"/>
                <w:szCs w:val="23"/>
              </w:rPr>
            </w:pPr>
          </w:p>
          <w:p w:rsidR="00536012" w:rsidRPr="00473A89" w:rsidRDefault="00536012" w:rsidP="00492B38">
            <w:pPr>
              <w:pStyle w:val="Sinespaciado"/>
              <w:jc w:val="center"/>
              <w:rPr>
                <w:rFonts w:ascii="Palatino Linotype" w:eastAsia="Palatino Linotype" w:hAnsi="Palatino Linotype"/>
                <w:sz w:val="23"/>
                <w:szCs w:val="23"/>
              </w:rPr>
            </w:pPr>
          </w:p>
        </w:tc>
      </w:tr>
      <w:tr w:rsidR="00536012" w:rsidTr="00492B38">
        <w:trPr>
          <w:trHeight w:val="281"/>
        </w:trPr>
        <w:tc>
          <w:tcPr>
            <w:tcW w:w="4282" w:type="dxa"/>
          </w:tcPr>
          <w:p w:rsidR="00536012" w:rsidRPr="00473A89" w:rsidRDefault="00536012"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536012" w:rsidRPr="00473A89" w:rsidRDefault="0053601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536012" w:rsidRPr="00473A89" w:rsidRDefault="0053601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536012" w:rsidRPr="00473A89" w:rsidRDefault="00536012" w:rsidP="00492B38">
            <w:pPr>
              <w:pStyle w:val="Sinespaciado"/>
              <w:jc w:val="center"/>
              <w:rPr>
                <w:rFonts w:ascii="Palatino Linotype" w:eastAsia="Palatino Linotype" w:hAnsi="Palatino Linotype"/>
                <w:sz w:val="23"/>
                <w:szCs w:val="23"/>
              </w:rPr>
            </w:pPr>
          </w:p>
        </w:tc>
        <w:tc>
          <w:tcPr>
            <w:tcW w:w="5002" w:type="dxa"/>
          </w:tcPr>
          <w:p w:rsidR="00536012" w:rsidRPr="00473A89" w:rsidRDefault="00536012"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536012" w:rsidRPr="00473A89" w:rsidRDefault="0053601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536012" w:rsidRPr="00473A89" w:rsidRDefault="0053601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536012" w:rsidRPr="00473A89" w:rsidRDefault="00536012"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536012" w:rsidRDefault="00536012" w:rsidP="00492B38">
            <w:pPr>
              <w:pStyle w:val="Sinespaciado"/>
              <w:jc w:val="center"/>
              <w:rPr>
                <w:rFonts w:ascii="Palatino Linotype" w:eastAsia="Palatino Linotype" w:hAnsi="Palatino Linotype"/>
                <w:sz w:val="23"/>
                <w:szCs w:val="23"/>
              </w:rPr>
            </w:pPr>
          </w:p>
          <w:p w:rsidR="00536012" w:rsidRDefault="00536012" w:rsidP="00492B38">
            <w:pPr>
              <w:pStyle w:val="Sinespaciado"/>
              <w:jc w:val="center"/>
              <w:rPr>
                <w:rFonts w:ascii="Palatino Linotype" w:eastAsia="Palatino Linotype" w:hAnsi="Palatino Linotype"/>
                <w:sz w:val="23"/>
                <w:szCs w:val="23"/>
              </w:rPr>
            </w:pPr>
          </w:p>
          <w:p w:rsidR="00536012" w:rsidRDefault="00536012" w:rsidP="00492B38">
            <w:pPr>
              <w:pStyle w:val="Sinespaciado"/>
              <w:jc w:val="center"/>
              <w:rPr>
                <w:rFonts w:ascii="Palatino Linotype" w:eastAsia="Palatino Linotype" w:hAnsi="Palatino Linotype"/>
                <w:sz w:val="23"/>
                <w:szCs w:val="23"/>
              </w:rPr>
            </w:pPr>
          </w:p>
          <w:p w:rsidR="00536012" w:rsidRDefault="00536012" w:rsidP="00492B38">
            <w:pPr>
              <w:pStyle w:val="Sinespaciado"/>
              <w:jc w:val="center"/>
              <w:rPr>
                <w:rFonts w:ascii="Palatino Linotype" w:eastAsia="Palatino Linotype" w:hAnsi="Palatino Linotype"/>
                <w:sz w:val="23"/>
                <w:szCs w:val="23"/>
              </w:rPr>
            </w:pPr>
          </w:p>
          <w:p w:rsidR="00536012" w:rsidRDefault="00536012" w:rsidP="00492B38">
            <w:pPr>
              <w:pStyle w:val="Sinespaciado"/>
              <w:rPr>
                <w:rFonts w:ascii="Palatino Linotype" w:eastAsia="Palatino Linotype" w:hAnsi="Palatino Linotype"/>
                <w:sz w:val="23"/>
                <w:szCs w:val="23"/>
              </w:rPr>
            </w:pPr>
          </w:p>
          <w:p w:rsidR="00536012" w:rsidRPr="00473A89" w:rsidRDefault="00536012" w:rsidP="00492B38">
            <w:pPr>
              <w:pStyle w:val="Sinespaciado"/>
              <w:jc w:val="center"/>
              <w:rPr>
                <w:rFonts w:ascii="Palatino Linotype" w:eastAsia="Palatino Linotype" w:hAnsi="Palatino Linotype"/>
                <w:sz w:val="23"/>
                <w:szCs w:val="23"/>
              </w:rPr>
            </w:pPr>
          </w:p>
        </w:tc>
      </w:tr>
      <w:tr w:rsidR="00536012" w:rsidTr="00492B38">
        <w:trPr>
          <w:trHeight w:val="317"/>
        </w:trPr>
        <w:tc>
          <w:tcPr>
            <w:tcW w:w="9284" w:type="dxa"/>
            <w:gridSpan w:val="2"/>
            <w:hideMark/>
          </w:tcPr>
          <w:p w:rsidR="00536012" w:rsidRPr="00473A89" w:rsidRDefault="00536012"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536012" w:rsidRPr="00473A89" w:rsidRDefault="0053601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536012" w:rsidRPr="00473A89" w:rsidRDefault="00536012"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E77B5B" w:rsidRDefault="00E77B5B"/>
    <w:sectPr w:rsidR="00E77B5B">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10D" w:rsidRDefault="0098210D">
      <w:pPr>
        <w:spacing w:line="240" w:lineRule="auto"/>
      </w:pPr>
      <w:r>
        <w:separator/>
      </w:r>
    </w:p>
  </w:endnote>
  <w:endnote w:type="continuationSeparator" w:id="0">
    <w:p w:rsidR="0098210D" w:rsidRDefault="009821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A08FDC93-1B5F-4020-8A37-146FAAF20046}"/>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0DF13367-7B18-46A9-9550-0D2CA927B525}"/>
    <w:embedBold r:id="rId3" w:fontKey="{42F37CD2-C4C4-4905-9171-1F96B151DD4B}"/>
    <w:embedItalic r:id="rId4" w:fontKey="{AFBFB648-C586-4A7F-AFAF-832098EA5BF2}"/>
    <w:embedBoldItalic r:id="rId5" w:fontKey="{2C4BC6C7-E88F-420B-A22A-A0A15971B93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1B570EA5-515A-4899-B22C-F92B5298C31F}"/>
  </w:font>
  <w:font w:name="Calibri">
    <w:panose1 w:val="020F0502020204030204"/>
    <w:charset w:val="00"/>
    <w:family w:val="swiss"/>
    <w:pitch w:val="variable"/>
    <w:sig w:usb0="E4002EFF" w:usb1="C200247B" w:usb2="00000009" w:usb3="00000000" w:csb0="000001FF" w:csb1="00000000"/>
    <w:embedRegular r:id="rId7" w:fontKey="{8C1CDFC3-DFD8-4419-AE9D-AA72CE7CC1CF}"/>
  </w:font>
  <w:font w:name="Garamond">
    <w:panose1 w:val="02020404030301010803"/>
    <w:charset w:val="00"/>
    <w:family w:val="roman"/>
    <w:pitch w:val="variable"/>
    <w:sig w:usb0="00000287" w:usb1="00000000" w:usb2="00000000" w:usb3="00000000" w:csb0="0000009F" w:csb1="00000000"/>
    <w:embedRegular r:id="rId8" w:fontKey="{1152B990-4503-4964-887B-7EAF8C8FB459}"/>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B5B" w:rsidRDefault="00E77B5B">
    <w:pPr>
      <w:tabs>
        <w:tab w:val="center" w:pos="4550"/>
        <w:tab w:val="left" w:pos="5818"/>
      </w:tabs>
      <w:ind w:right="260"/>
      <w:jc w:val="right"/>
      <w:rPr>
        <w:color w:val="071320"/>
        <w:sz w:val="24"/>
        <w:szCs w:val="24"/>
      </w:rPr>
    </w:pPr>
  </w:p>
  <w:p w:rsidR="00E77B5B" w:rsidRDefault="00E77B5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B5B" w:rsidRDefault="000637F7">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346CBE">
      <w:rPr>
        <w:noProof/>
        <w:color w:val="0A1D30"/>
        <w:sz w:val="24"/>
        <w:szCs w:val="24"/>
      </w:rPr>
      <w:t>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346CBE">
      <w:rPr>
        <w:noProof/>
        <w:color w:val="0A1D30"/>
        <w:sz w:val="24"/>
        <w:szCs w:val="24"/>
      </w:rPr>
      <w:t>37</w:t>
    </w:r>
    <w:r>
      <w:rPr>
        <w:color w:val="0A1D30"/>
        <w:sz w:val="24"/>
        <w:szCs w:val="24"/>
      </w:rPr>
      <w:fldChar w:fldCharType="end"/>
    </w:r>
  </w:p>
  <w:p w:rsidR="00E77B5B" w:rsidRDefault="00E77B5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10D" w:rsidRDefault="0098210D">
      <w:pPr>
        <w:spacing w:line="240" w:lineRule="auto"/>
      </w:pPr>
      <w:r>
        <w:separator/>
      </w:r>
    </w:p>
  </w:footnote>
  <w:footnote w:type="continuationSeparator" w:id="0">
    <w:p w:rsidR="0098210D" w:rsidRDefault="0098210D">
      <w:pPr>
        <w:spacing w:line="240" w:lineRule="auto"/>
      </w:pPr>
      <w:r>
        <w:continuationSeparator/>
      </w:r>
    </w:p>
  </w:footnote>
  <w:footnote w:id="1">
    <w:p w:rsidR="00E77B5B" w:rsidRDefault="000637F7">
      <w:pPr>
        <w:pBdr>
          <w:top w:val="nil"/>
          <w:left w:val="nil"/>
          <w:bottom w:val="nil"/>
          <w:right w:val="nil"/>
          <w:between w:val="nil"/>
        </w:pBdr>
        <w:spacing w:line="240" w:lineRule="auto"/>
        <w:rPr>
          <w:i/>
          <w:iCs/>
          <w:color w:val="000000"/>
          <w:sz w:val="18"/>
          <w:szCs w:val="18"/>
        </w:rPr>
      </w:pPr>
      <w:r>
        <w:rPr>
          <w:vertAlign w:val="superscript"/>
        </w:rPr>
        <w:footnoteRef/>
      </w:r>
      <w:r>
        <w:rPr>
          <w:rFonts w:ascii="Aptos" w:eastAsia="Aptos" w:hAnsi="Aptos" w:cs="Aptos"/>
          <w:color w:val="000000"/>
          <w:sz w:val="20"/>
          <w:szCs w:val="20"/>
        </w:rPr>
        <w:t xml:space="preserve"> </w:t>
      </w:r>
      <w:r>
        <w:rPr>
          <w:i/>
          <w:iCs/>
          <w:color w:val="000000"/>
          <w:sz w:val="18"/>
          <w:szCs w:val="18"/>
        </w:rPr>
        <w:t>Si bien, se registró el seis de enero de dos mil veintiséis,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rsidR="00E77B5B" w:rsidRDefault="000637F7">
      <w:pPr>
        <w:spacing w:line="240" w:lineRule="auto"/>
        <w:rPr>
          <w:sz w:val="20"/>
          <w:szCs w:val="20"/>
        </w:rPr>
      </w:pPr>
      <w:r>
        <w:rPr>
          <w:vertAlign w:val="superscript"/>
        </w:rPr>
        <w:footnoteRef/>
      </w:r>
      <w:r>
        <w:rPr>
          <w:sz w:val="20"/>
          <w:szCs w:val="20"/>
        </w:rPr>
        <w:t xml:space="preserve"> </w:t>
      </w:r>
      <w:r>
        <w:rPr>
          <w:rFonts w:ascii="Aptos" w:eastAsia="Aptos" w:hAnsi="Aptos" w:cs="Aptos"/>
          <w:sz w:val="20"/>
          <w:szCs w:val="20"/>
        </w:rPr>
        <w:t xml:space="preserve"> </w:t>
      </w:r>
      <w:r>
        <w:rPr>
          <w:i/>
          <w:iCs/>
          <w:sz w:val="18"/>
          <w:szCs w:val="18"/>
        </w:rPr>
        <w:t>Si bien, se registró el veinticuatro de enero de dos mil veintiséis,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B5B" w:rsidRDefault="00E77B5B">
    <w:pPr>
      <w:widowControl w:val="0"/>
      <w:pBdr>
        <w:top w:val="nil"/>
        <w:left w:val="nil"/>
        <w:bottom w:val="nil"/>
        <w:right w:val="nil"/>
        <w:between w:val="nil"/>
      </w:pBdr>
      <w:spacing w:line="276" w:lineRule="auto"/>
      <w:jc w:val="left"/>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552"/>
      <w:gridCol w:w="3577"/>
    </w:tblGrid>
    <w:tr w:rsidR="00E77B5B">
      <w:trPr>
        <w:trHeight w:val="144"/>
        <w:jc w:val="right"/>
      </w:trPr>
      <w:tc>
        <w:tcPr>
          <w:tcW w:w="2552" w:type="dxa"/>
        </w:tcPr>
        <w:p w:rsidR="00E77B5B" w:rsidRDefault="000637F7">
          <w:pPr>
            <w:tabs>
              <w:tab w:val="right" w:pos="8838"/>
            </w:tabs>
            <w:ind w:left="-74" w:right="-105"/>
            <w:rPr>
              <w:b/>
              <w:bCs/>
            </w:rPr>
          </w:pPr>
          <w:r>
            <w:rPr>
              <w:b/>
              <w:bCs/>
            </w:rPr>
            <w:t>Recurso de Revisión:</w:t>
          </w:r>
        </w:p>
      </w:tc>
      <w:tc>
        <w:tcPr>
          <w:tcW w:w="3577" w:type="dxa"/>
        </w:tcPr>
        <w:p w:rsidR="00E77B5B" w:rsidRDefault="000637F7">
          <w:pPr>
            <w:tabs>
              <w:tab w:val="right" w:pos="8838"/>
            </w:tabs>
            <w:ind w:left="-74" w:right="-105"/>
          </w:pPr>
          <w:r>
            <w:t>01002/INFOEM/IP/RR/2026</w:t>
          </w:r>
        </w:p>
      </w:tc>
    </w:tr>
    <w:tr w:rsidR="00E77B5B">
      <w:trPr>
        <w:trHeight w:val="283"/>
        <w:jc w:val="right"/>
      </w:trPr>
      <w:tc>
        <w:tcPr>
          <w:tcW w:w="2552" w:type="dxa"/>
        </w:tcPr>
        <w:p w:rsidR="00E77B5B" w:rsidRDefault="000637F7">
          <w:pPr>
            <w:tabs>
              <w:tab w:val="right" w:pos="8838"/>
            </w:tabs>
            <w:ind w:left="-74" w:right="-105"/>
            <w:rPr>
              <w:b/>
              <w:bCs/>
            </w:rPr>
          </w:pPr>
          <w:r>
            <w:rPr>
              <w:b/>
              <w:bCs/>
            </w:rPr>
            <w:t>Sujeto Obligado:</w:t>
          </w:r>
        </w:p>
      </w:tc>
      <w:tc>
        <w:tcPr>
          <w:tcW w:w="3577" w:type="dxa"/>
        </w:tcPr>
        <w:p w:rsidR="00E77B5B" w:rsidRDefault="000637F7">
          <w:pPr>
            <w:tabs>
              <w:tab w:val="left" w:pos="2834"/>
              <w:tab w:val="right" w:pos="8838"/>
            </w:tabs>
            <w:ind w:left="-108" w:right="-105"/>
          </w:pPr>
          <w:r>
            <w:t>Ayuntamiento de Tepotzotlán</w:t>
          </w:r>
        </w:p>
      </w:tc>
    </w:tr>
    <w:tr w:rsidR="00E77B5B">
      <w:trPr>
        <w:trHeight w:val="283"/>
        <w:jc w:val="right"/>
      </w:trPr>
      <w:tc>
        <w:tcPr>
          <w:tcW w:w="2552" w:type="dxa"/>
        </w:tcPr>
        <w:p w:rsidR="00E77B5B" w:rsidRDefault="000637F7">
          <w:pPr>
            <w:tabs>
              <w:tab w:val="right" w:pos="8838"/>
            </w:tabs>
            <w:ind w:left="-74" w:right="-105"/>
            <w:rPr>
              <w:b/>
              <w:bCs/>
            </w:rPr>
          </w:pPr>
          <w:r>
            <w:rPr>
              <w:b/>
              <w:bCs/>
            </w:rPr>
            <w:t>Comisionada Ponente:</w:t>
          </w:r>
        </w:p>
      </w:tc>
      <w:tc>
        <w:tcPr>
          <w:tcW w:w="3577" w:type="dxa"/>
        </w:tcPr>
        <w:p w:rsidR="00E77B5B" w:rsidRDefault="000637F7">
          <w:pPr>
            <w:tabs>
              <w:tab w:val="right" w:pos="8838"/>
            </w:tabs>
            <w:ind w:left="-108" w:right="-105"/>
          </w:pPr>
          <w:r>
            <w:t>Sharon Cristina Morales Martínez</w:t>
          </w:r>
        </w:p>
      </w:tc>
    </w:tr>
  </w:tbl>
  <w:p w:rsidR="00E77B5B" w:rsidRDefault="000637F7">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-995039</wp:posOffset>
          </wp:positionH>
          <wp:positionV relativeFrom="margin">
            <wp:posOffset>-1782440</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B5B" w:rsidRDefault="00E77B5B">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E77B5B">
      <w:trPr>
        <w:trHeight w:val="1435"/>
      </w:trPr>
      <w:tc>
        <w:tcPr>
          <w:tcW w:w="283" w:type="dxa"/>
          <w:shd w:val="clear" w:color="auto" w:fill="auto"/>
        </w:tcPr>
        <w:p w:rsidR="00E77B5B" w:rsidRDefault="00E77B5B">
          <w:pPr>
            <w:tabs>
              <w:tab w:val="right" w:pos="4273"/>
            </w:tabs>
            <w:ind w:left="-250"/>
            <w:rPr>
              <w:rFonts w:ascii="Garamond" w:eastAsia="Garamond" w:hAnsi="Garamond" w:cs="Garamond"/>
            </w:rPr>
          </w:pPr>
        </w:p>
      </w:tc>
      <w:tc>
        <w:tcPr>
          <w:tcW w:w="6377" w:type="dxa"/>
          <w:shd w:val="clear" w:color="auto" w:fill="auto"/>
        </w:tcPr>
        <w:p w:rsidR="00E77B5B" w:rsidRDefault="00E77B5B">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432"/>
            <w:gridCol w:w="3697"/>
            <w:gridCol w:w="3402"/>
          </w:tblGrid>
          <w:tr w:rsidR="00E77B5B">
            <w:trPr>
              <w:trHeight w:val="144"/>
            </w:trPr>
            <w:tc>
              <w:tcPr>
                <w:tcW w:w="2432" w:type="dxa"/>
              </w:tcPr>
              <w:p w:rsidR="00E77B5B" w:rsidRDefault="000637F7">
                <w:pPr>
                  <w:tabs>
                    <w:tab w:val="right" w:pos="8838"/>
                  </w:tabs>
                  <w:ind w:left="-74" w:right="-105"/>
                  <w:rPr>
                    <w:b/>
                    <w:bCs/>
                  </w:rPr>
                </w:pPr>
                <w:bookmarkStart w:id="0" w:name="_heading=h.2grqrue" w:colFirst="0" w:colLast="0"/>
                <w:bookmarkEnd w:id="0"/>
                <w:r>
                  <w:rPr>
                    <w:b/>
                    <w:bCs/>
                  </w:rPr>
                  <w:t>Recurso de Revisión:</w:t>
                </w:r>
              </w:p>
            </w:tc>
            <w:tc>
              <w:tcPr>
                <w:tcW w:w="3697" w:type="dxa"/>
              </w:tcPr>
              <w:p w:rsidR="00E77B5B" w:rsidRDefault="000637F7">
                <w:pPr>
                  <w:tabs>
                    <w:tab w:val="right" w:pos="8838"/>
                  </w:tabs>
                  <w:ind w:left="-108" w:right="-105"/>
                </w:pPr>
                <w:r>
                  <w:t>01002/INFOEM/IP/RR/2026</w:t>
                </w:r>
              </w:p>
            </w:tc>
            <w:tc>
              <w:tcPr>
                <w:tcW w:w="3402" w:type="dxa"/>
              </w:tcPr>
              <w:p w:rsidR="00E77B5B" w:rsidRDefault="00E77B5B">
                <w:pPr>
                  <w:tabs>
                    <w:tab w:val="right" w:pos="8838"/>
                  </w:tabs>
                  <w:ind w:right="-105"/>
                </w:pPr>
              </w:p>
            </w:tc>
          </w:tr>
          <w:tr w:rsidR="00E77B5B">
            <w:trPr>
              <w:trHeight w:val="144"/>
            </w:trPr>
            <w:tc>
              <w:tcPr>
                <w:tcW w:w="2432" w:type="dxa"/>
              </w:tcPr>
              <w:p w:rsidR="00E77B5B" w:rsidRDefault="000637F7">
                <w:pPr>
                  <w:tabs>
                    <w:tab w:val="right" w:pos="8838"/>
                  </w:tabs>
                  <w:ind w:left="-74" w:right="-105"/>
                  <w:rPr>
                    <w:b/>
                    <w:bCs/>
                  </w:rPr>
                </w:pPr>
                <w:bookmarkStart w:id="1" w:name="_heading=h.vx1227" w:colFirst="0" w:colLast="0"/>
                <w:bookmarkEnd w:id="1"/>
                <w:r>
                  <w:rPr>
                    <w:b/>
                    <w:bCs/>
                  </w:rPr>
                  <w:t>Recurrente:</w:t>
                </w:r>
              </w:p>
            </w:tc>
            <w:tc>
              <w:tcPr>
                <w:tcW w:w="3697" w:type="dxa"/>
              </w:tcPr>
              <w:p w:rsidR="00E77B5B" w:rsidRDefault="00346CBE">
                <w:pPr>
                  <w:tabs>
                    <w:tab w:val="left" w:pos="3122"/>
                    <w:tab w:val="right" w:pos="8838"/>
                  </w:tabs>
                  <w:ind w:left="-105" w:right="-105"/>
                </w:pPr>
                <w:r>
                  <w:t xml:space="preserve">XXXXXXX XXXXXX </w:t>
                </w:r>
                <w:proofErr w:type="spellStart"/>
                <w:r>
                  <w:t>XXXXXX</w:t>
                </w:r>
                <w:proofErr w:type="spellEnd"/>
                <w:r w:rsidR="000637F7">
                  <w:tab/>
                </w:r>
              </w:p>
            </w:tc>
            <w:tc>
              <w:tcPr>
                <w:tcW w:w="3402" w:type="dxa"/>
              </w:tcPr>
              <w:p w:rsidR="00E77B5B" w:rsidRDefault="00E77B5B">
                <w:pPr>
                  <w:tabs>
                    <w:tab w:val="left" w:pos="3122"/>
                    <w:tab w:val="right" w:pos="8838"/>
                  </w:tabs>
                  <w:ind w:left="-105" w:right="-105"/>
                </w:pPr>
              </w:p>
            </w:tc>
          </w:tr>
          <w:tr w:rsidR="00E77B5B">
            <w:trPr>
              <w:trHeight w:val="283"/>
            </w:trPr>
            <w:tc>
              <w:tcPr>
                <w:tcW w:w="2432" w:type="dxa"/>
              </w:tcPr>
              <w:p w:rsidR="00E77B5B" w:rsidRDefault="000637F7">
                <w:pPr>
                  <w:tabs>
                    <w:tab w:val="right" w:pos="8838"/>
                  </w:tabs>
                  <w:ind w:left="-74" w:right="-105"/>
                  <w:rPr>
                    <w:b/>
                    <w:bCs/>
                  </w:rPr>
                </w:pPr>
                <w:r>
                  <w:rPr>
                    <w:b/>
                    <w:bCs/>
                  </w:rPr>
                  <w:t>Sujeto Obligado:</w:t>
                </w:r>
              </w:p>
            </w:tc>
            <w:tc>
              <w:tcPr>
                <w:tcW w:w="3697" w:type="dxa"/>
              </w:tcPr>
              <w:p w:rsidR="00E77B5B" w:rsidRDefault="000637F7">
                <w:pPr>
                  <w:tabs>
                    <w:tab w:val="left" w:pos="2834"/>
                    <w:tab w:val="right" w:pos="8838"/>
                  </w:tabs>
                  <w:ind w:left="-108" w:right="-105"/>
                </w:pPr>
                <w:r>
                  <w:t>Ayuntamiento de Tepotzotlán</w:t>
                </w:r>
              </w:p>
            </w:tc>
            <w:tc>
              <w:tcPr>
                <w:tcW w:w="3402" w:type="dxa"/>
              </w:tcPr>
              <w:p w:rsidR="00E77B5B" w:rsidRDefault="00E77B5B">
                <w:pPr>
                  <w:tabs>
                    <w:tab w:val="left" w:pos="2834"/>
                    <w:tab w:val="right" w:pos="8838"/>
                  </w:tabs>
                  <w:ind w:left="-108" w:right="-105"/>
                </w:pPr>
              </w:p>
            </w:tc>
          </w:tr>
          <w:tr w:rsidR="00E77B5B">
            <w:trPr>
              <w:trHeight w:val="283"/>
            </w:trPr>
            <w:tc>
              <w:tcPr>
                <w:tcW w:w="2432" w:type="dxa"/>
              </w:tcPr>
              <w:p w:rsidR="00E77B5B" w:rsidRDefault="000637F7">
                <w:pPr>
                  <w:tabs>
                    <w:tab w:val="right" w:pos="8838"/>
                  </w:tabs>
                  <w:ind w:left="-74" w:right="-105"/>
                  <w:rPr>
                    <w:b/>
                    <w:bCs/>
                  </w:rPr>
                </w:pPr>
                <w:r>
                  <w:rPr>
                    <w:b/>
                    <w:bCs/>
                  </w:rPr>
                  <w:t>Comisionada Ponente:</w:t>
                </w:r>
              </w:p>
            </w:tc>
            <w:tc>
              <w:tcPr>
                <w:tcW w:w="3697" w:type="dxa"/>
              </w:tcPr>
              <w:p w:rsidR="00E77B5B" w:rsidRDefault="000637F7">
                <w:pPr>
                  <w:tabs>
                    <w:tab w:val="right" w:pos="8838"/>
                  </w:tabs>
                  <w:ind w:left="-108" w:right="-105"/>
                </w:pPr>
                <w:r>
                  <w:t>Sharon Cristina Morales Martínez</w:t>
                </w:r>
              </w:p>
            </w:tc>
            <w:tc>
              <w:tcPr>
                <w:tcW w:w="3402" w:type="dxa"/>
              </w:tcPr>
              <w:p w:rsidR="00E77B5B" w:rsidRDefault="00E77B5B">
                <w:pPr>
                  <w:tabs>
                    <w:tab w:val="right" w:pos="8838"/>
                  </w:tabs>
                  <w:ind w:left="-108" w:right="-105"/>
                </w:pPr>
              </w:p>
            </w:tc>
          </w:tr>
        </w:tbl>
        <w:p w:rsidR="00E77B5B" w:rsidRDefault="00E77B5B">
          <w:pPr>
            <w:tabs>
              <w:tab w:val="right" w:pos="8838"/>
            </w:tabs>
            <w:ind w:left="-28"/>
            <w:rPr>
              <w:rFonts w:ascii="Arial" w:eastAsia="Arial" w:hAnsi="Arial" w:cs="Arial"/>
              <w:b/>
              <w:bCs/>
            </w:rPr>
          </w:pPr>
        </w:p>
      </w:tc>
    </w:tr>
  </w:tbl>
  <w:p w:rsidR="00E77B5B" w:rsidRDefault="0098210D">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51280"/>
    <w:multiLevelType w:val="multilevel"/>
    <w:tmpl w:val="C7F49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CA650C5"/>
    <w:multiLevelType w:val="multilevel"/>
    <w:tmpl w:val="A5D430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4B78FC"/>
    <w:multiLevelType w:val="multilevel"/>
    <w:tmpl w:val="55F4F6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73020C"/>
    <w:multiLevelType w:val="multilevel"/>
    <w:tmpl w:val="4CB669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5B"/>
    <w:rsid w:val="000637F7"/>
    <w:rsid w:val="002C7BDD"/>
    <w:rsid w:val="00346CBE"/>
    <w:rsid w:val="00536012"/>
    <w:rsid w:val="006051D0"/>
    <w:rsid w:val="0098210D"/>
    <w:rsid w:val="00D23527"/>
    <w:rsid w:val="00D25483"/>
    <w:rsid w:val="00E77B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FB1C5F4-895B-4F1E-9BBC-162BFB768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536012"/>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536012"/>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346CB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46CBE"/>
  </w:style>
  <w:style w:type="paragraph" w:styleId="Piedepgina">
    <w:name w:val="footer"/>
    <w:basedOn w:val="Normal"/>
    <w:link w:val="PiedepginaCar"/>
    <w:uiPriority w:val="99"/>
    <w:unhideWhenUsed/>
    <w:rsid w:val="00346CB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46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jEhwPeWZJ8yWU8WHYyrKmKCqUg==">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9746</Words>
  <Characters>53605</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6</cp:revision>
  <cp:lastPrinted>2026-08-14T20:48:00Z</cp:lastPrinted>
  <dcterms:created xsi:type="dcterms:W3CDTF">2026-08-12T17:28:00Z</dcterms:created>
  <dcterms:modified xsi:type="dcterms:W3CDTF">2026-08-18T20:46:00Z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