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A2FA863" w:rsidR="00091682" w:rsidRPr="00090DE6" w:rsidRDefault="00091682" w:rsidP="00091682">
      <w:pPr>
        <w:spacing w:before="240" w:after="240" w:line="360" w:lineRule="auto"/>
        <w:jc w:val="both"/>
        <w:rPr>
          <w:rFonts w:ascii="Palatino Linotype" w:hAnsi="Palatino Linotype"/>
        </w:rPr>
      </w:pPr>
      <w:r w:rsidRPr="00090DE6">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090DE6">
        <w:rPr>
          <w:rFonts w:ascii="Palatino Linotype" w:hAnsi="Palatino Linotype"/>
        </w:rPr>
        <w:t>Metepec, Estado de México</w:t>
      </w:r>
      <w:r w:rsidR="008C3158" w:rsidRPr="00090DE6">
        <w:rPr>
          <w:rFonts w:ascii="Palatino Linotype" w:hAnsi="Palatino Linotype"/>
        </w:rPr>
        <w:t>;</w:t>
      </w:r>
      <w:r w:rsidR="00EF35FA" w:rsidRPr="00090DE6">
        <w:rPr>
          <w:rFonts w:ascii="Palatino Linotype" w:hAnsi="Palatino Linotype"/>
        </w:rPr>
        <w:t xml:space="preserve"> </w:t>
      </w:r>
      <w:r w:rsidR="004440AC" w:rsidRPr="00090DE6">
        <w:rPr>
          <w:rFonts w:ascii="Palatino Linotype" w:hAnsi="Palatino Linotype"/>
        </w:rPr>
        <w:t xml:space="preserve">de </w:t>
      </w:r>
      <w:r w:rsidR="008A3916">
        <w:rPr>
          <w:rFonts w:ascii="Palatino Linotype" w:hAnsi="Palatino Linotype"/>
        </w:rPr>
        <w:t>primero de septiembre</w:t>
      </w:r>
      <w:r w:rsidR="001C42A7">
        <w:rPr>
          <w:rFonts w:ascii="Palatino Linotype" w:hAnsi="Palatino Linotype"/>
        </w:rPr>
        <w:t xml:space="preserve"> </w:t>
      </w:r>
      <w:r w:rsidRPr="00090DE6">
        <w:rPr>
          <w:rFonts w:ascii="Palatino Linotype" w:hAnsi="Palatino Linotype"/>
        </w:rPr>
        <w:t>de</w:t>
      </w:r>
      <w:r w:rsidR="00686279" w:rsidRPr="00090DE6">
        <w:rPr>
          <w:rFonts w:ascii="Palatino Linotype" w:hAnsi="Palatino Linotype"/>
        </w:rPr>
        <w:t>l</w:t>
      </w:r>
      <w:r w:rsidR="00E5452C" w:rsidRPr="00090DE6">
        <w:rPr>
          <w:rFonts w:ascii="Palatino Linotype" w:hAnsi="Palatino Linotype"/>
        </w:rPr>
        <w:t xml:space="preserve"> dos mil </w:t>
      </w:r>
      <w:r w:rsidR="00782370" w:rsidRPr="00090DE6">
        <w:rPr>
          <w:rFonts w:ascii="Palatino Linotype" w:hAnsi="Palatino Linotype"/>
        </w:rPr>
        <w:t>veint</w:t>
      </w:r>
      <w:r w:rsidR="007A2132">
        <w:rPr>
          <w:rFonts w:ascii="Palatino Linotype" w:hAnsi="Palatino Linotype"/>
        </w:rPr>
        <w:t>iuno.</w:t>
      </w:r>
    </w:p>
    <w:p w14:paraId="7D53FE2D" w14:textId="052BB937" w:rsidR="008E7698" w:rsidRPr="00090DE6" w:rsidRDefault="008E7698" w:rsidP="008E7698">
      <w:pPr>
        <w:spacing w:before="240" w:after="240" w:line="360" w:lineRule="auto"/>
        <w:jc w:val="both"/>
        <w:rPr>
          <w:rFonts w:ascii="Palatino Linotype" w:hAnsi="Palatino Linotype" w:cs="Arial"/>
        </w:rPr>
      </w:pPr>
      <w:r w:rsidRPr="00090DE6">
        <w:rPr>
          <w:rFonts w:ascii="Palatino Linotype" w:hAnsi="Palatino Linotype" w:cs="Arial"/>
          <w:b/>
          <w:sz w:val="28"/>
          <w:szCs w:val="28"/>
        </w:rPr>
        <w:t>Visto</w:t>
      </w:r>
      <w:r w:rsidRPr="00090DE6">
        <w:rPr>
          <w:rFonts w:ascii="Palatino Linotype" w:hAnsi="Palatino Linotype" w:cs="Arial"/>
        </w:rPr>
        <w:t xml:space="preserve"> el expediente relativo al recurso de revisión </w:t>
      </w:r>
      <w:r w:rsidR="00B57620">
        <w:rPr>
          <w:rFonts w:ascii="Palatino Linotype" w:eastAsiaTheme="minorEastAsia" w:hAnsi="Palatino Linotype" w:cs="Arial"/>
          <w:b/>
          <w:bCs/>
          <w:sz w:val="22"/>
          <w:szCs w:val="22"/>
          <w:lang w:val="es-MX"/>
        </w:rPr>
        <w:t>02894/INFOEM/IP/RR/2021</w:t>
      </w:r>
      <w:r w:rsidR="000E1C85" w:rsidRPr="00090DE6">
        <w:rPr>
          <w:rFonts w:ascii="Palatino Linotype" w:hAnsi="Palatino Linotype" w:cs="Arial"/>
        </w:rPr>
        <w:t xml:space="preserve">, interpuesto por </w:t>
      </w:r>
      <w:proofErr w:type="spellStart"/>
      <w:r w:rsidR="00FA5676">
        <w:rPr>
          <w:rFonts w:ascii="Palatino Linotype" w:hAnsi="Palatino Linotype" w:cs="Arial"/>
          <w:b/>
        </w:rPr>
        <w:t>Xxxxxxx</w:t>
      </w:r>
      <w:proofErr w:type="spellEnd"/>
      <w:r w:rsidR="00B57620">
        <w:rPr>
          <w:rFonts w:ascii="Palatino Linotype" w:hAnsi="Palatino Linotype" w:cs="Arial"/>
          <w:b/>
        </w:rPr>
        <w:t xml:space="preserve"> </w:t>
      </w:r>
      <w:proofErr w:type="spellStart"/>
      <w:r w:rsidR="00FA5676">
        <w:rPr>
          <w:rFonts w:ascii="Palatino Linotype" w:hAnsi="Palatino Linotype" w:cs="Arial"/>
          <w:b/>
        </w:rPr>
        <w:t>Xxxxxx</w:t>
      </w:r>
      <w:proofErr w:type="spellEnd"/>
      <w:r w:rsidR="00B57620">
        <w:rPr>
          <w:rFonts w:ascii="Palatino Linotype" w:hAnsi="Palatino Linotype" w:cs="Arial"/>
          <w:b/>
        </w:rPr>
        <w:t xml:space="preserve"> </w:t>
      </w:r>
      <w:proofErr w:type="spellStart"/>
      <w:r w:rsidR="00FA5676">
        <w:rPr>
          <w:rFonts w:ascii="Palatino Linotype" w:hAnsi="Palatino Linotype" w:cs="Arial"/>
          <w:b/>
        </w:rPr>
        <w:t>Xxxxx</w:t>
      </w:r>
      <w:bookmarkStart w:id="0" w:name="_GoBack"/>
      <w:bookmarkEnd w:id="0"/>
      <w:proofErr w:type="spellEnd"/>
      <w:r w:rsidR="00761460">
        <w:rPr>
          <w:rFonts w:ascii="Palatino Linotype" w:hAnsi="Palatino Linotype" w:cs="Arial"/>
          <w:b/>
        </w:rPr>
        <w:t xml:space="preserve">, </w:t>
      </w:r>
      <w:r w:rsidR="007E64E0" w:rsidRPr="00090DE6">
        <w:rPr>
          <w:rFonts w:ascii="Palatino Linotype" w:hAnsi="Palatino Linotype" w:cs="Arial"/>
        </w:rPr>
        <w:t>a q</w:t>
      </w:r>
      <w:r w:rsidR="004440AC" w:rsidRPr="00090DE6">
        <w:rPr>
          <w:rFonts w:ascii="Palatino Linotype" w:hAnsi="Palatino Linotype" w:cs="Arial"/>
        </w:rPr>
        <w:t>uien</w:t>
      </w:r>
      <w:r w:rsidRPr="00090DE6">
        <w:rPr>
          <w:rFonts w:ascii="Palatino Linotype" w:hAnsi="Palatino Linotype" w:cs="Arial"/>
        </w:rPr>
        <w:t xml:space="preserve"> en lo sucesivo se le denominará </w:t>
      </w:r>
      <w:r w:rsidR="008C57E4">
        <w:rPr>
          <w:rFonts w:ascii="Palatino Linotype" w:hAnsi="Palatino Linotype" w:cs="Arial"/>
        </w:rPr>
        <w:t>el</w:t>
      </w:r>
      <w:r w:rsidR="004C7629" w:rsidRPr="00090DE6">
        <w:rPr>
          <w:rFonts w:ascii="Palatino Linotype" w:hAnsi="Palatino Linotype" w:cs="Arial"/>
        </w:rPr>
        <w:t xml:space="preserve"> </w:t>
      </w:r>
      <w:r w:rsidR="004C7629" w:rsidRPr="00090DE6">
        <w:rPr>
          <w:rFonts w:ascii="Palatino Linotype" w:hAnsi="Palatino Linotype" w:cs="Arial"/>
          <w:b/>
          <w:i/>
        </w:rPr>
        <w:t>Recurrente</w:t>
      </w:r>
      <w:r w:rsidRPr="00090DE6">
        <w:rPr>
          <w:rFonts w:ascii="Palatino Linotype" w:hAnsi="Palatino Linotype" w:cs="Arial"/>
          <w:b/>
          <w:i/>
        </w:rPr>
        <w:t xml:space="preserve"> </w:t>
      </w:r>
      <w:r w:rsidRPr="00090DE6">
        <w:rPr>
          <w:rFonts w:ascii="Palatino Linotype" w:hAnsi="Palatino Linotype" w:cs="Arial"/>
        </w:rPr>
        <w:t>en contra de la respuesta</w:t>
      </w:r>
      <w:r w:rsidR="00E66AC9" w:rsidRPr="00090DE6">
        <w:rPr>
          <w:rFonts w:ascii="Palatino Linotype" w:hAnsi="Palatino Linotype" w:cs="Arial"/>
        </w:rPr>
        <w:t xml:space="preserve"> a</w:t>
      </w:r>
      <w:r w:rsidRPr="00090DE6">
        <w:rPr>
          <w:rFonts w:ascii="Palatino Linotype" w:hAnsi="Palatino Linotype" w:cs="Arial"/>
        </w:rPr>
        <w:t xml:space="preserve"> su solicitud de in</w:t>
      </w:r>
      <w:r w:rsidR="004440AC" w:rsidRPr="00090DE6">
        <w:rPr>
          <w:rFonts w:ascii="Palatino Linotype" w:hAnsi="Palatino Linotype" w:cs="Arial"/>
        </w:rPr>
        <w:t xml:space="preserve">formación con número de </w:t>
      </w:r>
      <w:r w:rsidR="00C06EF4" w:rsidRPr="00090DE6">
        <w:rPr>
          <w:rFonts w:ascii="Palatino Linotype" w:hAnsi="Palatino Linotype" w:cs="Arial"/>
        </w:rPr>
        <w:t xml:space="preserve">folio </w:t>
      </w:r>
      <w:r w:rsidR="00B57620">
        <w:rPr>
          <w:rFonts w:ascii="Palatino Linotype" w:eastAsiaTheme="minorEastAsia" w:hAnsi="Palatino Linotype" w:cs="Arial"/>
          <w:b/>
          <w:sz w:val="22"/>
          <w:szCs w:val="22"/>
          <w:lang w:val="es-MX"/>
        </w:rPr>
        <w:t>00175/UPVT/IP/2021</w:t>
      </w:r>
      <w:r w:rsidRPr="00090DE6">
        <w:rPr>
          <w:rFonts w:ascii="Palatino Linotype" w:hAnsi="Palatino Linotype" w:cs="Arial"/>
        </w:rPr>
        <w:t xml:space="preserve">, </w:t>
      </w:r>
      <w:r w:rsidR="004440AC" w:rsidRPr="00090DE6">
        <w:rPr>
          <w:rFonts w:ascii="Palatino Linotype" w:hAnsi="Palatino Linotype" w:cs="Arial"/>
        </w:rPr>
        <w:t xml:space="preserve">otorgada </w:t>
      </w:r>
      <w:r w:rsidRPr="00090DE6">
        <w:rPr>
          <w:rFonts w:ascii="Palatino Linotype" w:hAnsi="Palatino Linotype" w:cs="Arial"/>
        </w:rPr>
        <w:t xml:space="preserve">por </w:t>
      </w:r>
      <w:r w:rsidR="005E3C0B" w:rsidRPr="00090DE6">
        <w:rPr>
          <w:rFonts w:ascii="Palatino Linotype" w:hAnsi="Palatino Linotype" w:cs="Arial"/>
        </w:rPr>
        <w:t>e</w:t>
      </w:r>
      <w:r w:rsidR="00E5452C" w:rsidRPr="00090DE6">
        <w:rPr>
          <w:rFonts w:ascii="Palatino Linotype" w:hAnsi="Palatino Linotype" w:cs="Arial"/>
        </w:rPr>
        <w:t>l</w:t>
      </w:r>
      <w:r w:rsidR="008F355E" w:rsidRPr="00090DE6">
        <w:rPr>
          <w:rFonts w:ascii="Palatino Linotype" w:hAnsi="Palatino Linotype" w:cs="Arial"/>
        </w:rPr>
        <w:t xml:space="preserve"> </w:t>
      </w:r>
      <w:r w:rsidR="00B57620">
        <w:rPr>
          <w:rFonts w:ascii="Palatino Linotype" w:hAnsi="Palatino Linotype" w:cs="Arial"/>
          <w:b/>
        </w:rPr>
        <w:t>Universidad Politécnica del Valle de Toluca</w:t>
      </w:r>
      <w:r w:rsidR="008F355E" w:rsidRPr="00090DE6">
        <w:rPr>
          <w:rFonts w:ascii="Palatino Linotype" w:hAnsi="Palatino Linotype" w:cs="Arial"/>
        </w:rPr>
        <w:t>,</w:t>
      </w:r>
      <w:r w:rsidRPr="00090DE6">
        <w:rPr>
          <w:rFonts w:ascii="Palatino Linotype" w:hAnsi="Palatino Linotype" w:cs="Arial"/>
        </w:rPr>
        <w:t xml:space="preserve"> en lo sucesivo el </w:t>
      </w:r>
      <w:r w:rsidRPr="00090DE6">
        <w:rPr>
          <w:rFonts w:ascii="Palatino Linotype" w:hAnsi="Palatino Linotype" w:cs="Arial"/>
          <w:b/>
        </w:rPr>
        <w:t>Sujeto Obligado</w:t>
      </w:r>
      <w:r w:rsidRPr="00090DE6">
        <w:rPr>
          <w:rFonts w:ascii="Palatino Linotype" w:hAnsi="Palatino Linotype" w:cs="Arial"/>
        </w:rPr>
        <w:t>;</w:t>
      </w:r>
      <w:r w:rsidRPr="00090DE6">
        <w:rPr>
          <w:rFonts w:ascii="Palatino Linotype" w:hAnsi="Palatino Linotype" w:cs="Arial"/>
          <w:b/>
        </w:rPr>
        <w:t xml:space="preserve"> </w:t>
      </w:r>
      <w:r w:rsidRPr="00090DE6">
        <w:rPr>
          <w:rFonts w:ascii="Palatino Linotype" w:hAnsi="Palatino Linotype" w:cs="Arial"/>
        </w:rPr>
        <w:t>se procede a dictar la presente resolución, con base en lo siguiente.</w:t>
      </w:r>
    </w:p>
    <w:p w14:paraId="1A4B04B4" w14:textId="6FE3E403"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 </w:t>
      </w:r>
      <w:r w:rsidR="008E7698" w:rsidRPr="00090DE6">
        <w:rPr>
          <w:rFonts w:ascii="Palatino Linotype" w:hAnsi="Palatino Linotype"/>
          <w:b/>
          <w:color w:val="auto"/>
          <w:sz w:val="24"/>
          <w:szCs w:val="24"/>
        </w:rPr>
        <w:t>A N T E C E D E N T E S:</w:t>
      </w:r>
    </w:p>
    <w:p w14:paraId="4B0026B6" w14:textId="58B6C8D4" w:rsidR="008E7698" w:rsidRPr="00090DE6" w:rsidRDefault="008E7698"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1. Solicitud de acceso a la información.</w:t>
      </w:r>
      <w:r w:rsidRPr="00090DE6">
        <w:rPr>
          <w:rFonts w:ascii="Palatino Linotype" w:hAnsi="Palatino Linotype" w:cs="Arial"/>
          <w:b/>
        </w:rPr>
        <w:t xml:space="preserve"> </w:t>
      </w:r>
      <w:r w:rsidRPr="00090DE6">
        <w:rPr>
          <w:rFonts w:ascii="Palatino Linotype" w:hAnsi="Palatino Linotype" w:cs="Arial"/>
        </w:rPr>
        <w:t>Con</w:t>
      </w:r>
      <w:r w:rsidR="004440AC" w:rsidRPr="00090DE6">
        <w:rPr>
          <w:rFonts w:ascii="Palatino Linotype" w:hAnsi="Palatino Linotype" w:cs="Arial"/>
        </w:rPr>
        <w:t xml:space="preserve"> fecha </w:t>
      </w:r>
      <w:r w:rsidR="00B57620">
        <w:rPr>
          <w:rFonts w:ascii="Palatino Linotype" w:hAnsi="Palatino Linotype" w:cs="Arial"/>
        </w:rPr>
        <w:t>veintiuno</w:t>
      </w:r>
      <w:r w:rsidR="007E0E1D">
        <w:rPr>
          <w:rFonts w:ascii="Palatino Linotype" w:hAnsi="Palatino Linotype" w:cs="Arial"/>
        </w:rPr>
        <w:t xml:space="preserve"> de abril</w:t>
      </w:r>
      <w:r w:rsidR="00CA389D">
        <w:rPr>
          <w:rFonts w:ascii="Palatino Linotype" w:hAnsi="Palatino Linotype" w:cs="Arial"/>
        </w:rPr>
        <w:t xml:space="preserve"> de dos mil veintiuno</w:t>
      </w:r>
      <w:r w:rsidR="00682656" w:rsidRPr="00090DE6">
        <w:rPr>
          <w:rFonts w:ascii="Palatino Linotype" w:hAnsi="Palatino Linotype" w:cs="Arial"/>
        </w:rPr>
        <w:t xml:space="preserve">, </w:t>
      </w:r>
      <w:r w:rsidR="008C57E4">
        <w:rPr>
          <w:rFonts w:ascii="Palatino Linotype" w:hAnsi="Palatino Linotype" w:cs="Arial"/>
        </w:rPr>
        <w:t>el</w:t>
      </w:r>
      <w:r w:rsidRPr="00090DE6">
        <w:rPr>
          <w:rFonts w:ascii="Palatino Linotype" w:hAnsi="Palatino Linotype" w:cs="Arial"/>
        </w:rPr>
        <w:t xml:space="preserve"> ahora </w:t>
      </w:r>
      <w:r w:rsidR="00DE7F9A" w:rsidRPr="00090DE6">
        <w:rPr>
          <w:rFonts w:ascii="Palatino Linotype" w:hAnsi="Palatino Linotype" w:cs="Arial"/>
          <w:b/>
          <w:i/>
        </w:rPr>
        <w:t>Recurrente</w:t>
      </w:r>
      <w:r w:rsidRPr="00090DE6">
        <w:rPr>
          <w:rFonts w:ascii="Palatino Linotype" w:hAnsi="Palatino Linotype" w:cs="Arial"/>
        </w:rPr>
        <w:t xml:space="preserve"> formuló solicitud de acceso a </w:t>
      </w:r>
      <w:r w:rsidR="00DF1223" w:rsidRPr="00090DE6">
        <w:rPr>
          <w:rFonts w:ascii="Palatino Linotype" w:hAnsi="Palatino Linotype" w:cs="Arial"/>
        </w:rPr>
        <w:t xml:space="preserve">la </w:t>
      </w:r>
      <w:r w:rsidRPr="00090DE6">
        <w:rPr>
          <w:rFonts w:ascii="Palatino Linotype" w:hAnsi="Palatino Linotype" w:cs="Arial"/>
        </w:rPr>
        <w:t xml:space="preserve">información pública al </w:t>
      </w:r>
      <w:r w:rsidRPr="00090DE6">
        <w:rPr>
          <w:rFonts w:ascii="Palatino Linotype" w:hAnsi="Palatino Linotype" w:cs="Arial"/>
          <w:b/>
        </w:rPr>
        <w:t>Sujeto Obligado</w:t>
      </w:r>
      <w:r w:rsidRPr="00090DE6">
        <w:rPr>
          <w:rFonts w:ascii="Palatino Linotype" w:hAnsi="Palatino Linotype" w:cs="Arial"/>
        </w:rPr>
        <w:t xml:space="preserve"> a través del Sistema de Acceso a la Información Mexiquense, en adelante </w:t>
      </w:r>
      <w:r w:rsidRPr="00090DE6">
        <w:rPr>
          <w:rFonts w:ascii="Palatino Linotype" w:hAnsi="Palatino Linotype" w:cs="Arial"/>
          <w:b/>
        </w:rPr>
        <w:t>SAIMEX,</w:t>
      </w:r>
      <w:r w:rsidRPr="00090DE6">
        <w:rPr>
          <w:rFonts w:ascii="Palatino Linotype" w:hAnsi="Palatino Linotype" w:cs="Arial"/>
        </w:rPr>
        <w:t xml:space="preserve"> </w:t>
      </w:r>
      <w:r w:rsidR="00126F04" w:rsidRPr="00090DE6">
        <w:rPr>
          <w:rFonts w:ascii="Palatino Linotype" w:hAnsi="Palatino Linotype" w:cs="Arial"/>
        </w:rPr>
        <w:t>requiriendo</w:t>
      </w:r>
      <w:r w:rsidRPr="00090DE6">
        <w:rPr>
          <w:rFonts w:ascii="Palatino Linotype" w:hAnsi="Palatino Linotype" w:cs="Arial"/>
        </w:rPr>
        <w:t xml:space="preserve"> lo siguiente:</w:t>
      </w:r>
    </w:p>
    <w:p w14:paraId="3F4E6C5F" w14:textId="69EB9489" w:rsidR="00293DE5" w:rsidRPr="00090DE6" w:rsidRDefault="007E0E1D" w:rsidP="00B57620">
      <w:pPr>
        <w:spacing w:before="240" w:after="240" w:line="360" w:lineRule="auto"/>
        <w:ind w:left="851" w:right="900"/>
        <w:jc w:val="both"/>
        <w:rPr>
          <w:lang w:val="es-MX" w:eastAsia="es-MX"/>
        </w:rPr>
      </w:pPr>
      <w:r w:rsidRPr="00B57620">
        <w:rPr>
          <w:rFonts w:ascii="Palatino Linotype" w:hAnsi="Palatino Linotype"/>
          <w:i/>
          <w:color w:val="000000"/>
        </w:rPr>
        <w:t>“</w:t>
      </w:r>
      <w:r w:rsidR="00B57620" w:rsidRPr="00B57620">
        <w:rPr>
          <w:rFonts w:ascii="Palatino Linotype" w:hAnsi="Palatino Linotype"/>
          <w:i/>
          <w:lang w:val="es-MX" w:eastAsia="es-MX"/>
        </w:rPr>
        <w:t>Histórico de personal que ha sido dado de baja por parte de la Universidad ante el ISSEMYM</w:t>
      </w:r>
      <w:proofErr w:type="gramStart"/>
      <w:r w:rsidR="004F5243" w:rsidRPr="00B57620">
        <w:rPr>
          <w:rFonts w:ascii="Palatino Linotype" w:hAnsi="Palatino Linotype" w:cs="Arial"/>
          <w:i/>
        </w:rPr>
        <w:t>”</w:t>
      </w:r>
      <w:r w:rsidR="00C673D1" w:rsidRPr="00090DE6">
        <w:rPr>
          <w:rFonts w:ascii="Palatino Linotype" w:hAnsi="Palatino Linotype" w:cs="Arial"/>
          <w:i/>
          <w:sz w:val="20"/>
          <w:szCs w:val="20"/>
        </w:rPr>
        <w:t>(</w:t>
      </w:r>
      <w:proofErr w:type="gramEnd"/>
      <w:r w:rsidR="00C673D1" w:rsidRPr="00090DE6">
        <w:rPr>
          <w:rFonts w:ascii="Palatino Linotype" w:hAnsi="Palatino Linotype" w:cs="Arial"/>
          <w:i/>
          <w:sz w:val="20"/>
          <w:szCs w:val="20"/>
        </w:rPr>
        <w:t>sic)</w:t>
      </w:r>
    </w:p>
    <w:p w14:paraId="649BFEDD" w14:textId="0B33FC4E" w:rsidR="00293DE5" w:rsidRPr="00090DE6" w:rsidRDefault="00761460"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090DE6">
        <w:rPr>
          <w:rFonts w:ascii="Palatino Linotype" w:hAnsi="Palatino Linotype" w:cs="Arial"/>
        </w:rPr>
        <w:t xml:space="preserve"> solicitante indicó como modalidad de entrega el</w:t>
      </w:r>
      <w:r w:rsidR="00293DE5" w:rsidRPr="00090DE6">
        <w:rPr>
          <w:rFonts w:ascii="Palatino Linotype" w:hAnsi="Palatino Linotype" w:cs="Arial"/>
          <w:b/>
        </w:rPr>
        <w:t xml:space="preserve"> SAIMEX</w:t>
      </w:r>
      <w:r w:rsidR="00451F5B" w:rsidRPr="00090DE6">
        <w:rPr>
          <w:rFonts w:ascii="Palatino Linotype" w:hAnsi="Palatino Linotype" w:cs="Arial"/>
          <w:b/>
        </w:rPr>
        <w:t>.</w:t>
      </w:r>
    </w:p>
    <w:p w14:paraId="29FC47D5" w14:textId="15389027" w:rsidR="00D64A87" w:rsidRPr="00090DE6" w:rsidRDefault="00761460" w:rsidP="00D64A87">
      <w:pPr>
        <w:spacing w:before="240" w:after="240" w:line="360" w:lineRule="auto"/>
        <w:jc w:val="both"/>
        <w:rPr>
          <w:rFonts w:ascii="Palatino Linotype" w:hAnsi="Palatino Linotype" w:cs="Arial"/>
        </w:rPr>
      </w:pPr>
      <w:r w:rsidRPr="00761460">
        <w:rPr>
          <w:rFonts w:ascii="Palatino Linotype" w:hAnsi="Palatino Linotype" w:cs="Arial"/>
          <w:b/>
          <w:sz w:val="28"/>
          <w:szCs w:val="28"/>
        </w:rPr>
        <w:t xml:space="preserve">2. </w:t>
      </w:r>
      <w:r w:rsidR="00D64A87" w:rsidRPr="00090DE6">
        <w:rPr>
          <w:rFonts w:ascii="Palatino Linotype" w:hAnsi="Palatino Linotype" w:cs="Arial"/>
          <w:b/>
          <w:sz w:val="28"/>
          <w:szCs w:val="28"/>
        </w:rPr>
        <w:t>Respuesta</w:t>
      </w:r>
      <w:r w:rsidR="00E747D5" w:rsidRPr="00090DE6">
        <w:rPr>
          <w:rFonts w:ascii="Palatino Linotype" w:hAnsi="Palatino Linotype" w:cs="Arial"/>
          <w:b/>
          <w:sz w:val="28"/>
          <w:szCs w:val="28"/>
        </w:rPr>
        <w:t xml:space="preserve">. </w:t>
      </w:r>
      <w:r w:rsidR="00D64A87" w:rsidRPr="00090DE6">
        <w:rPr>
          <w:rFonts w:ascii="Palatino Linotype" w:hAnsi="Palatino Linotype" w:cs="Arial"/>
        </w:rPr>
        <w:t xml:space="preserve">Con fecha </w:t>
      </w:r>
      <w:r w:rsidR="00B57620">
        <w:rPr>
          <w:rFonts w:ascii="Palatino Linotype" w:hAnsi="Palatino Linotype" w:cs="Arial"/>
        </w:rPr>
        <w:t>once de mayo</w:t>
      </w:r>
      <w:r w:rsidR="008C57E4">
        <w:rPr>
          <w:rFonts w:ascii="Palatino Linotype" w:hAnsi="Palatino Linotype" w:cs="Arial"/>
        </w:rPr>
        <w:t xml:space="preserve"> de la </w:t>
      </w:r>
      <w:r w:rsidR="007C7C3E">
        <w:rPr>
          <w:rFonts w:ascii="Palatino Linotype" w:hAnsi="Palatino Linotype" w:cs="Arial"/>
        </w:rPr>
        <w:t>presente</w:t>
      </w:r>
      <w:r w:rsidR="00D64A87" w:rsidRPr="00090DE6">
        <w:rPr>
          <w:rFonts w:ascii="Palatino Linotype" w:hAnsi="Palatino Linotype" w:cs="Arial"/>
        </w:rPr>
        <w:t xml:space="preserve"> anualidad, el </w:t>
      </w:r>
      <w:r w:rsidR="00D64A87" w:rsidRPr="00090DE6">
        <w:rPr>
          <w:rFonts w:ascii="Palatino Linotype" w:hAnsi="Palatino Linotype" w:cs="Arial"/>
          <w:b/>
        </w:rPr>
        <w:t>Sujeto Obligado</w:t>
      </w:r>
      <w:r w:rsidR="00D64A87" w:rsidRPr="00090DE6">
        <w:rPr>
          <w:rFonts w:ascii="Palatino Linotype" w:hAnsi="Palatino Linotype" w:cs="Arial"/>
        </w:rPr>
        <w:t xml:space="preserve"> otorgó, a través del SAIMEX, respuesta a la solicitud de acceso a la información de la siguiente forma:</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B1BF1" w:rsidRPr="006B1BF1" w14:paraId="76558745" w14:textId="77777777" w:rsidTr="006B1BF1">
        <w:trPr>
          <w:trHeight w:val="150"/>
          <w:tblCellSpacing w:w="0" w:type="dxa"/>
          <w:jc w:val="center"/>
        </w:trPr>
        <w:tc>
          <w:tcPr>
            <w:tcW w:w="0" w:type="auto"/>
            <w:vAlign w:val="center"/>
            <w:hideMark/>
          </w:tcPr>
          <w:p w14:paraId="29BDCCD6" w14:textId="1965ABB9" w:rsidR="006B1BF1" w:rsidRDefault="000D29F9" w:rsidP="006B1BF1">
            <w:pPr>
              <w:spacing w:before="240" w:after="240" w:line="360" w:lineRule="auto"/>
              <w:ind w:left="1701" w:right="900"/>
              <w:jc w:val="both"/>
              <w:rPr>
                <w:rFonts w:ascii="Palatino Linotype" w:hAnsi="Palatino Linotype"/>
                <w:sz w:val="20"/>
                <w:szCs w:val="20"/>
              </w:rPr>
            </w:pPr>
            <w:r w:rsidRPr="006B1BF1">
              <w:rPr>
                <w:rFonts w:ascii="Palatino Linotype" w:hAnsi="Palatino Linotype"/>
                <w:i/>
              </w:rPr>
              <w:lastRenderedPageBreak/>
              <w:t>“</w:t>
            </w:r>
            <w:r w:rsidR="008C57E4">
              <w:rPr>
                <w:rFonts w:ascii="Verdana" w:hAnsi="Verdana"/>
                <w:color w:val="000000"/>
                <w:sz w:val="18"/>
                <w:szCs w:val="18"/>
              </w:rPr>
              <w:t> </w:t>
            </w:r>
            <w:r w:rsidR="00B57620" w:rsidRPr="00B57620">
              <w:rPr>
                <w:rFonts w:ascii="Palatino Linotype" w:hAnsi="Palatino Linotype"/>
                <w:i/>
                <w:color w:val="000000"/>
              </w:rPr>
              <w:t xml:space="preserve">De conformidad con </w:t>
            </w:r>
            <w:proofErr w:type="spellStart"/>
            <w:r w:rsidR="00B57620" w:rsidRPr="00B57620">
              <w:rPr>
                <w:rFonts w:ascii="Palatino Linotype" w:hAnsi="Palatino Linotype"/>
                <w:i/>
                <w:color w:val="000000"/>
              </w:rPr>
              <w:t>Ios</w:t>
            </w:r>
            <w:proofErr w:type="spellEnd"/>
            <w:r w:rsidR="00B57620" w:rsidRPr="00B57620">
              <w:rPr>
                <w:rFonts w:ascii="Palatino Linotype" w:hAnsi="Palatino Linotype"/>
                <w:i/>
                <w:color w:val="000000"/>
              </w:rPr>
              <w:t xml:space="preserve"> artículos 1, 2, 3, fracciones </w:t>
            </w:r>
            <w:proofErr w:type="spellStart"/>
            <w:r w:rsidR="00B57620" w:rsidRPr="00B57620">
              <w:rPr>
                <w:rFonts w:ascii="Palatino Linotype" w:hAnsi="Palatino Linotype"/>
                <w:i/>
                <w:color w:val="000000"/>
              </w:rPr>
              <w:t>XLl</w:t>
            </w:r>
            <w:proofErr w:type="spellEnd"/>
            <w:r w:rsidR="00B57620" w:rsidRPr="00B57620">
              <w:rPr>
                <w:rFonts w:ascii="Palatino Linotype" w:hAnsi="Palatino Linotype"/>
                <w:i/>
                <w:color w:val="000000"/>
              </w:rPr>
              <w:t xml:space="preserve">, V, 4, 12, 16, 23 fracción V, 24 fracción XI y último párrafo, 50, 51, 53 fracciones I, IV, V y VI de la Ley de Transparencia y Acceso a la Información Pública del Estado de México y Municipios, me permito comentar a usted lo siguiente: En atención a la solicitud de información pública registrada con el número de folio 00175/UPVT/IP/2021, que realizó a través del </w:t>
            </w:r>
            <w:proofErr w:type="spellStart"/>
            <w:r w:rsidR="00B57620" w:rsidRPr="00B57620">
              <w:rPr>
                <w:rFonts w:ascii="Palatino Linotype" w:hAnsi="Palatino Linotype"/>
                <w:i/>
                <w:color w:val="000000"/>
              </w:rPr>
              <w:t>Saimex</w:t>
            </w:r>
            <w:proofErr w:type="spellEnd"/>
            <w:r w:rsidR="00B57620" w:rsidRPr="00B57620">
              <w:rPr>
                <w:rFonts w:ascii="Palatino Linotype" w:hAnsi="Palatino Linotype"/>
                <w:i/>
                <w:color w:val="000000"/>
              </w:rPr>
              <w:t xml:space="preserve">, sírvase encontrar en archivo adjunto copia digitalizada en formato </w:t>
            </w:r>
            <w:proofErr w:type="spellStart"/>
            <w:r w:rsidR="00B57620" w:rsidRPr="00B57620">
              <w:rPr>
                <w:rFonts w:ascii="Palatino Linotype" w:hAnsi="Palatino Linotype"/>
                <w:i/>
                <w:color w:val="000000"/>
              </w:rPr>
              <w:t>pdf</w:t>
            </w:r>
            <w:proofErr w:type="spellEnd"/>
            <w:r w:rsidR="00B57620" w:rsidRPr="00B57620">
              <w:rPr>
                <w:rFonts w:ascii="Palatino Linotype" w:hAnsi="Palatino Linotype"/>
                <w:i/>
                <w:color w:val="000000"/>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 177 y 178 de la Ley de la materia, en caso de considerar que la respuesta es desfavorable a su solicitud.</w:t>
            </w:r>
            <w:r w:rsidR="006B1BF1" w:rsidRPr="00090DE6">
              <w:rPr>
                <w:rFonts w:ascii="Palatino Linotype" w:hAnsi="Palatino Linotype"/>
                <w:i/>
              </w:rPr>
              <w:t xml:space="preserve">” </w:t>
            </w:r>
            <w:r w:rsidR="006B1BF1" w:rsidRPr="00090DE6">
              <w:rPr>
                <w:rFonts w:ascii="Palatino Linotype" w:hAnsi="Palatino Linotype"/>
                <w:sz w:val="20"/>
                <w:szCs w:val="20"/>
              </w:rPr>
              <w:t>(sic)</w:t>
            </w:r>
          </w:p>
          <w:p w14:paraId="4A9FFA63" w14:textId="23719B6C" w:rsidR="007E0E1D" w:rsidRPr="007E0E1D" w:rsidRDefault="007E0E1D" w:rsidP="00B57620">
            <w:pPr>
              <w:spacing w:before="240" w:after="240" w:line="360" w:lineRule="auto"/>
              <w:ind w:left="851"/>
              <w:jc w:val="both"/>
              <w:rPr>
                <w:rFonts w:ascii="Palatino Linotype" w:hAnsi="Palatino Linotype" w:cs="Arial"/>
                <w:b/>
                <w:sz w:val="28"/>
                <w:szCs w:val="28"/>
              </w:rPr>
            </w:pPr>
            <w:r w:rsidRPr="00143EC9">
              <w:rPr>
                <w:rFonts w:ascii="Palatino Linotype" w:hAnsi="Palatino Linotype" w:cs="Arial"/>
                <w:lang w:eastAsia="es-MX"/>
              </w:rPr>
              <w:t xml:space="preserve">Asimismo, adjuntó el archivo denominado </w:t>
            </w:r>
            <w:hyperlink r:id="rId8" w:tgtFrame="_blank" w:history="1">
              <w:r w:rsidRPr="00B57620">
                <w:rPr>
                  <w:rFonts w:ascii="Palatino Linotype" w:hAnsi="Palatino Linotype"/>
                </w:rPr>
                <w:t xml:space="preserve"> </w:t>
              </w:r>
              <w:hyperlink r:id="rId9" w:tgtFrame="_blank" w:history="1">
                <w:r w:rsidR="00B57620" w:rsidRPr="00B57620">
                  <w:rPr>
                    <w:rStyle w:val="Hipervnculo"/>
                    <w:rFonts w:ascii="Palatino Linotype" w:hAnsi="Palatino Linotype" w:cs="Arial"/>
                    <w:b/>
                    <w:bCs/>
                    <w:color w:val="auto"/>
                    <w:u w:val="none"/>
                  </w:rPr>
                  <w:t>SAIMEX 175.pdf</w:t>
                </w:r>
              </w:hyperlink>
              <w:r w:rsidR="00B57620">
                <w:rPr>
                  <w:rFonts w:ascii="Palatino Linotype" w:hAnsi="Palatino Linotype"/>
                </w:rPr>
                <w:t xml:space="preserve"> </w:t>
              </w:r>
              <w:r w:rsidR="00B57620">
                <w:rPr>
                  <w:rFonts w:ascii="Palatino Linotype" w:hAnsi="Palatino Linotype"/>
                  <w:b/>
                </w:rPr>
                <w:t xml:space="preserve">y </w:t>
              </w:r>
              <w:hyperlink r:id="rId10" w:tgtFrame="_blank" w:history="1">
                <w:r w:rsidR="00B57620" w:rsidRPr="00B57620">
                  <w:rPr>
                    <w:rStyle w:val="Hipervnculo"/>
                    <w:rFonts w:ascii="Palatino Linotype" w:hAnsi="Palatino Linotype" w:cs="Arial"/>
                    <w:b/>
                    <w:bCs/>
                    <w:color w:val="auto"/>
                    <w:u w:val="none"/>
                  </w:rPr>
                  <w:t>Oficio DIPPYE solicitud 175.PDF</w:t>
                </w:r>
              </w:hyperlink>
              <w:r w:rsidR="00B57620">
                <w:rPr>
                  <w:rStyle w:val="Hipervnculo"/>
                  <w:rFonts w:ascii="Palatino Linotype" w:hAnsi="Palatino Linotype" w:cs="Arial"/>
                  <w:b/>
                  <w:bCs/>
                  <w:color w:val="auto"/>
                  <w:u w:val="none"/>
                </w:rPr>
                <w:t xml:space="preserve"> </w:t>
              </w:r>
            </w:hyperlink>
            <w:r w:rsidRPr="00143EC9">
              <w:rPr>
                <w:rFonts w:ascii="Palatino Linotype" w:hAnsi="Palatino Linotype" w:cs="Arial"/>
                <w:b/>
                <w:lang w:eastAsia="es-MX"/>
              </w:rPr>
              <w:t xml:space="preserve">, </w:t>
            </w:r>
            <w:r w:rsidRPr="00143EC9">
              <w:rPr>
                <w:rFonts w:ascii="Palatino Linotype" w:hAnsi="Palatino Linotype" w:cs="Arial"/>
                <w:lang w:eastAsia="es-MX"/>
              </w:rPr>
              <w:t>que no se inserta</w:t>
            </w:r>
            <w:r w:rsidR="00B57620">
              <w:rPr>
                <w:rFonts w:ascii="Palatino Linotype" w:hAnsi="Palatino Linotype" w:cs="Arial"/>
                <w:lang w:eastAsia="es-MX"/>
              </w:rPr>
              <w:t>n</w:t>
            </w:r>
            <w:r w:rsidRPr="00143EC9">
              <w:rPr>
                <w:rFonts w:ascii="Palatino Linotype" w:hAnsi="Palatino Linotype" w:cs="Arial"/>
                <w:lang w:eastAsia="es-MX"/>
              </w:rPr>
              <w:t xml:space="preserve"> por economía procesal, al ser del conocimiento de las partes, y toda vez que será materia de análisis de la presente resolución.</w:t>
            </w:r>
          </w:p>
        </w:tc>
      </w:tr>
      <w:tr w:rsidR="006B1BF1" w:rsidRPr="006B1BF1" w14:paraId="3092BFB6" w14:textId="77777777" w:rsidTr="006B1BF1">
        <w:trPr>
          <w:tblCellSpacing w:w="0" w:type="dxa"/>
          <w:jc w:val="center"/>
        </w:trPr>
        <w:tc>
          <w:tcPr>
            <w:tcW w:w="0" w:type="auto"/>
            <w:vAlign w:val="center"/>
            <w:hideMark/>
          </w:tcPr>
          <w:p w14:paraId="4A336411" w14:textId="77777777" w:rsidR="006B1BF1" w:rsidRPr="006B1BF1" w:rsidRDefault="006B1BF1" w:rsidP="006B1BF1">
            <w:pPr>
              <w:rPr>
                <w:lang w:val="es-MX" w:eastAsia="es-MX"/>
              </w:rPr>
            </w:pPr>
          </w:p>
        </w:tc>
      </w:tr>
    </w:tbl>
    <w:p w14:paraId="7056C445" w14:textId="04B49837" w:rsidR="008E7698" w:rsidRPr="00090DE6" w:rsidRDefault="00CA389D"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090DE6">
        <w:rPr>
          <w:rFonts w:ascii="Palatino Linotype" w:hAnsi="Palatino Linotype" w:cs="Arial"/>
          <w:b/>
          <w:sz w:val="28"/>
          <w:szCs w:val="28"/>
        </w:rPr>
        <w:t>. Recurso de revisión.</w:t>
      </w:r>
      <w:r w:rsidR="008E7698" w:rsidRPr="00090DE6">
        <w:rPr>
          <w:rFonts w:ascii="Palatino Linotype" w:hAnsi="Palatino Linotype" w:cs="Arial"/>
          <w:b/>
        </w:rPr>
        <w:t xml:space="preserve"> </w:t>
      </w:r>
      <w:r w:rsidR="008E7698" w:rsidRPr="00090DE6">
        <w:rPr>
          <w:rFonts w:ascii="Palatino Linotype" w:hAnsi="Palatino Linotype" w:cs="Arial"/>
        </w:rPr>
        <w:t>El recurso de revisión se interpuso a través del SAIMEX con fecha</w:t>
      </w:r>
      <w:r w:rsidR="00FC3695" w:rsidRPr="00090DE6">
        <w:rPr>
          <w:rFonts w:ascii="Palatino Linotype" w:hAnsi="Palatino Linotype" w:cs="Arial"/>
        </w:rPr>
        <w:t xml:space="preserve"> </w:t>
      </w:r>
      <w:r w:rsidR="00B57620">
        <w:rPr>
          <w:rFonts w:ascii="Palatino Linotype" w:hAnsi="Palatino Linotype" w:cs="Arial"/>
        </w:rPr>
        <w:t>dieciocho de mayo</w:t>
      </w:r>
      <w:r w:rsidR="007C7C3E">
        <w:rPr>
          <w:rFonts w:ascii="Palatino Linotype" w:hAnsi="Palatino Linotype" w:cs="Arial"/>
        </w:rPr>
        <w:t xml:space="preserve"> del año en curso</w:t>
      </w:r>
      <w:r w:rsidR="00437D10" w:rsidRPr="00090DE6">
        <w:rPr>
          <w:rFonts w:ascii="Palatino Linotype" w:hAnsi="Palatino Linotype" w:cs="Arial"/>
        </w:rPr>
        <w:t xml:space="preserve">, </w:t>
      </w:r>
      <w:r w:rsidR="008E7698" w:rsidRPr="00090DE6">
        <w:rPr>
          <w:rFonts w:ascii="Palatino Linotype" w:hAnsi="Palatino Linotype" w:cs="Arial"/>
        </w:rPr>
        <w:t>por parte del solicitante de información, quien expresó las siguientes manifestaciones:</w:t>
      </w:r>
    </w:p>
    <w:p w14:paraId="4BB47E28" w14:textId="77777777" w:rsidR="008E7698" w:rsidRPr="00090DE6" w:rsidRDefault="008E7698" w:rsidP="00AF299E">
      <w:pPr>
        <w:spacing w:before="240" w:after="240" w:line="360" w:lineRule="auto"/>
        <w:ind w:left="567"/>
        <w:rPr>
          <w:rFonts w:ascii="Palatino Linotype" w:hAnsi="Palatino Linotype" w:cs="Arial"/>
          <w:b/>
        </w:rPr>
      </w:pPr>
      <w:r w:rsidRPr="00090DE6">
        <w:rPr>
          <w:rFonts w:ascii="Palatino Linotype" w:hAnsi="Palatino Linotype" w:cs="Arial"/>
          <w:b/>
        </w:rPr>
        <w:t>a) Acto impugnado.</w:t>
      </w:r>
    </w:p>
    <w:p w14:paraId="1F63D101" w14:textId="40CC65A5" w:rsidR="00FC3695" w:rsidRPr="00090DE6" w:rsidRDefault="009B08DD" w:rsidP="00104E08">
      <w:pPr>
        <w:spacing w:before="240" w:after="240" w:line="360" w:lineRule="auto"/>
        <w:ind w:left="992" w:right="1043"/>
        <w:jc w:val="both"/>
        <w:rPr>
          <w:rFonts w:ascii="Palatino Linotype" w:hAnsi="Palatino Linotype" w:cs="Arial"/>
        </w:rPr>
      </w:pPr>
      <w:r w:rsidRPr="00090DE6">
        <w:rPr>
          <w:rFonts w:ascii="Palatino Linotype" w:hAnsi="Palatino Linotype"/>
          <w:i/>
        </w:rPr>
        <w:t>“</w:t>
      </w:r>
      <w:r w:rsidR="00B57620" w:rsidRPr="00B57620">
        <w:rPr>
          <w:rFonts w:ascii="Palatino Linotype" w:hAnsi="Palatino Linotype"/>
          <w:i/>
          <w:color w:val="000000"/>
        </w:rPr>
        <w:t>Se solicita el histórico de la información</w:t>
      </w:r>
      <w:r w:rsidRPr="00090DE6">
        <w:rPr>
          <w:rFonts w:ascii="Palatino Linotype" w:hAnsi="Palatino Linotype"/>
          <w:sz w:val="18"/>
          <w:szCs w:val="18"/>
        </w:rPr>
        <w:t>”</w:t>
      </w:r>
      <w:r w:rsidRPr="00090DE6">
        <w:rPr>
          <w:rFonts w:ascii="Palatino Linotype" w:hAnsi="Palatino Linotype" w:cs="Arial"/>
          <w:sz w:val="18"/>
          <w:szCs w:val="18"/>
        </w:rPr>
        <w:t xml:space="preserve"> </w:t>
      </w:r>
      <w:r w:rsidR="009F704F" w:rsidRPr="00090DE6">
        <w:rPr>
          <w:rFonts w:ascii="Palatino Linotype" w:hAnsi="Palatino Linotype" w:cs="Arial"/>
          <w:sz w:val="18"/>
          <w:szCs w:val="18"/>
        </w:rPr>
        <w:t>(sic)</w:t>
      </w:r>
    </w:p>
    <w:p w14:paraId="70C0742E" w14:textId="78F3676F" w:rsidR="008E7698" w:rsidRPr="00090DE6" w:rsidRDefault="008E7698" w:rsidP="00AF299E">
      <w:pPr>
        <w:spacing w:before="240" w:after="240" w:line="360" w:lineRule="auto"/>
        <w:ind w:left="567"/>
        <w:jc w:val="both"/>
        <w:rPr>
          <w:rFonts w:ascii="Palatino Linotype" w:hAnsi="Palatino Linotype" w:cs="Arial"/>
          <w:b/>
        </w:rPr>
      </w:pPr>
      <w:r w:rsidRPr="00090DE6">
        <w:rPr>
          <w:rFonts w:ascii="Palatino Linotype" w:hAnsi="Palatino Linotype" w:cs="Arial"/>
          <w:b/>
        </w:rPr>
        <w:t>b) Motivos de inconformidad.</w:t>
      </w:r>
    </w:p>
    <w:p w14:paraId="07A25EE7" w14:textId="7DB2F153" w:rsidR="00186B63" w:rsidRPr="00090DE6" w:rsidRDefault="009B08DD" w:rsidP="00D64A87">
      <w:pPr>
        <w:spacing w:before="240" w:after="240" w:line="360" w:lineRule="auto"/>
        <w:ind w:left="851" w:right="902"/>
        <w:jc w:val="both"/>
        <w:rPr>
          <w:rFonts w:ascii="Palatino Linotype" w:hAnsi="Palatino Linotype" w:cs="Arial"/>
          <w:i/>
        </w:rPr>
      </w:pPr>
      <w:r w:rsidRPr="000D29F9">
        <w:rPr>
          <w:rFonts w:ascii="Palatino Linotype" w:hAnsi="Palatino Linotype"/>
          <w:i/>
        </w:rPr>
        <w:lastRenderedPageBreak/>
        <w:t>“</w:t>
      </w:r>
      <w:r w:rsidR="00B57620" w:rsidRPr="00B57620">
        <w:rPr>
          <w:rFonts w:ascii="Palatino Linotype" w:hAnsi="Palatino Linotype"/>
          <w:i/>
          <w:color w:val="000000"/>
        </w:rPr>
        <w:t>Se niega la información previa al año 2020</w:t>
      </w:r>
      <w:proofErr w:type="gramStart"/>
      <w:r w:rsidRPr="00090DE6">
        <w:rPr>
          <w:rFonts w:ascii="Palatino Linotype" w:hAnsi="Palatino Linotype"/>
          <w:i/>
        </w:rPr>
        <w:t>”</w:t>
      </w:r>
      <w:r w:rsidR="009F704F" w:rsidRPr="00090DE6">
        <w:rPr>
          <w:rFonts w:ascii="Palatino Linotype" w:hAnsi="Palatino Linotype" w:cs="Arial"/>
          <w:sz w:val="16"/>
          <w:szCs w:val="16"/>
        </w:rPr>
        <w:t>(</w:t>
      </w:r>
      <w:proofErr w:type="gramEnd"/>
      <w:r w:rsidR="009F704F" w:rsidRPr="00090DE6">
        <w:rPr>
          <w:rFonts w:ascii="Palatino Linotype" w:hAnsi="Palatino Linotype" w:cs="Arial"/>
          <w:sz w:val="16"/>
          <w:szCs w:val="16"/>
        </w:rPr>
        <w:t>sic)</w:t>
      </w:r>
    </w:p>
    <w:p w14:paraId="1D62F603" w14:textId="052E5D76" w:rsidR="00D41D70" w:rsidRPr="00090DE6" w:rsidRDefault="00975223"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090DE6">
        <w:rPr>
          <w:rFonts w:ascii="Palatino Linotype" w:hAnsi="Palatino Linotype" w:cs="Arial"/>
          <w:b/>
          <w:sz w:val="28"/>
          <w:szCs w:val="28"/>
        </w:rPr>
        <w:t xml:space="preserve">. </w:t>
      </w:r>
      <w:r w:rsidR="00D41D70" w:rsidRPr="00090DE6">
        <w:rPr>
          <w:rFonts w:ascii="Palatino Linotype" w:eastAsia="Calibri" w:hAnsi="Palatino Linotype" w:cs="Arial"/>
          <w:b/>
          <w:sz w:val="28"/>
          <w:szCs w:val="28"/>
        </w:rPr>
        <w:t xml:space="preserve">Turno. </w:t>
      </w:r>
      <w:r w:rsidR="00D41D70" w:rsidRPr="00090DE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090DE6">
        <w:rPr>
          <w:rFonts w:ascii="Palatino Linotype" w:hAnsi="Palatino Linotype" w:cs="Arial"/>
        </w:rPr>
        <w:t>por razón de turno fue asignado al</w:t>
      </w:r>
      <w:r w:rsidR="00D41D70" w:rsidRPr="00090DE6">
        <w:rPr>
          <w:rFonts w:ascii="Palatino Linotype" w:eastAsia="Calibri" w:hAnsi="Palatino Linotype" w:cs="Arial"/>
        </w:rPr>
        <w:t xml:space="preserve"> Comisionado </w:t>
      </w:r>
      <w:r w:rsidR="00D41D70" w:rsidRPr="00090DE6">
        <w:rPr>
          <w:rFonts w:ascii="Palatino Linotype" w:eastAsia="Calibri" w:hAnsi="Palatino Linotype" w:cs="Arial"/>
          <w:b/>
        </w:rPr>
        <w:t>Javier Martínez Cruz</w:t>
      </w:r>
      <w:r w:rsidR="00D41D70" w:rsidRPr="00090DE6">
        <w:rPr>
          <w:rFonts w:ascii="Palatino Linotype" w:hAnsi="Palatino Linotype" w:cs="Arial"/>
        </w:rPr>
        <w:t xml:space="preserve"> para su análisis, estudio, elaboración del proyecto y </w:t>
      </w:r>
      <w:r w:rsidR="00D41D70" w:rsidRPr="00090DE6">
        <w:rPr>
          <w:rFonts w:ascii="Palatino Linotype" w:eastAsia="Calibri" w:hAnsi="Palatino Linotype" w:cs="Arial"/>
        </w:rPr>
        <w:t>presentación ante el Pleno de este Instituto.</w:t>
      </w:r>
    </w:p>
    <w:p w14:paraId="64E6B459" w14:textId="26696ECF" w:rsidR="00D41D70" w:rsidRPr="00090DE6" w:rsidRDefault="00975223" w:rsidP="00184FBA">
      <w:pPr>
        <w:spacing w:before="240" w:after="240" w:line="360" w:lineRule="auto"/>
        <w:jc w:val="both"/>
        <w:rPr>
          <w:rFonts w:cs="Arial"/>
        </w:rPr>
      </w:pPr>
      <w:r>
        <w:rPr>
          <w:rFonts w:ascii="Palatino Linotype" w:hAnsi="Palatino Linotype" w:cs="Arial"/>
          <w:b/>
          <w:sz w:val="28"/>
          <w:szCs w:val="28"/>
        </w:rPr>
        <w:t>5</w:t>
      </w:r>
      <w:r w:rsidR="00D41D70" w:rsidRPr="00090DE6">
        <w:rPr>
          <w:rFonts w:ascii="Palatino Linotype" w:hAnsi="Palatino Linotype" w:cs="Arial"/>
          <w:b/>
          <w:sz w:val="28"/>
          <w:szCs w:val="28"/>
        </w:rPr>
        <w:t xml:space="preserve">. Admisión. </w:t>
      </w:r>
      <w:r w:rsidR="00D41D70" w:rsidRPr="00090DE6">
        <w:rPr>
          <w:rFonts w:ascii="Palatino Linotype" w:hAnsi="Palatino Linotype" w:cs="Arial"/>
        </w:rPr>
        <w:t xml:space="preserve">Mediante auto de fecha </w:t>
      </w:r>
      <w:r w:rsidR="00B57620">
        <w:rPr>
          <w:rFonts w:ascii="Palatino Linotype" w:hAnsi="Palatino Linotype" w:cs="Arial"/>
        </w:rPr>
        <w:t>veintiuno de mayo</w:t>
      </w:r>
      <w:r w:rsidR="007C7C3E">
        <w:rPr>
          <w:rFonts w:ascii="Palatino Linotype" w:hAnsi="Palatino Linotype" w:cs="Arial"/>
        </w:rPr>
        <w:t xml:space="preserve"> de dos mil veintiuno</w:t>
      </w:r>
      <w:r w:rsidR="00D41D70" w:rsidRPr="00090DE6">
        <w:rPr>
          <w:rFonts w:ascii="Palatino Linotype" w:hAnsi="Palatino Linotype" w:cs="Arial"/>
        </w:rPr>
        <w:t xml:space="preserve">, este Órgano Garante, admitió a trámite el recurso de revisión respectivo, </w:t>
      </w:r>
      <w:r w:rsidR="00BD000E" w:rsidRPr="00090DE6">
        <w:rPr>
          <w:rFonts w:ascii="Palatino Linotype" w:hAnsi="Palatino Linotype" w:cs="Arial"/>
        </w:rPr>
        <w:t xml:space="preserve">poniéndose </w:t>
      </w:r>
      <w:r w:rsidR="00D41D70" w:rsidRPr="00090DE6">
        <w:rPr>
          <w:rFonts w:ascii="Palatino Linotype" w:hAnsi="Palatino Linotype" w:cs="Arial"/>
        </w:rPr>
        <w:t xml:space="preserve">a disposición de las partes, para que </w:t>
      </w:r>
      <w:r w:rsidR="00C71A66" w:rsidRPr="00090DE6">
        <w:rPr>
          <w:rFonts w:ascii="Palatino Linotype" w:hAnsi="Palatino Linotype" w:cs="Arial"/>
        </w:rPr>
        <w:t>un plazo no mayor a siete días hábiles manifestase</w:t>
      </w:r>
      <w:r w:rsidR="00D41D70" w:rsidRPr="00090DE6">
        <w:rPr>
          <w:rFonts w:ascii="Palatino Linotype" w:hAnsi="Palatino Linotype" w:cs="Arial"/>
        </w:rPr>
        <w:t xml:space="preserve"> lo que a su derecho corresponda</w:t>
      </w:r>
      <w:r w:rsidR="00BD000E" w:rsidRPr="00090DE6">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090DE6">
        <w:rPr>
          <w:rFonts w:ascii="Palatino Linotype" w:hAnsi="Palatino Linotype" w:cs="Arial"/>
        </w:rPr>
        <w:t>Pública</w:t>
      </w:r>
      <w:r w:rsidR="00BD000E" w:rsidRPr="00090DE6">
        <w:rPr>
          <w:rFonts w:ascii="Palatino Linotype" w:hAnsi="Palatino Linotype" w:cs="Arial"/>
        </w:rPr>
        <w:t xml:space="preserve"> del </w:t>
      </w:r>
      <w:r w:rsidR="00104E08" w:rsidRPr="00090DE6">
        <w:rPr>
          <w:rFonts w:ascii="Palatino Linotype" w:hAnsi="Palatino Linotype" w:cs="Arial"/>
        </w:rPr>
        <w:t>E</w:t>
      </w:r>
      <w:r w:rsidR="00BD000E" w:rsidRPr="00090DE6">
        <w:rPr>
          <w:rFonts w:ascii="Palatino Linotype" w:hAnsi="Palatino Linotype" w:cs="Arial"/>
        </w:rPr>
        <w:t>stado de México y Municipios.</w:t>
      </w:r>
      <w:r w:rsidR="00D41D70" w:rsidRPr="00090DE6">
        <w:rPr>
          <w:rFonts w:ascii="Palatino Linotype" w:hAnsi="Palatino Linotype" w:cs="Arial"/>
        </w:rPr>
        <w:t xml:space="preserve"> </w:t>
      </w:r>
    </w:p>
    <w:p w14:paraId="3B49017A" w14:textId="6F8E2305" w:rsidR="004401AD" w:rsidRPr="002450C8" w:rsidRDefault="009355E6" w:rsidP="004401AD">
      <w:pPr>
        <w:spacing w:before="240" w:after="240" w:line="360" w:lineRule="auto"/>
        <w:jc w:val="both"/>
        <w:rPr>
          <w:rFonts w:ascii="Palatino Linotype" w:hAnsi="Palatino Linotype"/>
        </w:rPr>
      </w:pPr>
      <w:r>
        <w:rPr>
          <w:rFonts w:ascii="Palatino Linotype" w:hAnsi="Palatino Linotype" w:cs="Arial"/>
          <w:b/>
          <w:sz w:val="28"/>
          <w:szCs w:val="28"/>
        </w:rPr>
        <w:t>6</w:t>
      </w:r>
      <w:r w:rsidR="004E4987" w:rsidRPr="00090DE6">
        <w:rPr>
          <w:rFonts w:ascii="Palatino Linotype" w:hAnsi="Palatino Linotype" w:cs="Arial"/>
          <w:b/>
          <w:sz w:val="28"/>
          <w:szCs w:val="28"/>
        </w:rPr>
        <w:t xml:space="preserve">. </w:t>
      </w:r>
      <w:r w:rsidR="00E954B7" w:rsidRPr="00090DE6">
        <w:rPr>
          <w:rFonts w:ascii="Palatino Linotype" w:hAnsi="Palatino Linotype" w:cs="Arial"/>
          <w:b/>
          <w:sz w:val="28"/>
          <w:szCs w:val="28"/>
        </w:rPr>
        <w:t>Manifestaciones.</w:t>
      </w:r>
      <w:r w:rsidR="00E954B7" w:rsidRPr="00090DE6">
        <w:rPr>
          <w:rFonts w:ascii="Palatino Linotype" w:hAnsi="Palatino Linotype"/>
        </w:rPr>
        <w:t xml:space="preserve"> </w:t>
      </w:r>
      <w:r w:rsidR="004401AD" w:rsidRPr="004B58D3">
        <w:rPr>
          <w:rFonts w:ascii="Palatino Linotype" w:hAnsi="Palatino Linotype"/>
        </w:rPr>
        <w:t>De las constancias del expediente electrónico del</w:t>
      </w:r>
      <w:r w:rsidR="004401AD" w:rsidRPr="004B58D3">
        <w:rPr>
          <w:rFonts w:ascii="Palatino Linotype" w:hAnsi="Palatino Linotype" w:cs="Arial"/>
          <w:b/>
        </w:rPr>
        <w:t xml:space="preserve"> </w:t>
      </w:r>
      <w:proofErr w:type="spellStart"/>
      <w:r w:rsidR="004401AD" w:rsidRPr="004B58D3">
        <w:rPr>
          <w:rFonts w:ascii="Palatino Linotype" w:hAnsi="Palatino Linotype" w:cs="Arial"/>
          <w:b/>
        </w:rPr>
        <w:t>Saimex</w:t>
      </w:r>
      <w:proofErr w:type="spellEnd"/>
      <w:r w:rsidR="004401AD" w:rsidRPr="004B58D3">
        <w:rPr>
          <w:rFonts w:ascii="Palatino Linotype" w:hAnsi="Palatino Linotype"/>
        </w:rPr>
        <w:t xml:space="preserve">, se observa que el </w:t>
      </w:r>
      <w:r w:rsidR="004401AD" w:rsidRPr="004B58D3">
        <w:rPr>
          <w:rFonts w:ascii="Palatino Linotype" w:hAnsi="Palatino Linotype"/>
          <w:b/>
        </w:rPr>
        <w:t xml:space="preserve">Sujeto Obligado </w:t>
      </w:r>
      <w:r w:rsidR="004401AD" w:rsidRPr="004B58D3">
        <w:rPr>
          <w:rFonts w:ascii="Palatino Linotype" w:hAnsi="Palatino Linotype"/>
        </w:rPr>
        <w:t xml:space="preserve">envió en fecha </w:t>
      </w:r>
      <w:r w:rsidR="00B57620">
        <w:rPr>
          <w:rFonts w:ascii="Palatino Linotype" w:hAnsi="Palatino Linotype"/>
        </w:rPr>
        <w:t>veinti</w:t>
      </w:r>
      <w:r w:rsidR="004401AD">
        <w:rPr>
          <w:rFonts w:ascii="Palatino Linotype" w:hAnsi="Palatino Linotype"/>
        </w:rPr>
        <w:t xml:space="preserve">siete de mayo </w:t>
      </w:r>
      <w:r w:rsidR="004401AD" w:rsidRPr="004B58D3">
        <w:rPr>
          <w:rFonts w:ascii="Palatino Linotype" w:hAnsi="Palatino Linotype"/>
        </w:rPr>
        <w:t>dos mil veint</w:t>
      </w:r>
      <w:r w:rsidR="004401AD">
        <w:rPr>
          <w:rFonts w:ascii="Palatino Linotype" w:hAnsi="Palatino Linotype"/>
        </w:rPr>
        <w:t>iuno</w:t>
      </w:r>
      <w:r w:rsidR="004401AD" w:rsidRPr="004B58D3">
        <w:rPr>
          <w:rFonts w:ascii="Palatino Linotype" w:hAnsi="Palatino Linotype"/>
        </w:rPr>
        <w:t xml:space="preserve">, </w:t>
      </w:r>
      <w:r w:rsidR="00B57620">
        <w:rPr>
          <w:rFonts w:ascii="Palatino Linotype" w:hAnsi="Palatino Linotype"/>
        </w:rPr>
        <w:t>e</w:t>
      </w:r>
      <w:r w:rsidR="004401AD">
        <w:rPr>
          <w:rFonts w:ascii="Palatino Linotype" w:hAnsi="Palatino Linotype"/>
        </w:rPr>
        <w:t>l</w:t>
      </w:r>
      <w:r w:rsidR="004401AD" w:rsidRPr="004B58D3">
        <w:rPr>
          <w:rFonts w:ascii="Palatino Linotype" w:hAnsi="Palatino Linotype"/>
        </w:rPr>
        <w:t xml:space="preserve"> archivo</w:t>
      </w:r>
      <w:r w:rsidR="004401AD">
        <w:rPr>
          <w:rFonts w:ascii="Palatino Linotype" w:hAnsi="Palatino Linotype"/>
        </w:rPr>
        <w:t xml:space="preserve"> denominado</w:t>
      </w:r>
      <w:r w:rsidR="004401AD" w:rsidRPr="004B58D3">
        <w:rPr>
          <w:rFonts w:ascii="Palatino Linotype" w:hAnsi="Palatino Linotype"/>
        </w:rPr>
        <w:t xml:space="preserve"> </w:t>
      </w:r>
      <w:r w:rsidR="00B57620">
        <w:rPr>
          <w:rFonts w:ascii="Palatino Linotype" w:hAnsi="Palatino Linotype"/>
          <w:b/>
        </w:rPr>
        <w:t>Informe Justificado RR 2894 Solicitud 00175.pdf</w:t>
      </w:r>
      <w:r w:rsidR="004401AD">
        <w:rPr>
          <w:rFonts w:ascii="Palatino Linotype" w:hAnsi="Palatino Linotype"/>
          <w:b/>
        </w:rPr>
        <w:t xml:space="preserve">, </w:t>
      </w:r>
      <w:r w:rsidR="004401AD">
        <w:rPr>
          <w:rFonts w:ascii="Palatino Linotype" w:hAnsi="Palatino Linotype"/>
        </w:rPr>
        <w:t xml:space="preserve">que no fue hecho del conocimiento del particular por no </w:t>
      </w:r>
      <w:r w:rsidR="00B57620">
        <w:rPr>
          <w:rFonts w:ascii="Palatino Linotype" w:hAnsi="Palatino Linotype"/>
        </w:rPr>
        <w:t>modificar la respuesta primigenia</w:t>
      </w:r>
      <w:r w:rsidR="004401AD">
        <w:rPr>
          <w:rFonts w:ascii="Palatino Linotype" w:hAnsi="Palatino Linotype"/>
        </w:rPr>
        <w:t>.</w:t>
      </w:r>
    </w:p>
    <w:p w14:paraId="7ACA7018" w14:textId="77777777" w:rsidR="004401AD" w:rsidRPr="00764BEC" w:rsidRDefault="004401AD" w:rsidP="004401AD">
      <w:pPr>
        <w:spacing w:before="240" w:after="240" w:line="360" w:lineRule="auto"/>
        <w:jc w:val="both"/>
        <w:rPr>
          <w:rFonts w:ascii="Palatino Linotype" w:hAnsi="Palatino Linotype"/>
        </w:rPr>
      </w:pPr>
      <w:r w:rsidRPr="00764BEC">
        <w:rPr>
          <w:rFonts w:ascii="Palatino Linotype" w:hAnsi="Palatino Linotype"/>
        </w:rPr>
        <w:t xml:space="preserve">Cabe precisar que </w:t>
      </w:r>
      <w:r>
        <w:rPr>
          <w:rFonts w:ascii="Palatino Linotype" w:hAnsi="Palatino Linotype"/>
        </w:rPr>
        <w:t xml:space="preserve">la parte </w:t>
      </w:r>
      <w:r>
        <w:rPr>
          <w:rFonts w:ascii="Palatino Linotype" w:hAnsi="Palatino Linotype"/>
          <w:b/>
          <w:i/>
        </w:rPr>
        <w:t xml:space="preserve">Recurrente </w:t>
      </w:r>
      <w:r>
        <w:rPr>
          <w:rFonts w:ascii="Palatino Linotype" w:hAnsi="Palatino Linotype"/>
        </w:rPr>
        <w:t>fue omisa en presentar alegatos en el</w:t>
      </w:r>
      <w:r>
        <w:rPr>
          <w:rFonts w:ascii="Palatino Linotype" w:hAnsi="Palatino Linotype" w:cs="Arial"/>
        </w:rPr>
        <w:t xml:space="preserve"> </w:t>
      </w:r>
      <w:r w:rsidRPr="00764BEC">
        <w:rPr>
          <w:rFonts w:ascii="Palatino Linotype" w:hAnsi="Palatino Linotype"/>
        </w:rPr>
        <w:t>momento procesal determinado para ello.</w:t>
      </w:r>
    </w:p>
    <w:p w14:paraId="5126E0CC" w14:textId="4A9FFCF3" w:rsidR="006031FE" w:rsidRPr="00090DE6" w:rsidRDefault="004D67C1" w:rsidP="006B1BF1">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lastRenderedPageBreak/>
        <w:t>7</w:t>
      </w:r>
      <w:r w:rsidR="008E7698" w:rsidRPr="00090DE6">
        <w:rPr>
          <w:rFonts w:ascii="Palatino Linotype" w:eastAsia="Calibri" w:hAnsi="Palatino Linotype" w:cs="Arial"/>
          <w:b/>
          <w:sz w:val="28"/>
          <w:szCs w:val="28"/>
        </w:rPr>
        <w:t xml:space="preserve">. </w:t>
      </w:r>
      <w:r w:rsidR="006747B5" w:rsidRPr="00090DE6">
        <w:rPr>
          <w:rFonts w:ascii="Palatino Linotype" w:eastAsia="Calibri" w:hAnsi="Palatino Linotype" w:cs="Arial"/>
          <w:b/>
          <w:sz w:val="28"/>
          <w:szCs w:val="28"/>
        </w:rPr>
        <w:t xml:space="preserve">Cierre de Instrucción. </w:t>
      </w:r>
      <w:r w:rsidR="00C77FCC" w:rsidRPr="00090DE6">
        <w:rPr>
          <w:rFonts w:ascii="Palatino Linotype" w:eastAsia="Calibri" w:hAnsi="Palatino Linotype" w:cs="Arial"/>
          <w:szCs w:val="28"/>
        </w:rPr>
        <w:t xml:space="preserve">En fecha </w:t>
      </w:r>
      <w:r w:rsidR="007E0E1D">
        <w:rPr>
          <w:rFonts w:ascii="Palatino Linotype" w:eastAsia="Calibri" w:hAnsi="Palatino Linotype" w:cs="Arial"/>
          <w:szCs w:val="28"/>
        </w:rPr>
        <w:t xml:space="preserve">seis de agosto de dos </w:t>
      </w:r>
      <w:r w:rsidR="00B67E89">
        <w:rPr>
          <w:rFonts w:ascii="Palatino Linotype" w:eastAsia="Calibri" w:hAnsi="Palatino Linotype" w:cs="Arial"/>
          <w:szCs w:val="28"/>
        </w:rPr>
        <w:t>mil veintiuno</w:t>
      </w:r>
      <w:r w:rsidR="00DA0B77" w:rsidRPr="00090DE6">
        <w:rPr>
          <w:rFonts w:ascii="Palatino Linotype" w:hAnsi="Palatino Linotype"/>
        </w:rPr>
        <w:t xml:space="preserve">, se emitió el acuerdo por medio del cual se declaró cerrada la instrucción, pasando el expediente a resolución, </w:t>
      </w:r>
      <w:r w:rsidR="00C71A66" w:rsidRPr="00090DE6">
        <w:rPr>
          <w:rFonts w:ascii="Palatino Linotype" w:hAnsi="Palatino Linotype"/>
        </w:rPr>
        <w:t>debido a</w:t>
      </w:r>
      <w:r w:rsidR="00D65DA3" w:rsidRPr="00090DE6">
        <w:rPr>
          <w:rFonts w:ascii="Palatino Linotype" w:hAnsi="Palatino Linotype"/>
        </w:rPr>
        <w:t xml:space="preserve"> que fue debidamente substanciado el expediente y no existiendo diligencia pendiente de desahogo, </w:t>
      </w:r>
      <w:r w:rsidR="00DA0B77" w:rsidRPr="00090DE6">
        <w:rPr>
          <w:rFonts w:ascii="Palatino Linotype" w:hAnsi="Palatino Linotype"/>
        </w:rPr>
        <w:t xml:space="preserve">en términos del </w:t>
      </w:r>
      <w:r w:rsidR="006031FE" w:rsidRPr="00090DE6">
        <w:rPr>
          <w:rFonts w:ascii="Palatino Linotype" w:hAnsi="Palatino Linotype"/>
        </w:rPr>
        <w:t>artículo 185 fracci</w:t>
      </w:r>
      <w:r w:rsidR="00DA0B77" w:rsidRPr="00090DE6">
        <w:rPr>
          <w:rFonts w:ascii="Palatino Linotype" w:hAnsi="Palatino Linotype"/>
        </w:rPr>
        <w:t>ones</w:t>
      </w:r>
      <w:r w:rsidR="006031FE" w:rsidRPr="00090DE6">
        <w:rPr>
          <w:rFonts w:ascii="Palatino Linotype" w:hAnsi="Palatino Linotype"/>
        </w:rPr>
        <w:t xml:space="preserve"> VI</w:t>
      </w:r>
      <w:r w:rsidR="00DA0B77" w:rsidRPr="00090DE6">
        <w:rPr>
          <w:rFonts w:ascii="Palatino Linotype" w:hAnsi="Palatino Linotype"/>
        </w:rPr>
        <w:t xml:space="preserve"> y VIII</w:t>
      </w:r>
      <w:r w:rsidR="006031FE" w:rsidRPr="00090DE6">
        <w:rPr>
          <w:rFonts w:ascii="Palatino Linotype" w:hAnsi="Palatino Linotype"/>
        </w:rPr>
        <w:t xml:space="preserve"> de la Ley de Transparencia y Acceso a la Información Pública del Estado de México y Municipios</w:t>
      </w:r>
      <w:r w:rsidR="009F19E6" w:rsidRPr="00090DE6">
        <w:rPr>
          <w:rFonts w:ascii="Palatino Linotype" w:hAnsi="Palatino Linotype"/>
        </w:rPr>
        <w:t>,</w:t>
      </w:r>
      <w:r w:rsidR="006031FE" w:rsidRPr="00090DE6">
        <w:rPr>
          <w:rFonts w:ascii="Palatino Linotype" w:hAnsi="Palatino Linotype"/>
        </w:rPr>
        <w:t xml:space="preserve"> </w:t>
      </w:r>
      <w:r w:rsidR="00DA0B77" w:rsidRPr="00090DE6">
        <w:rPr>
          <w:rFonts w:ascii="Palatino Linotype" w:hAnsi="Palatino Linotype"/>
        </w:rPr>
        <w:t>el cual fue notificado a las partes en la misma fecha</w:t>
      </w:r>
      <w:r w:rsidR="006031FE" w:rsidRPr="00090DE6">
        <w:rPr>
          <w:rFonts w:ascii="Palatino Linotype" w:hAnsi="Palatino Linotype"/>
        </w:rPr>
        <w:t xml:space="preserve">. </w:t>
      </w:r>
      <w:r w:rsidR="006031FE" w:rsidRPr="00090DE6">
        <w:rPr>
          <w:rFonts w:ascii="Palatino Linotype" w:eastAsia="Calibri" w:hAnsi="Palatino Linotype" w:cs="Arial"/>
          <w:b/>
          <w:sz w:val="28"/>
          <w:szCs w:val="28"/>
        </w:rPr>
        <w:t xml:space="preserve"> </w:t>
      </w:r>
    </w:p>
    <w:p w14:paraId="6F9BFBF9" w14:textId="77777777" w:rsidR="009F4D23" w:rsidRPr="00090DE6" w:rsidRDefault="009F4D23" w:rsidP="004A6EFE">
      <w:pPr>
        <w:pStyle w:val="Ttulo2"/>
        <w:jc w:val="center"/>
        <w:rPr>
          <w:rFonts w:ascii="Palatino Linotype" w:hAnsi="Palatino Linotype"/>
          <w:b/>
          <w:color w:val="auto"/>
          <w:sz w:val="24"/>
          <w:szCs w:val="24"/>
        </w:rPr>
      </w:pPr>
    </w:p>
    <w:p w14:paraId="4E1E75B1" w14:textId="77777777" w:rsidR="009F4D23" w:rsidRPr="00090DE6" w:rsidRDefault="009F4D23" w:rsidP="004A6EFE">
      <w:pPr>
        <w:pStyle w:val="Ttulo2"/>
        <w:jc w:val="center"/>
        <w:rPr>
          <w:rFonts w:ascii="Palatino Linotype" w:hAnsi="Palatino Linotype"/>
          <w:b/>
          <w:color w:val="auto"/>
          <w:sz w:val="24"/>
          <w:szCs w:val="24"/>
        </w:rPr>
      </w:pPr>
    </w:p>
    <w:p w14:paraId="7CD5D137" w14:textId="10283084"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II. </w:t>
      </w:r>
      <w:r w:rsidR="008E7698" w:rsidRPr="00090DE6">
        <w:rPr>
          <w:rFonts w:ascii="Palatino Linotype" w:hAnsi="Palatino Linotype"/>
          <w:b/>
          <w:color w:val="auto"/>
          <w:sz w:val="24"/>
          <w:szCs w:val="24"/>
        </w:rPr>
        <w:t>C O N S I D E R A N D O</w:t>
      </w:r>
      <w:r w:rsidR="00DA0B77" w:rsidRPr="00090DE6">
        <w:rPr>
          <w:rFonts w:ascii="Palatino Linotype" w:hAnsi="Palatino Linotype"/>
          <w:b/>
          <w:color w:val="auto"/>
          <w:sz w:val="24"/>
          <w:szCs w:val="24"/>
        </w:rPr>
        <w:t xml:space="preserve"> S</w:t>
      </w:r>
      <w:r w:rsidR="008E7698" w:rsidRPr="00090DE6">
        <w:rPr>
          <w:rFonts w:ascii="Palatino Linotype" w:hAnsi="Palatino Linotype"/>
          <w:b/>
          <w:color w:val="auto"/>
          <w:sz w:val="24"/>
          <w:szCs w:val="24"/>
        </w:rPr>
        <w:t>:</w:t>
      </w:r>
    </w:p>
    <w:p w14:paraId="445D27E5" w14:textId="77777777" w:rsidR="002339A2" w:rsidRPr="00090DE6" w:rsidRDefault="00516E6A"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PRIMERO</w:t>
      </w:r>
      <w:r w:rsidR="008E7698" w:rsidRPr="00090DE6">
        <w:rPr>
          <w:rFonts w:ascii="Palatino Linotype" w:hAnsi="Palatino Linotype" w:cs="Arial"/>
          <w:b/>
          <w:sz w:val="28"/>
          <w:szCs w:val="28"/>
        </w:rPr>
        <w:t>. Competencia</w:t>
      </w:r>
      <w:r w:rsidR="008E7698" w:rsidRPr="00090DE6">
        <w:rPr>
          <w:rFonts w:ascii="Palatino Linotype" w:hAnsi="Palatino Linotype" w:cs="Arial"/>
          <w:b/>
        </w:rPr>
        <w:t xml:space="preserve">. </w:t>
      </w:r>
    </w:p>
    <w:p w14:paraId="0B1FAD6B" w14:textId="10AA1FF2" w:rsidR="00A5404F" w:rsidRPr="00090DE6" w:rsidRDefault="00A5404F" w:rsidP="008E7698">
      <w:pPr>
        <w:spacing w:before="240" w:after="240" w:line="360" w:lineRule="auto"/>
        <w:jc w:val="both"/>
        <w:rPr>
          <w:rFonts w:ascii="Palatino Linotype" w:hAnsi="Palatino Linotype" w:cs="Arial"/>
          <w:b/>
        </w:rPr>
      </w:pPr>
      <w:r w:rsidRPr="00090DE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090DE6">
        <w:rPr>
          <w:rFonts w:ascii="Palatino Linotype" w:hAnsi="Palatino Linotype"/>
          <w:shd w:val="clear" w:color="auto" w:fill="FFFFFF"/>
        </w:rPr>
        <w:t>Recurrente</w:t>
      </w:r>
      <w:r w:rsidRPr="00090DE6">
        <w:rPr>
          <w:rFonts w:ascii="Palatino Linotype" w:hAnsi="Palatino Linotype"/>
          <w:shd w:val="clear" w:color="auto" w:fill="FFFFFF"/>
        </w:rPr>
        <w:t>, conforme a lo dispuesto en los artículos 6, apartado A de la Constitución Política de los Estados Unidos Mexican</w:t>
      </w:r>
      <w:r w:rsidR="00326DF2" w:rsidRPr="00090DE6">
        <w:rPr>
          <w:rFonts w:ascii="Palatino Linotype" w:hAnsi="Palatino Linotype"/>
          <w:shd w:val="clear" w:color="auto" w:fill="FFFFFF"/>
        </w:rPr>
        <w:t xml:space="preserve">os; 5, párrafos </w:t>
      </w:r>
      <w:r w:rsidR="008A3916">
        <w:rPr>
          <w:rFonts w:ascii="Palatino Linotype" w:hAnsi="Palatino Linotype"/>
          <w:shd w:val="clear" w:color="auto" w:fill="FFFFFF"/>
        </w:rPr>
        <w:t>vigésimo noveno, trigésimo y trigésimo primero,</w:t>
      </w:r>
      <w:r w:rsidR="00077347" w:rsidRPr="00090DE6">
        <w:rPr>
          <w:rFonts w:ascii="Palatino Linotype" w:hAnsi="Palatino Linotype"/>
          <w:shd w:val="clear" w:color="auto" w:fill="FFFFFF"/>
        </w:rPr>
        <w:t xml:space="preserve"> </w:t>
      </w:r>
      <w:r w:rsidR="00D371C6" w:rsidRPr="00090DE6">
        <w:rPr>
          <w:rFonts w:ascii="Palatino Linotype" w:hAnsi="Palatino Linotype"/>
          <w:shd w:val="clear" w:color="auto" w:fill="FFFFFF"/>
        </w:rPr>
        <w:t xml:space="preserve">fracción IV y V </w:t>
      </w:r>
      <w:r w:rsidRPr="00090DE6">
        <w:rPr>
          <w:rFonts w:ascii="Palatino Linotype" w:hAnsi="Palatino Linotype"/>
          <w:shd w:val="clear" w:color="auto" w:fill="FFFFFF"/>
        </w:rPr>
        <w:t>de la Constitución Política del Estado Libre y Soberano de México; 1,</w:t>
      </w:r>
      <w:r w:rsidR="00551BA4" w:rsidRPr="00090DE6">
        <w:rPr>
          <w:rFonts w:ascii="Palatino Linotype" w:hAnsi="Palatino Linotype"/>
          <w:shd w:val="clear" w:color="auto" w:fill="FFFFFF"/>
        </w:rPr>
        <w:t xml:space="preserve"> </w:t>
      </w:r>
      <w:r w:rsidR="00E34890" w:rsidRPr="00090DE6">
        <w:rPr>
          <w:rFonts w:ascii="Palatino Linotype" w:hAnsi="Palatino Linotype"/>
          <w:shd w:val="clear" w:color="auto" w:fill="FFFFFF"/>
        </w:rPr>
        <w:t>2, fracción II</w:t>
      </w:r>
      <w:r w:rsidR="00551BA4" w:rsidRPr="00090DE6">
        <w:rPr>
          <w:rFonts w:ascii="Palatino Linotype" w:hAnsi="Palatino Linotype"/>
          <w:shd w:val="clear" w:color="auto" w:fill="FFFFFF"/>
        </w:rPr>
        <w:t>;</w:t>
      </w:r>
      <w:r w:rsidR="00E34890" w:rsidRPr="00090DE6">
        <w:rPr>
          <w:rFonts w:ascii="Palatino Linotype" w:hAnsi="Palatino Linotype"/>
          <w:shd w:val="clear" w:color="auto" w:fill="FFFFFF"/>
        </w:rPr>
        <w:t xml:space="preserve"> 13, </w:t>
      </w:r>
      <w:r w:rsidRPr="00090DE6">
        <w:rPr>
          <w:rFonts w:ascii="Palatino Linotype" w:hAnsi="Palatino Linotype"/>
          <w:shd w:val="clear" w:color="auto" w:fill="FFFFFF"/>
        </w:rPr>
        <w:t xml:space="preserve"> 29, 36, fracciones I</w:t>
      </w:r>
      <w:r w:rsidR="005A232E" w:rsidRPr="00090DE6">
        <w:rPr>
          <w:rFonts w:ascii="Palatino Linotype" w:hAnsi="Palatino Linotype"/>
          <w:shd w:val="clear" w:color="auto" w:fill="FFFFFF"/>
        </w:rPr>
        <w:t xml:space="preserve"> y II;</w:t>
      </w:r>
      <w:r w:rsidRPr="00090DE6">
        <w:rPr>
          <w:rFonts w:ascii="Palatino Linotype" w:hAnsi="Palatino Linotype"/>
          <w:shd w:val="clear" w:color="auto" w:fill="FFFFFF"/>
        </w:rPr>
        <w:t xml:space="preserve"> 176,</w:t>
      </w:r>
      <w:r w:rsidR="004D5FEF" w:rsidRPr="00090DE6">
        <w:rPr>
          <w:rFonts w:ascii="Palatino Linotype" w:hAnsi="Palatino Linotype"/>
          <w:shd w:val="clear" w:color="auto" w:fill="FFFFFF"/>
        </w:rPr>
        <w:t xml:space="preserve"> 178,</w:t>
      </w:r>
      <w:r w:rsidRPr="00090DE6">
        <w:rPr>
          <w:rFonts w:ascii="Palatino Linotype" w:hAnsi="Palatino Linotype"/>
          <w:shd w:val="clear" w:color="auto" w:fill="FFFFFF"/>
        </w:rPr>
        <w:t xml:space="preserve"> 179, </w:t>
      </w:r>
      <w:r w:rsidR="004D5FEF" w:rsidRPr="00090DE6">
        <w:rPr>
          <w:rFonts w:ascii="Palatino Linotype" w:hAnsi="Palatino Linotype"/>
          <w:shd w:val="clear" w:color="auto" w:fill="FFFFFF"/>
        </w:rPr>
        <w:t xml:space="preserve">181 párrafo 3 y </w:t>
      </w:r>
      <w:r w:rsidRPr="00090DE6">
        <w:rPr>
          <w:rFonts w:ascii="Palatino Linotype" w:hAnsi="Palatino Linotype"/>
          <w:shd w:val="clear" w:color="auto" w:fill="FFFFFF"/>
        </w:rPr>
        <w:t>185</w:t>
      </w:r>
      <w:r w:rsidR="004D5FEF" w:rsidRPr="00090DE6">
        <w:rPr>
          <w:rFonts w:ascii="Palatino Linotype" w:hAnsi="Palatino Linotype"/>
          <w:shd w:val="clear" w:color="auto" w:fill="FFFFFF"/>
        </w:rPr>
        <w:t xml:space="preserve"> </w:t>
      </w:r>
      <w:r w:rsidRPr="00090DE6">
        <w:rPr>
          <w:rFonts w:ascii="Palatino Linotype" w:hAnsi="Palatino Linotype"/>
          <w:shd w:val="clear" w:color="auto" w:fill="FFFFFF"/>
        </w:rPr>
        <w:t xml:space="preserve">de la Ley Transparencia y Acceso a la Información Pública </w:t>
      </w:r>
      <w:r w:rsidR="0010152C" w:rsidRPr="00090DE6">
        <w:rPr>
          <w:rFonts w:ascii="Palatino Linotype" w:hAnsi="Palatino Linotype"/>
          <w:shd w:val="clear" w:color="auto" w:fill="FFFFFF"/>
        </w:rPr>
        <w:t>del Estado de México y Municipios</w:t>
      </w:r>
      <w:r w:rsidR="002C7992" w:rsidRPr="00090DE6">
        <w:rPr>
          <w:rFonts w:ascii="Palatino Linotype" w:hAnsi="Palatino Linotype"/>
          <w:shd w:val="clear" w:color="auto" w:fill="FFFFFF"/>
        </w:rPr>
        <w:t>;</w:t>
      </w:r>
      <w:r w:rsidRPr="00090DE6">
        <w:rPr>
          <w:rFonts w:ascii="Palatino Linotype" w:hAnsi="Palatino Linotype"/>
          <w:shd w:val="clear" w:color="auto" w:fill="FFFFFF"/>
        </w:rPr>
        <w:t xml:space="preserve"> </w:t>
      </w:r>
      <w:r w:rsidR="00E54F16" w:rsidRPr="00090DE6">
        <w:rPr>
          <w:rFonts w:ascii="Palatino Linotype" w:hAnsi="Palatino Linotype" w:cs="Arial"/>
        </w:rPr>
        <w:t xml:space="preserve">9 fracciones I, XXIV y 11 </w:t>
      </w:r>
      <w:r w:rsidRPr="00090DE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b/>
          <w:sz w:val="28"/>
          <w:szCs w:val="28"/>
        </w:rPr>
        <w:lastRenderedPageBreak/>
        <w:t xml:space="preserve">SEGUNDO. Oportunidad y </w:t>
      </w:r>
      <w:proofErr w:type="spellStart"/>
      <w:r w:rsidRPr="00090DE6">
        <w:rPr>
          <w:rFonts w:ascii="Palatino Linotype" w:hAnsi="Palatino Linotype" w:cs="Arial"/>
          <w:b/>
          <w:sz w:val="28"/>
          <w:szCs w:val="28"/>
        </w:rPr>
        <w:t>Procediblidad</w:t>
      </w:r>
      <w:proofErr w:type="spellEnd"/>
      <w:r w:rsidRPr="00090DE6">
        <w:rPr>
          <w:rFonts w:ascii="Palatino Linotype" w:hAnsi="Palatino Linotype" w:cs="Arial"/>
          <w:b/>
          <w:sz w:val="28"/>
          <w:szCs w:val="28"/>
        </w:rPr>
        <w:t xml:space="preserve"> del Recurso de Revisión.</w:t>
      </w:r>
      <w:r w:rsidRPr="00090DE6">
        <w:rPr>
          <w:rFonts w:ascii="Palatino Linotype" w:hAnsi="Palatino Linotype" w:cs="Arial"/>
          <w:b/>
        </w:rPr>
        <w:t xml:space="preserve"> </w:t>
      </w:r>
      <w:r w:rsidRPr="00090DE6">
        <w:rPr>
          <w:rFonts w:ascii="Palatino Linotype" w:hAnsi="Palatino Linotype" w:cs="Arial"/>
        </w:rPr>
        <w:t xml:space="preserve">Previo al estudio del fondo del asunto, se procede a analizar los requisitos de oportunidad y </w:t>
      </w:r>
      <w:proofErr w:type="spellStart"/>
      <w:r w:rsidRPr="00090DE6">
        <w:rPr>
          <w:rFonts w:ascii="Palatino Linotype" w:hAnsi="Palatino Linotype" w:cs="Arial"/>
        </w:rPr>
        <w:t>procedibilidad</w:t>
      </w:r>
      <w:proofErr w:type="spellEnd"/>
      <w:r w:rsidRPr="00090DE6">
        <w:rPr>
          <w:rFonts w:ascii="Palatino Linotype" w:hAnsi="Palatino Linotype" w:cs="Arial"/>
        </w:rPr>
        <w:t xml:space="preserve"> que debe reunir el recurso de revisión interpuesto, previstos en los artículos </w:t>
      </w:r>
      <w:r w:rsidRPr="00090DE6">
        <w:rPr>
          <w:rFonts w:ascii="Palatino Linotype" w:hAnsi="Palatino Linotype" w:cs="Arial"/>
          <w:lang w:val="es-MX"/>
        </w:rPr>
        <w:t>178 y 180 de la Ley de Transparencia y Acceso a la Información Pública del Estado de México y Municipios</w:t>
      </w:r>
      <w:r w:rsidRPr="00090DE6">
        <w:rPr>
          <w:rFonts w:ascii="Palatino Linotype" w:hAnsi="Palatino Linotype" w:cs="Arial"/>
          <w:lang w:val="es-MX" w:eastAsia="es-MX"/>
        </w:rPr>
        <w:t xml:space="preserve">. </w:t>
      </w:r>
    </w:p>
    <w:p w14:paraId="3FA7369A" w14:textId="783B7929" w:rsidR="00D65DA3"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El recurso de revisión fue interpuesto dentro del plazo de quince días hábiles previsto en el artículo 178 de la </w:t>
      </w:r>
      <w:r w:rsidRPr="00090DE6">
        <w:rPr>
          <w:rFonts w:ascii="Palatino Linotype" w:hAnsi="Palatino Linotype" w:cs="Arial"/>
          <w:lang w:val="es-MX"/>
        </w:rPr>
        <w:t xml:space="preserve">Ley de Transparencia y Acceso a la Información Pública del Estado de México y Municipios, </w:t>
      </w:r>
      <w:r w:rsidRPr="00090DE6">
        <w:rPr>
          <w:rFonts w:ascii="Palatino Linotype" w:hAnsi="Palatino Linotype" w:cs="Arial"/>
        </w:rPr>
        <w:t xml:space="preserve">contados a partir de la fecha en que el </w:t>
      </w:r>
      <w:r w:rsidRPr="00090DE6">
        <w:rPr>
          <w:rFonts w:ascii="Palatino Linotype" w:hAnsi="Palatino Linotype" w:cs="Arial"/>
          <w:b/>
        </w:rPr>
        <w:t>Sujeto Obligado</w:t>
      </w:r>
      <w:r w:rsidRPr="00090DE6">
        <w:rPr>
          <w:rFonts w:ascii="Palatino Linotype" w:hAnsi="Palatino Linotype" w:cs="Arial"/>
        </w:rPr>
        <w:t xml:space="preserve"> emitió </w:t>
      </w:r>
      <w:r w:rsidR="0022285B" w:rsidRPr="00090DE6">
        <w:rPr>
          <w:rFonts w:ascii="Palatino Linotype" w:hAnsi="Palatino Linotype" w:cs="Arial"/>
        </w:rPr>
        <w:t>respuesta</w:t>
      </w:r>
      <w:r w:rsidRPr="00090DE6">
        <w:rPr>
          <w:rFonts w:ascii="Palatino Linotype" w:hAnsi="Palatino Linotype" w:cs="Arial"/>
        </w:rPr>
        <w:t>, toda vez que ésta fue pronunciada el día</w:t>
      </w:r>
      <w:r w:rsidR="00D03E56">
        <w:rPr>
          <w:rFonts w:ascii="Palatino Linotype" w:hAnsi="Palatino Linotype" w:cs="Arial"/>
        </w:rPr>
        <w:t xml:space="preserve"> </w:t>
      </w:r>
      <w:r w:rsidR="002279C4">
        <w:rPr>
          <w:rFonts w:ascii="Palatino Linotype" w:hAnsi="Palatino Linotype" w:cs="Arial"/>
        </w:rPr>
        <w:t>once de mayo de d</w:t>
      </w:r>
      <w:r w:rsidR="007A33E2">
        <w:rPr>
          <w:rFonts w:ascii="Palatino Linotype" w:hAnsi="Palatino Linotype" w:cs="Arial"/>
        </w:rPr>
        <w:t>os mil veintiuno</w:t>
      </w:r>
      <w:r w:rsidRPr="00090DE6">
        <w:rPr>
          <w:rFonts w:ascii="Palatino Linotype" w:hAnsi="Palatino Linotype" w:cs="Arial"/>
        </w:rPr>
        <w:t xml:space="preserve">, mientras que </w:t>
      </w:r>
      <w:r w:rsidR="0022285B" w:rsidRPr="00090DE6">
        <w:rPr>
          <w:rFonts w:ascii="Palatino Linotype" w:hAnsi="Palatino Linotype" w:cs="Arial"/>
        </w:rPr>
        <w:t>el</w:t>
      </w:r>
      <w:r w:rsidRPr="00090DE6">
        <w:rPr>
          <w:rFonts w:ascii="Palatino Linotype" w:hAnsi="Palatino Linotype" w:cs="Arial"/>
        </w:rPr>
        <w:t xml:space="preserve"> </w:t>
      </w:r>
      <w:r w:rsidRPr="00090DE6">
        <w:rPr>
          <w:rFonts w:ascii="Palatino Linotype" w:hAnsi="Palatino Linotype" w:cs="Arial"/>
          <w:b/>
          <w:i/>
        </w:rPr>
        <w:t>Recurrente</w:t>
      </w:r>
      <w:r w:rsidRPr="00090DE6">
        <w:rPr>
          <w:rFonts w:ascii="Palatino Linotype" w:hAnsi="Palatino Linotype" w:cs="Arial"/>
        </w:rPr>
        <w:t xml:space="preserve"> interpuso el recurso de revisión </w:t>
      </w:r>
      <w:r w:rsidR="00B4137E">
        <w:rPr>
          <w:rFonts w:ascii="Palatino Linotype" w:hAnsi="Palatino Linotype" w:cs="Arial"/>
        </w:rPr>
        <w:t xml:space="preserve">el </w:t>
      </w:r>
      <w:r w:rsidR="002279C4">
        <w:rPr>
          <w:rFonts w:ascii="Palatino Linotype" w:hAnsi="Palatino Linotype" w:cs="Arial"/>
        </w:rPr>
        <w:t>dieciocho</w:t>
      </w:r>
      <w:r w:rsidR="008C57E4">
        <w:rPr>
          <w:rFonts w:ascii="Palatino Linotype" w:hAnsi="Palatino Linotype" w:cs="Arial"/>
        </w:rPr>
        <w:t xml:space="preserve"> del mismo mes y año</w:t>
      </w:r>
      <w:r w:rsidR="00D03E56">
        <w:rPr>
          <w:rFonts w:ascii="Palatino Linotype" w:hAnsi="Palatino Linotype" w:cs="Arial"/>
        </w:rPr>
        <w:t>.</w:t>
      </w:r>
    </w:p>
    <w:p w14:paraId="44CC35FA" w14:textId="52C52867" w:rsidR="000C6204" w:rsidRPr="00090DE6" w:rsidRDefault="000C6204" w:rsidP="000C6204">
      <w:pPr>
        <w:spacing w:before="240" w:after="240" w:line="360" w:lineRule="auto"/>
        <w:jc w:val="both"/>
        <w:rPr>
          <w:rFonts w:ascii="Segoe UI" w:hAnsi="Segoe UI" w:cs="Segoe UI"/>
        </w:rPr>
      </w:pPr>
      <w:r w:rsidRPr="00090DE6">
        <w:rPr>
          <w:rFonts w:ascii="Palatino Linotype" w:hAnsi="Palatino Linotype" w:cs="Arial"/>
        </w:rPr>
        <w:t xml:space="preserve">Entonces se concluye la acreditación plena de todos y cada uno de los elementos formales exigidos por el artículo 180 de la </w:t>
      </w:r>
      <w:r w:rsidRPr="00090DE6">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090DE6">
        <w:rPr>
          <w:rStyle w:val="normaltextrun"/>
          <w:rFonts w:ascii="Palatino Linotype" w:hAnsi="Palatino Linotype" w:cs="Segoe UI"/>
        </w:rPr>
        <w:t>artículos 176 y</w:t>
      </w:r>
      <w:r w:rsidR="007A33E2">
        <w:rPr>
          <w:rStyle w:val="apple-converted-space"/>
          <w:rFonts w:ascii="Palatino Linotype" w:eastAsiaTheme="minorHAnsi" w:hAnsi="Palatino Linotype" w:cs="Segoe UI"/>
        </w:rPr>
        <w:t> 179 fraccio</w:t>
      </w:r>
      <w:r w:rsidRPr="00090DE6">
        <w:rPr>
          <w:rStyle w:val="apple-converted-space"/>
          <w:rFonts w:ascii="Palatino Linotype" w:eastAsiaTheme="minorHAnsi" w:hAnsi="Palatino Linotype" w:cs="Segoe UI"/>
        </w:rPr>
        <w:t>n</w:t>
      </w:r>
      <w:r w:rsidR="007A33E2">
        <w:rPr>
          <w:rStyle w:val="apple-converted-space"/>
          <w:rFonts w:ascii="Palatino Linotype" w:eastAsiaTheme="minorHAnsi" w:hAnsi="Palatino Linotype" w:cs="Segoe UI"/>
        </w:rPr>
        <w:t xml:space="preserve">es </w:t>
      </w:r>
      <w:r w:rsidR="00070751">
        <w:rPr>
          <w:rStyle w:val="apple-converted-space"/>
          <w:rFonts w:ascii="Palatino Linotype" w:eastAsiaTheme="minorHAnsi" w:hAnsi="Palatino Linotype" w:cs="Segoe UI"/>
        </w:rPr>
        <w:t>V</w:t>
      </w:r>
      <w:r w:rsidR="007A33E2">
        <w:rPr>
          <w:rStyle w:val="apple-converted-space"/>
          <w:rFonts w:ascii="Palatino Linotype" w:eastAsiaTheme="minorHAnsi" w:hAnsi="Palatino Linotype" w:cs="Segoe UI"/>
        </w:rPr>
        <w:t xml:space="preserve"> y</w:t>
      </w:r>
      <w:r w:rsidRPr="00090DE6">
        <w:rPr>
          <w:rStyle w:val="apple-converted-space"/>
          <w:rFonts w:ascii="Palatino Linotype" w:eastAsiaTheme="minorHAnsi" w:hAnsi="Palatino Linotype" w:cs="Segoe UI"/>
        </w:rPr>
        <w:t xml:space="preserve"> </w:t>
      </w:r>
      <w:r w:rsidR="00A53CB1">
        <w:rPr>
          <w:rStyle w:val="apple-converted-space"/>
          <w:rFonts w:ascii="Palatino Linotype" w:eastAsiaTheme="minorHAnsi" w:hAnsi="Palatino Linotype" w:cs="Segoe UI"/>
        </w:rPr>
        <w:t>VII</w:t>
      </w:r>
      <w:r w:rsidRPr="00090DE6">
        <w:rPr>
          <w:rStyle w:val="apple-converted-space"/>
          <w:rFonts w:ascii="Palatino Linotype" w:eastAsiaTheme="minorHAnsi" w:hAnsi="Palatino Linotype" w:cs="Segoe UI"/>
        </w:rPr>
        <w:t xml:space="preserve">I </w:t>
      </w:r>
      <w:r w:rsidRPr="00090DE6">
        <w:rPr>
          <w:rStyle w:val="normaltextrun"/>
          <w:rFonts w:ascii="Palatino Linotype" w:hAnsi="Palatino Linotype" w:cs="Segoe UI"/>
        </w:rPr>
        <w:t>del ordenamiento legal citado, que establecen los supuestos en que puede interponerse el recurso de revisión:</w:t>
      </w:r>
    </w:p>
    <w:p w14:paraId="40322F27" w14:textId="53D40630" w:rsidR="00D65DA3" w:rsidRPr="00090DE6" w:rsidRDefault="000C6204" w:rsidP="000C6204">
      <w:pPr>
        <w:autoSpaceDE w:val="0"/>
        <w:autoSpaceDN w:val="0"/>
        <w:adjustRightInd w:val="0"/>
        <w:spacing w:after="120"/>
        <w:ind w:left="851" w:right="902"/>
        <w:jc w:val="both"/>
        <w:rPr>
          <w:rStyle w:val="normaltextrun"/>
          <w:rFonts w:ascii="Palatino Linotype" w:hAnsi="Palatino Linotype" w:cs="Segoe UI"/>
          <w:bCs/>
          <w:i/>
          <w:sz w:val="20"/>
          <w:szCs w:val="22"/>
        </w:rPr>
      </w:pPr>
      <w:r w:rsidRPr="00090DE6">
        <w:rPr>
          <w:rStyle w:val="normaltextrun"/>
          <w:rFonts w:ascii="Palatino Linotype" w:hAnsi="Palatino Linotype" w:cs="Segoe UI"/>
          <w:b/>
          <w:bCs/>
          <w:i/>
          <w:iCs/>
          <w:sz w:val="20"/>
          <w:szCs w:val="22"/>
        </w:rPr>
        <w:t xml:space="preserve"> </w:t>
      </w:r>
      <w:r w:rsidR="00D65DA3" w:rsidRPr="00090DE6">
        <w:rPr>
          <w:rStyle w:val="normaltextrun"/>
          <w:rFonts w:ascii="Palatino Linotype" w:hAnsi="Palatino Linotype" w:cs="Segoe UI"/>
          <w:b/>
          <w:bCs/>
          <w:i/>
          <w:iCs/>
          <w:sz w:val="20"/>
          <w:szCs w:val="22"/>
        </w:rPr>
        <w:t>“</w:t>
      </w:r>
      <w:r w:rsidR="00D65DA3" w:rsidRPr="00090DE6">
        <w:rPr>
          <w:rStyle w:val="normaltextrun"/>
          <w:rFonts w:ascii="Palatino Linotype" w:hAnsi="Palatino Linotype" w:cs="Segoe UI"/>
          <w:b/>
          <w:bCs/>
          <w:i/>
          <w:sz w:val="20"/>
          <w:szCs w:val="22"/>
        </w:rPr>
        <w:t xml:space="preserve">Artículo 176. </w:t>
      </w:r>
      <w:r w:rsidR="00D65DA3" w:rsidRPr="00090DE6">
        <w:rPr>
          <w:rStyle w:val="normaltextrun"/>
          <w:rFonts w:ascii="Palatino Linotype" w:hAnsi="Palatino Linotype" w:cs="Segoe UI"/>
          <w:bCs/>
          <w:i/>
          <w:sz w:val="20"/>
          <w:szCs w:val="22"/>
        </w:rPr>
        <w:t xml:space="preserve">El recurso de </w:t>
      </w:r>
      <w:r w:rsidR="00C71A66" w:rsidRPr="00090DE6">
        <w:rPr>
          <w:rStyle w:val="normaltextrun"/>
          <w:rFonts w:ascii="Palatino Linotype" w:hAnsi="Palatino Linotype" w:cs="Segoe UI"/>
          <w:bCs/>
          <w:i/>
          <w:sz w:val="20"/>
          <w:szCs w:val="22"/>
        </w:rPr>
        <w:t>revisión es</w:t>
      </w:r>
      <w:r w:rsidR="00D65DA3" w:rsidRPr="00090DE6">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090DE6"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090DE6">
        <w:rPr>
          <w:rStyle w:val="normaltextrun"/>
          <w:rFonts w:ascii="Palatino Linotype" w:hAnsi="Palatino Linotype" w:cs="Segoe UI"/>
          <w:b/>
          <w:bCs/>
          <w:i/>
          <w:sz w:val="20"/>
          <w:szCs w:val="22"/>
        </w:rPr>
        <w:t>Artículo 179</w:t>
      </w:r>
      <w:r w:rsidRPr="00090DE6">
        <w:rPr>
          <w:rStyle w:val="normaltextrun"/>
          <w:rFonts w:ascii="Palatino Linotype" w:hAnsi="Palatino Linotype" w:cs="Segoe UI"/>
          <w:b/>
          <w:bCs/>
          <w:sz w:val="20"/>
          <w:szCs w:val="22"/>
        </w:rPr>
        <w:t>.-</w:t>
      </w:r>
      <w:r w:rsidRPr="00090DE6">
        <w:rPr>
          <w:rFonts w:ascii="Bookman Old Style" w:eastAsiaTheme="minorEastAsia" w:hAnsi="Bookman Old Style" w:cs="Bookman Old Style"/>
          <w:sz w:val="18"/>
          <w:szCs w:val="20"/>
          <w:lang w:val="es-MX"/>
        </w:rPr>
        <w:t xml:space="preserve"> </w:t>
      </w:r>
      <w:r w:rsidRPr="00090DE6">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DE56755" w14:textId="77777777" w:rsidR="00070751" w:rsidRDefault="00070751" w:rsidP="00D03E56">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Pr>
          <w:rFonts w:ascii="Palatino Linotype" w:eastAsiaTheme="minorEastAsia" w:hAnsi="Palatino Linotype" w:cs="Bookman Old Style"/>
          <w:b/>
          <w:i/>
          <w:sz w:val="22"/>
          <w:szCs w:val="20"/>
        </w:rPr>
        <w:t>(…)</w:t>
      </w:r>
    </w:p>
    <w:p w14:paraId="5FC276A7" w14:textId="016F563B" w:rsidR="00D65DA3" w:rsidRPr="00D03E56" w:rsidRDefault="00070751" w:rsidP="00D03E56">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Pr>
          <w:rFonts w:ascii="Palatino Linotype" w:eastAsiaTheme="minorEastAsia" w:hAnsi="Palatino Linotype" w:cs="Bookman Old Style"/>
          <w:b/>
          <w:i/>
          <w:sz w:val="22"/>
          <w:szCs w:val="20"/>
        </w:rPr>
        <w:lastRenderedPageBreak/>
        <w:t>V. La</w:t>
      </w:r>
      <w:r w:rsidR="006F2EF4">
        <w:rPr>
          <w:rFonts w:ascii="Palatino Linotype" w:eastAsiaTheme="minorEastAsia" w:hAnsi="Palatino Linotype" w:cs="Bookman Old Style"/>
          <w:b/>
          <w:i/>
          <w:sz w:val="22"/>
          <w:szCs w:val="20"/>
        </w:rPr>
        <w:t xml:space="preserve"> entrega de </w:t>
      </w:r>
      <w:r>
        <w:rPr>
          <w:rFonts w:ascii="Palatino Linotype" w:eastAsiaTheme="minorEastAsia" w:hAnsi="Palatino Linotype" w:cs="Bookman Old Style"/>
          <w:b/>
          <w:i/>
          <w:sz w:val="22"/>
          <w:szCs w:val="20"/>
        </w:rPr>
        <w:t xml:space="preserve">información </w:t>
      </w:r>
      <w:r w:rsidR="006F2EF4">
        <w:rPr>
          <w:rFonts w:ascii="Palatino Linotype" w:eastAsiaTheme="minorEastAsia" w:hAnsi="Palatino Linotype" w:cs="Bookman Old Style"/>
          <w:b/>
          <w:i/>
          <w:sz w:val="22"/>
          <w:szCs w:val="20"/>
        </w:rPr>
        <w:t>incompleta</w:t>
      </w:r>
      <w:r>
        <w:rPr>
          <w:rFonts w:ascii="Palatino Linotype" w:eastAsiaTheme="minorEastAsia" w:hAnsi="Palatino Linotype" w:cs="Bookman Old Style"/>
          <w:b/>
          <w:i/>
          <w:sz w:val="22"/>
          <w:szCs w:val="20"/>
        </w:rPr>
        <w:t>;…”</w:t>
      </w:r>
    </w:p>
    <w:p w14:paraId="367BA481" w14:textId="77777777" w:rsidR="00AD598D" w:rsidRDefault="00AD598D" w:rsidP="00D65DA3">
      <w:pPr>
        <w:spacing w:before="240" w:after="240" w:line="360" w:lineRule="auto"/>
        <w:jc w:val="both"/>
        <w:rPr>
          <w:rFonts w:ascii="Palatino Linotype" w:hAnsi="Palatino Linotype"/>
          <w:b/>
          <w:sz w:val="28"/>
          <w:szCs w:val="28"/>
        </w:rPr>
      </w:pPr>
    </w:p>
    <w:p w14:paraId="550615C7" w14:textId="77777777" w:rsidR="00926A33" w:rsidRPr="0079784C" w:rsidRDefault="00926A33" w:rsidP="00926A33">
      <w:pPr>
        <w:spacing w:before="240" w:after="240" w:line="360" w:lineRule="auto"/>
        <w:jc w:val="both"/>
        <w:rPr>
          <w:rFonts w:ascii="Palatino Linotype" w:hAnsi="Palatino Linotype"/>
          <w:b/>
        </w:rPr>
      </w:pPr>
      <w:r w:rsidRPr="0079784C">
        <w:rPr>
          <w:rFonts w:ascii="Palatino Linotype" w:hAnsi="Palatino Linotype"/>
          <w:b/>
          <w:sz w:val="28"/>
          <w:szCs w:val="28"/>
        </w:rPr>
        <w:t>TERCERO. Materia de la revisión</w:t>
      </w:r>
      <w:r w:rsidRPr="0079784C">
        <w:rPr>
          <w:rFonts w:ascii="Palatino Linotype" w:hAnsi="Palatino Linotype"/>
          <w:b/>
        </w:rPr>
        <w:t>.</w:t>
      </w:r>
    </w:p>
    <w:p w14:paraId="657E4BA2" w14:textId="77777777" w:rsidR="00926A33" w:rsidRPr="0079784C" w:rsidRDefault="00926A33" w:rsidP="00926A33">
      <w:pPr>
        <w:spacing w:before="240" w:after="240" w:line="360" w:lineRule="auto"/>
        <w:jc w:val="both"/>
        <w:rPr>
          <w:rFonts w:ascii="Palatino Linotype" w:hAnsi="Palatino Linotype" w:cs="Arial"/>
        </w:rPr>
      </w:pPr>
      <w:r w:rsidRPr="0079784C">
        <w:rPr>
          <w:rFonts w:ascii="Palatino Linotype" w:hAnsi="Palatino Linotype" w:cs="Arial"/>
        </w:rPr>
        <w:t xml:space="preserve">En ese orden de ideas, este Órgano Garante procede al análisis de los agravios hechos valer por el </w:t>
      </w:r>
      <w:r w:rsidRPr="0079784C">
        <w:rPr>
          <w:rFonts w:ascii="Palatino Linotype" w:hAnsi="Palatino Linotype" w:cs="Arial"/>
          <w:b/>
          <w:i/>
        </w:rPr>
        <w:t xml:space="preserve">Recurrente, </w:t>
      </w:r>
      <w:r w:rsidRPr="0079784C">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3928659C" w14:textId="77777777" w:rsidR="00926A33" w:rsidRPr="0079784C" w:rsidRDefault="00926A33" w:rsidP="00926A33">
      <w:pPr>
        <w:spacing w:before="240" w:after="240" w:line="360" w:lineRule="auto"/>
        <w:jc w:val="both"/>
        <w:rPr>
          <w:rFonts w:ascii="Palatino Linotype" w:hAnsi="Palatino Linotype" w:cs="Arial"/>
        </w:rPr>
      </w:pPr>
    </w:p>
    <w:p w14:paraId="5DCEF0C1" w14:textId="77777777" w:rsidR="00926A33" w:rsidRPr="0079784C" w:rsidRDefault="00926A33" w:rsidP="00926A33">
      <w:pPr>
        <w:spacing w:before="240" w:after="240" w:line="360" w:lineRule="auto"/>
        <w:jc w:val="both"/>
        <w:rPr>
          <w:rFonts w:ascii="Palatino Linotype" w:hAnsi="Palatino Linotype"/>
          <w:b/>
          <w:sz w:val="28"/>
          <w:szCs w:val="28"/>
        </w:rPr>
      </w:pPr>
      <w:r w:rsidRPr="0079784C">
        <w:rPr>
          <w:rFonts w:ascii="Palatino Linotype" w:hAnsi="Palatino Linotype"/>
          <w:b/>
          <w:sz w:val="28"/>
          <w:szCs w:val="28"/>
        </w:rPr>
        <w:t>CUARTO. Estudio del asunto.</w:t>
      </w:r>
    </w:p>
    <w:p w14:paraId="66F70935" w14:textId="77777777" w:rsidR="00926A33" w:rsidRPr="0079784C" w:rsidRDefault="00926A33" w:rsidP="00926A33">
      <w:pPr>
        <w:spacing w:before="240" w:after="240" w:line="360" w:lineRule="auto"/>
        <w:jc w:val="both"/>
        <w:rPr>
          <w:rFonts w:ascii="Palatino Linotype" w:hAnsi="Palatino Linotype"/>
        </w:rPr>
      </w:pPr>
      <w:r w:rsidRPr="0079784C">
        <w:rPr>
          <w:rFonts w:ascii="Palatino Linotype" w:hAnsi="Palatino Linotype"/>
        </w:rPr>
        <w:t xml:space="preserve">Una vez analizada la totalidad de las constancias que obran en los expedientes electrónicos, este Órgano señala que los motivos de inconformidad del </w:t>
      </w:r>
      <w:r w:rsidRPr="0079784C">
        <w:rPr>
          <w:rFonts w:ascii="Palatino Linotype" w:hAnsi="Palatino Linotype"/>
          <w:b/>
          <w:i/>
        </w:rPr>
        <w:t>Recurrente</w:t>
      </w:r>
      <w:r w:rsidRPr="0079784C">
        <w:rPr>
          <w:rFonts w:ascii="Palatino Linotype" w:hAnsi="Palatino Linotype"/>
        </w:rPr>
        <w:t xml:space="preserve"> resultan fundados por las razones que se expondrán en la presente resolución.</w:t>
      </w:r>
    </w:p>
    <w:p w14:paraId="2E292214" w14:textId="77777777" w:rsidR="00926A33" w:rsidRPr="0079784C" w:rsidRDefault="00926A33" w:rsidP="00926A33">
      <w:pPr>
        <w:spacing w:before="240" w:after="240" w:line="360" w:lineRule="auto"/>
        <w:jc w:val="both"/>
        <w:rPr>
          <w:rFonts w:ascii="Palatino Linotype" w:hAnsi="Palatino Linotype" w:cs="Arial"/>
        </w:rPr>
      </w:pPr>
      <w:r w:rsidRPr="0079784C">
        <w:rPr>
          <w:rFonts w:ascii="Palatino Linotype" w:hAnsi="Palatino Linotype" w:cs="Arial"/>
        </w:rPr>
        <w:t xml:space="preserve">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w:t>
      </w:r>
      <w:r w:rsidRPr="0079784C">
        <w:rPr>
          <w:rFonts w:ascii="Palatino Linotype" w:hAnsi="Palatino Linotype" w:cs="Arial"/>
        </w:rPr>
        <w:lastRenderedPageBreak/>
        <w:t>Estados Unidos Mexicanos, en la Constitución Política del Estado Libre y Soberano de México y demás relativos y aplicables en la Materia.</w:t>
      </w:r>
    </w:p>
    <w:p w14:paraId="7B0D1B59" w14:textId="77777777" w:rsidR="00926A33" w:rsidRPr="0079784C" w:rsidRDefault="00926A33" w:rsidP="00926A33">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1"/>
      </w:r>
      <w:r w:rsidRPr="0079784C">
        <w:rPr>
          <w:rFonts w:ascii="Palatino Linotype" w:hAnsi="Palatino Linotype"/>
        </w:rPr>
        <w:t>.</w:t>
      </w:r>
    </w:p>
    <w:p w14:paraId="40DF2D7A" w14:textId="503D4688" w:rsidR="00926A33" w:rsidRDefault="00926A33" w:rsidP="00926A33">
      <w:pPr>
        <w:spacing w:before="240" w:after="240" w:line="360" w:lineRule="auto"/>
        <w:jc w:val="both"/>
        <w:rPr>
          <w:rFonts w:ascii="Palatino Linotype" w:hAnsi="Palatino Linotype"/>
        </w:rPr>
      </w:pPr>
      <w:r w:rsidRPr="0079784C">
        <w:rPr>
          <w:rFonts w:ascii="Palatino Linotype" w:hAnsi="Palatino Linotype"/>
        </w:rPr>
        <w:t>En ese sentido, cabe recordar que el particular requirió, lo siguiente:</w:t>
      </w:r>
    </w:p>
    <w:p w14:paraId="59C7BF7F" w14:textId="4C4A39B1" w:rsidR="00926A33" w:rsidRPr="00850346" w:rsidRDefault="00662674" w:rsidP="00850346">
      <w:pPr>
        <w:pStyle w:val="Prrafodelista"/>
        <w:numPr>
          <w:ilvl w:val="0"/>
          <w:numId w:val="38"/>
        </w:numPr>
        <w:spacing w:before="240" w:after="240" w:line="360" w:lineRule="auto"/>
        <w:ind w:left="714" w:hanging="357"/>
        <w:jc w:val="both"/>
        <w:rPr>
          <w:rFonts w:ascii="Palatino Linotype" w:hAnsi="Palatino Linotype"/>
          <w:b/>
          <w:lang w:val="es-MX" w:eastAsia="es-MX"/>
        </w:rPr>
      </w:pPr>
      <w:r w:rsidRPr="00850346">
        <w:rPr>
          <w:rFonts w:ascii="Palatino Linotype" w:hAnsi="Palatino Linotype"/>
          <w:b/>
          <w:lang w:val="es-MX" w:eastAsia="es-MX"/>
        </w:rPr>
        <w:t>Histórico de personal que ha sido dado de baja por parte de la Universidad ante el ISSEMYM</w:t>
      </w:r>
    </w:p>
    <w:p w14:paraId="2D2DDA82" w14:textId="329D1040" w:rsidR="00850346" w:rsidRDefault="00926A33" w:rsidP="003C1C07">
      <w:pPr>
        <w:spacing w:before="240" w:after="240" w:line="360" w:lineRule="auto"/>
        <w:jc w:val="both"/>
        <w:rPr>
          <w:rFonts w:ascii="Palatino Linotype" w:hAnsi="Palatino Linotype"/>
        </w:rPr>
      </w:pPr>
      <w:r w:rsidRPr="0060435D">
        <w:rPr>
          <w:rFonts w:ascii="Palatino Linotype" w:hAnsi="Palatino Linotype"/>
        </w:rPr>
        <w:t>En respuesta</w:t>
      </w:r>
      <w:r>
        <w:rPr>
          <w:rFonts w:ascii="Palatino Linotype" w:hAnsi="Palatino Linotype"/>
        </w:rPr>
        <w:t xml:space="preserve">, el </w:t>
      </w:r>
      <w:r>
        <w:rPr>
          <w:rFonts w:ascii="Palatino Linotype" w:hAnsi="Palatino Linotype"/>
          <w:b/>
        </w:rPr>
        <w:t xml:space="preserve">Sujeto </w:t>
      </w:r>
      <w:r w:rsidR="00C56FF7">
        <w:rPr>
          <w:rFonts w:ascii="Palatino Linotype" w:hAnsi="Palatino Linotype"/>
          <w:b/>
        </w:rPr>
        <w:t xml:space="preserve">Obligado </w:t>
      </w:r>
      <w:r w:rsidR="00C56FF7">
        <w:rPr>
          <w:rFonts w:ascii="Palatino Linotype" w:hAnsi="Palatino Linotype"/>
        </w:rPr>
        <w:t>remitió</w:t>
      </w:r>
      <w:r w:rsidR="00850346">
        <w:rPr>
          <w:rFonts w:ascii="Palatino Linotype" w:hAnsi="Palatino Linotype"/>
        </w:rPr>
        <w:t xml:space="preserve"> el oficio número 210C2801070002L/271/2021 signado por el Jefe del Departamento de Recursos Humanos y Materiales, así como 21 avisos de movimiento de personal.</w:t>
      </w:r>
    </w:p>
    <w:p w14:paraId="34CF6736" w14:textId="4BDFE1F2" w:rsidR="00926A33" w:rsidRDefault="00926A33" w:rsidP="003C1C07">
      <w:pPr>
        <w:spacing w:before="240" w:after="240" w:line="360" w:lineRule="auto"/>
        <w:jc w:val="both"/>
        <w:rPr>
          <w:rFonts w:ascii="Palatino Linotype" w:hAnsi="Palatino Linotype"/>
        </w:rPr>
      </w:pPr>
      <w:r>
        <w:rPr>
          <w:rFonts w:ascii="Palatino Linotype" w:hAnsi="Palatino Linotype"/>
        </w:rPr>
        <w:t xml:space="preserve"> Inconforme, el particular presento el medio de impugnación que nos ocupa, señalando como </w:t>
      </w:r>
      <w:r w:rsidR="00850346">
        <w:rPr>
          <w:rFonts w:ascii="Palatino Linotype" w:hAnsi="Palatino Linotype"/>
        </w:rPr>
        <w:t>motivos de inconformidad que se le negó la información previa al año 2020.</w:t>
      </w:r>
    </w:p>
    <w:p w14:paraId="6CA5BF3D" w14:textId="37CF2C9F" w:rsidR="00836DDE" w:rsidRPr="00836DDE" w:rsidRDefault="00836DDE" w:rsidP="00836DDE">
      <w:pPr>
        <w:autoSpaceDE w:val="0"/>
        <w:autoSpaceDN w:val="0"/>
        <w:adjustRightInd w:val="0"/>
        <w:spacing w:before="240" w:after="240" w:line="360" w:lineRule="auto"/>
        <w:ind w:right="-91"/>
        <w:jc w:val="both"/>
        <w:rPr>
          <w:rFonts w:ascii="Palatino Linotype" w:hAnsi="Palatino Linotype"/>
        </w:rPr>
      </w:pPr>
      <w:r w:rsidRPr="00836DDE">
        <w:rPr>
          <w:rFonts w:ascii="Palatino Linotype" w:hAnsi="Palatino Linotype"/>
        </w:rPr>
        <w:lastRenderedPageBreak/>
        <w:t xml:space="preserve">Al respecto, conviene señalar de manera preliminar que el </w:t>
      </w:r>
      <w:r w:rsidRPr="00836DDE">
        <w:rPr>
          <w:rFonts w:ascii="Palatino Linotype" w:hAnsi="Palatino Linotype"/>
          <w:b/>
        </w:rPr>
        <w:t>Sujeto Obligado</w:t>
      </w:r>
      <w:r w:rsidRPr="00836DDE">
        <w:rPr>
          <w:rFonts w:ascii="Palatino Linotype" w:hAnsi="Palatino Linotype"/>
        </w:rPr>
        <w:t xml:space="preserve"> no niega la existencia de la información solicitada, por el contrario, acepta expresamente contar ella, </w:t>
      </w:r>
      <w:r>
        <w:rPr>
          <w:rFonts w:ascii="Palatino Linotype" w:hAnsi="Palatino Linotype"/>
        </w:rPr>
        <w:t>s</w:t>
      </w:r>
      <w:r w:rsidRPr="00836DDE">
        <w:rPr>
          <w:rFonts w:ascii="Palatino Linotype" w:hAnsi="Palatino Linotype"/>
        </w:rPr>
        <w:t>in embargo, no entregó el histórico, lo que en consecuencia se traduce en una negativa a la entrega de la información solicitada.</w:t>
      </w:r>
    </w:p>
    <w:p w14:paraId="2DA68976" w14:textId="10B5115A" w:rsidR="00836DDE" w:rsidRPr="00836DDE" w:rsidRDefault="00836DDE" w:rsidP="00836DDE">
      <w:pPr>
        <w:autoSpaceDE w:val="0"/>
        <w:autoSpaceDN w:val="0"/>
        <w:adjustRightInd w:val="0"/>
        <w:spacing w:before="240" w:after="240" w:line="360" w:lineRule="auto"/>
        <w:ind w:right="-91"/>
        <w:jc w:val="both"/>
        <w:rPr>
          <w:rFonts w:ascii="Palatino Linotype" w:hAnsi="Palatino Linotype"/>
        </w:rPr>
      </w:pPr>
      <w:r w:rsidRPr="00836DDE">
        <w:rPr>
          <w:rFonts w:ascii="Palatino Linotype" w:hAnsi="Palatino Linotype"/>
        </w:rPr>
        <w:t xml:space="preserve">Lo anterior se afirma así, ante la premisa de que la particular desea </w:t>
      </w:r>
      <w:r>
        <w:rPr>
          <w:rFonts w:ascii="Palatino Linotype" w:hAnsi="Palatino Linotype"/>
        </w:rPr>
        <w:t>la información</w:t>
      </w:r>
      <w:r w:rsidRPr="00836DDE">
        <w:rPr>
          <w:rFonts w:ascii="Palatino Linotype" w:hAnsi="Palatino Linotype"/>
        </w:rPr>
        <w:t xml:space="preserve"> desde la creación de la Universidad Politécnica del Valle Toluca</w:t>
      </w:r>
      <w:r w:rsidR="00BE6EB6">
        <w:rPr>
          <w:rStyle w:val="Refdenotaalpie"/>
          <w:rFonts w:ascii="Palatino Linotype" w:hAnsi="Palatino Linotype"/>
        </w:rPr>
        <w:footnoteReference w:id="2"/>
      </w:r>
      <w:r w:rsidRPr="00836DDE">
        <w:rPr>
          <w:rFonts w:ascii="Palatino Linotype" w:hAnsi="Palatino Linotype"/>
        </w:rPr>
        <w:t xml:space="preserve"> hasta la fecha de la solicitud.</w:t>
      </w:r>
    </w:p>
    <w:p w14:paraId="68F448E9" w14:textId="77777777" w:rsidR="00836DDE" w:rsidRPr="00836DDE" w:rsidRDefault="00836DDE" w:rsidP="00836DDE">
      <w:pPr>
        <w:autoSpaceDE w:val="0"/>
        <w:autoSpaceDN w:val="0"/>
        <w:adjustRightInd w:val="0"/>
        <w:spacing w:before="240" w:after="240" w:line="360" w:lineRule="auto"/>
        <w:ind w:right="-91"/>
        <w:jc w:val="both"/>
        <w:rPr>
          <w:rFonts w:ascii="Palatino Linotype" w:hAnsi="Palatino Linotype"/>
        </w:rPr>
      </w:pPr>
      <w:r w:rsidRPr="00836DDE">
        <w:rPr>
          <w:rFonts w:ascii="Palatino Linotype" w:hAnsi="Palatino Linotype"/>
        </w:rPr>
        <w:t xml:space="preserve">Por lo que resulta necesario remitirnos al contenido de los Lineamientos para la Organización y Conservación de los Archivos emitidos por el Sistema Nacional de Transparencia, Acceso a la Información Pública y Protección de Datos Personales, que establecen las políticas y criterios para la sistematización y digitalización, así como para la </w:t>
      </w:r>
      <w:r w:rsidRPr="00BE6EB6">
        <w:rPr>
          <w:rFonts w:ascii="Palatino Linotype" w:hAnsi="Palatino Linotype"/>
          <w:b/>
        </w:rPr>
        <w:t>custodia y conservación de los archivos</w:t>
      </w:r>
      <w:r w:rsidRPr="00836DDE">
        <w:rPr>
          <w:rFonts w:ascii="Palatino Linotype" w:hAnsi="Palatino Linotype"/>
        </w:rPr>
        <w:t xml:space="preserve"> en posesión de los sujetos obligados, con la finalidad de garantizar la disponibilidad y eficiente localización de la información generada, obtenida y transformada por éstos, en sistemas de información agiles y eficientes.</w:t>
      </w:r>
    </w:p>
    <w:p w14:paraId="7E9DF2B3" w14:textId="377E5C26" w:rsidR="00836DDE" w:rsidRPr="00836DDE" w:rsidRDefault="00836DDE" w:rsidP="00836DDE">
      <w:pPr>
        <w:autoSpaceDE w:val="0"/>
        <w:autoSpaceDN w:val="0"/>
        <w:adjustRightInd w:val="0"/>
        <w:spacing w:before="240" w:after="240" w:line="360" w:lineRule="auto"/>
        <w:ind w:right="-91"/>
        <w:jc w:val="both"/>
        <w:rPr>
          <w:rFonts w:ascii="Palatino Linotype" w:hAnsi="Palatino Linotype"/>
        </w:rPr>
      </w:pPr>
      <w:r w:rsidRPr="00836DDE">
        <w:rPr>
          <w:rFonts w:ascii="Palatino Linotype" w:hAnsi="Palatino Linotype"/>
        </w:rPr>
        <w:t xml:space="preserve">Al margen del ordenamiento en cita, el </w:t>
      </w:r>
      <w:r w:rsidRPr="00BE6EB6">
        <w:rPr>
          <w:rFonts w:ascii="Palatino Linotype" w:hAnsi="Palatino Linotype"/>
          <w:b/>
          <w:i/>
        </w:rPr>
        <w:t>archivo</w:t>
      </w:r>
      <w:r w:rsidRPr="00BE6EB6">
        <w:rPr>
          <w:rFonts w:ascii="Palatino Linotype" w:hAnsi="Palatino Linotype"/>
          <w:i/>
        </w:rPr>
        <w:t xml:space="preserve"> es el conjunto orgánico de documentos en cualquier soporte, que son producidos o recibidos por los sujetos obligados o los particulares </w:t>
      </w:r>
      <w:r w:rsidRPr="00BE6EB6">
        <w:rPr>
          <w:rFonts w:ascii="Palatino Linotype" w:hAnsi="Palatino Linotype"/>
          <w:i/>
        </w:rPr>
        <w:lastRenderedPageBreak/>
        <w:t>en el ejercicio de sus atribuciones o en el desarrollo de sus actividades</w:t>
      </w:r>
      <w:r w:rsidRPr="00836DDE">
        <w:rPr>
          <w:rFonts w:ascii="Palatino Linotype" w:hAnsi="Palatino Linotype"/>
        </w:rPr>
        <w:t>; el cual para su buen funcionamiento se div</w:t>
      </w:r>
      <w:r w:rsidR="00BE6EB6">
        <w:rPr>
          <w:rFonts w:ascii="Palatino Linotype" w:hAnsi="Palatino Linotype"/>
        </w:rPr>
        <w:t>ide en archivo de concentración</w:t>
      </w:r>
      <w:r w:rsidR="00BE6EB6">
        <w:rPr>
          <w:rStyle w:val="Refdenotaalpie"/>
          <w:rFonts w:ascii="Palatino Linotype" w:hAnsi="Palatino Linotype"/>
        </w:rPr>
        <w:footnoteReference w:id="3"/>
      </w:r>
      <w:r w:rsidRPr="00836DDE">
        <w:rPr>
          <w:rFonts w:ascii="Palatino Linotype" w:hAnsi="Palatino Linotype"/>
        </w:rPr>
        <w:t>, histórico</w:t>
      </w:r>
      <w:r w:rsidR="00BE6EB6">
        <w:rPr>
          <w:rStyle w:val="Refdenotaalpie"/>
          <w:rFonts w:ascii="Palatino Linotype" w:hAnsi="Palatino Linotype"/>
        </w:rPr>
        <w:footnoteReference w:id="4"/>
      </w:r>
      <w:r w:rsidRPr="00836DDE">
        <w:rPr>
          <w:rFonts w:ascii="Palatino Linotype" w:hAnsi="Palatino Linotype"/>
        </w:rPr>
        <w:t xml:space="preserve">  y de trámite</w:t>
      </w:r>
      <w:r w:rsidR="00E44B01">
        <w:rPr>
          <w:rStyle w:val="Refdenotaalpie"/>
          <w:rFonts w:ascii="Palatino Linotype" w:hAnsi="Palatino Linotype"/>
        </w:rPr>
        <w:footnoteReference w:id="5"/>
      </w:r>
      <w:r w:rsidRPr="00836DDE">
        <w:rPr>
          <w:rFonts w:ascii="Palatino Linotype" w:hAnsi="Palatino Linotype"/>
        </w:rPr>
        <w:t xml:space="preserve"> .</w:t>
      </w:r>
    </w:p>
    <w:p w14:paraId="79F543D4" w14:textId="77777777" w:rsidR="00E44B01" w:rsidRDefault="00E44B01" w:rsidP="00E44B01">
      <w:pPr>
        <w:spacing w:before="240" w:after="240" w:line="360" w:lineRule="auto"/>
        <w:ind w:right="49"/>
        <w:jc w:val="both"/>
        <w:rPr>
          <w:rFonts w:ascii="Palatino Linotype" w:eastAsia="MS Mincho" w:hAnsi="Palatino Linotype" w:cstheme="majorBidi"/>
          <w:i/>
        </w:rPr>
      </w:pPr>
      <w:r>
        <w:rPr>
          <w:rFonts w:ascii="Palatino Linotype" w:hAnsi="Palatino Linotype" w:cs="Arial"/>
          <w:color w:val="2F2F2F"/>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Pr>
          <w:rStyle w:val="Refdenotaalpie"/>
          <w:rFonts w:ascii="Palatino Linotype" w:hAnsi="Palatino Linotype" w:cs="Arial"/>
          <w:color w:val="2F2F2F"/>
          <w:shd w:val="clear" w:color="auto" w:fill="FFFFFF"/>
        </w:rPr>
        <w:footnoteReference w:id="6"/>
      </w:r>
      <w:r>
        <w:rPr>
          <w:rFonts w:ascii="Palatino Linotype" w:hAnsi="Palatino Linotype" w:cs="Arial"/>
          <w:color w:val="2F2F2F"/>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Pr>
          <w:rStyle w:val="Refdenotaalpie"/>
          <w:rFonts w:ascii="Palatino Linotype" w:hAnsi="Palatino Linotype" w:cs="Arial"/>
          <w:color w:val="2F2F2F"/>
          <w:shd w:val="clear" w:color="auto" w:fill="FFFFFF"/>
        </w:rPr>
        <w:footnoteReference w:id="7"/>
      </w:r>
      <w:r>
        <w:rPr>
          <w:rFonts w:ascii="Palatino Linotype" w:hAnsi="Palatino Linotype" w:cs="Arial"/>
          <w:color w:val="2F2F2F"/>
          <w:shd w:val="clear" w:color="auto" w:fill="FFFFFF"/>
        </w:rPr>
        <w:t xml:space="preserve"> o transferencia al archivo histórico, siendo este último, el </w:t>
      </w:r>
      <w:r>
        <w:rPr>
          <w:rFonts w:ascii="Palatino Linotype" w:eastAsia="MS Mincho" w:hAnsi="Palatino Linotype" w:cstheme="majorBidi"/>
          <w:i/>
        </w:rPr>
        <w:t>c</w:t>
      </w:r>
      <w:r w:rsidRPr="00E034DA">
        <w:rPr>
          <w:rFonts w:ascii="Palatino Linotype" w:eastAsia="MS Mincho" w:hAnsi="Palatino Linotype" w:cstheme="majorBidi"/>
          <w:i/>
        </w:rPr>
        <w:t xml:space="preserve">onjunto organizado de expedientes conservados en forma permanente por el valor científico cultural de su información y que constituyen parte del Patrimonio Documental del Estado. </w:t>
      </w:r>
      <w:r w:rsidRPr="00E034DA">
        <w:rPr>
          <w:rFonts w:ascii="Palatino Linotype" w:eastAsia="MS Mincho" w:hAnsi="Palatino Linotype" w:cstheme="majorBidi"/>
          <w:b/>
          <w:i/>
        </w:rPr>
        <w:t>Unidad responsable</w:t>
      </w:r>
      <w:r w:rsidRPr="00E034DA">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r>
        <w:rPr>
          <w:rFonts w:ascii="Palatino Linotype" w:eastAsia="MS Mincho" w:hAnsi="Palatino Linotype" w:cstheme="majorBidi"/>
          <w:i/>
        </w:rPr>
        <w:t>.</w:t>
      </w:r>
    </w:p>
    <w:p w14:paraId="513815C6" w14:textId="77777777" w:rsidR="00E44B01" w:rsidRPr="00E44B01" w:rsidRDefault="00E44B01" w:rsidP="00E44B01">
      <w:pPr>
        <w:spacing w:before="240" w:after="240" w:line="360" w:lineRule="auto"/>
        <w:ind w:right="49"/>
        <w:jc w:val="both"/>
        <w:rPr>
          <w:rFonts w:ascii="Palatino Linotype" w:hAnsi="Palatino Linotype" w:cs="Arial"/>
          <w:shd w:val="clear" w:color="auto" w:fill="FFFFFF"/>
        </w:rPr>
      </w:pPr>
      <w:r w:rsidRPr="00E44B01">
        <w:rPr>
          <w:rFonts w:ascii="Palatino Linotype" w:eastAsia="MS Mincho" w:hAnsi="Palatino Linotype" w:cstheme="majorBidi"/>
        </w:rPr>
        <w:t>Para la sistematización de los archivos, el artículo sexto de los Lineamientos en análisis, disponen que los sujetos obligados deberán i</w:t>
      </w:r>
      <w:r w:rsidRPr="00E44B01">
        <w:rPr>
          <w:rFonts w:ascii="Palatino Linotype" w:hAnsi="Palatino Linotype" w:cs="Arial"/>
          <w:shd w:val="clear" w:color="auto" w:fill="FFFFFF"/>
        </w:rPr>
        <w:t xml:space="preserve">mplementar métodos y </w:t>
      </w:r>
      <w:r w:rsidRPr="00E44B01">
        <w:rPr>
          <w:rFonts w:ascii="Palatino Linotype" w:hAnsi="Palatino Linotype" w:cs="Arial"/>
          <w:shd w:val="clear" w:color="auto" w:fill="FFFFFF"/>
        </w:rPr>
        <w:lastRenderedPageBreak/>
        <w:t>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6FA82D36" w14:textId="77777777" w:rsidR="00E44B01" w:rsidRDefault="00E44B01" w:rsidP="00E44B01">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En relación directa con lo anterior, </w:t>
      </w:r>
      <w:r w:rsidRPr="00DB522E">
        <w:rPr>
          <w:rFonts w:ascii="Palatino Linotype" w:eastAsia="MS Mincho" w:hAnsi="Palatino Linotype"/>
        </w:rPr>
        <w:t>la</w:t>
      </w:r>
      <w:r w:rsidRPr="00DB522E">
        <w:rPr>
          <w:rFonts w:ascii="Palatino Linotype" w:eastAsia="MS Mincho" w:hAnsi="Palatino Linotype"/>
          <w:b/>
        </w:rPr>
        <w:t xml:space="preserve"> </w:t>
      </w:r>
      <w:r w:rsidRPr="00CD7464">
        <w:rPr>
          <w:rFonts w:ascii="Palatino Linotype" w:eastAsia="MS Mincho" w:hAnsi="Palatino Linotype"/>
        </w:rPr>
        <w:t>Ley de Documentos Administrativos e Históricos del Estado de México</w:t>
      </w:r>
      <w:r>
        <w:rPr>
          <w:rFonts w:ascii="Palatino Linotype" w:eastAsia="MS Mincho" w:hAnsi="Palatino Linotype"/>
        </w:rPr>
        <w:t xml:space="preserve">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w:t>
      </w:r>
      <w:r w:rsidRPr="0034795F">
        <w:rPr>
          <w:rFonts w:ascii="Palatino Linotype" w:eastAsia="MS Mincho" w:hAnsi="Palatino Linotype"/>
        </w:rPr>
        <w:t>menos que por escrito</w:t>
      </w:r>
      <w:r>
        <w:rPr>
          <w:rFonts w:ascii="Palatino Linotype" w:eastAsia="MS Mincho" w:hAnsi="Palatino Linotype"/>
        </w:rPr>
        <w:t xml:space="preserve"> lo determine la instancia facultada para ello</w:t>
      </w:r>
      <w:r>
        <w:rPr>
          <w:rStyle w:val="Refdenotaalpie"/>
          <w:rFonts w:ascii="Palatino Linotype" w:eastAsia="MS Mincho" w:hAnsi="Palatino Linotype"/>
        </w:rPr>
        <w:footnoteReference w:id="8"/>
      </w:r>
      <w:r>
        <w:rPr>
          <w:rFonts w:ascii="Palatino Linotype" w:eastAsia="MS Mincho" w:hAnsi="Palatino Linotype"/>
        </w:rPr>
        <w:t>.</w:t>
      </w:r>
    </w:p>
    <w:p w14:paraId="21DB5A1E" w14:textId="77777777" w:rsidR="00E44B01" w:rsidRPr="00BA07A7" w:rsidRDefault="00E44B01" w:rsidP="00E44B01">
      <w:pPr>
        <w:spacing w:before="240" w:after="240" w:line="360" w:lineRule="auto"/>
        <w:ind w:right="49"/>
        <w:jc w:val="both"/>
        <w:rPr>
          <w:rFonts w:ascii="Palatino Linotype" w:hAnsi="Palatino Linotype" w:cs="Arial"/>
          <w:color w:val="2F2F2F"/>
          <w:shd w:val="clear" w:color="auto" w:fill="FFFFFF"/>
        </w:rPr>
      </w:pPr>
      <w:r>
        <w:rPr>
          <w:rFonts w:ascii="Palatino Linotype" w:hAnsi="Palatino Linotype" w:cs="Arial"/>
          <w:color w:val="2F2F2F"/>
          <w:shd w:val="clear" w:color="auto" w:fill="FFFFFF"/>
        </w:rPr>
        <w:t>Mientras que los artículos 36 y 37 de los Lineamientos para la Administración de Documentos en el Estado de México, emitidos por el Comité Técnico del Sistema Estatal de Documentación, disponen lo que reza a continuación:</w:t>
      </w:r>
    </w:p>
    <w:p w14:paraId="771D0125" w14:textId="77777777" w:rsidR="00E44B01" w:rsidRDefault="00E44B01" w:rsidP="00E44B01">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w:t>
      </w:r>
      <w:r>
        <w:rPr>
          <w:rFonts w:ascii="Palatino Linotype" w:hAnsi="Palatino Linotype" w:cs="Arial"/>
          <w:b/>
          <w:i/>
          <w:color w:val="2F2F2F"/>
          <w:sz w:val="20"/>
          <w:szCs w:val="20"/>
          <w:shd w:val="clear" w:color="auto" w:fill="FFFFFF"/>
        </w:rPr>
        <w:t xml:space="preserve">Artículo 36. </w:t>
      </w:r>
      <w:r>
        <w:rPr>
          <w:rFonts w:ascii="Palatino Linotype" w:hAnsi="Palatino Linotype" w:cs="Arial"/>
          <w:i/>
          <w:color w:val="2F2F2F"/>
          <w:sz w:val="20"/>
          <w:szCs w:val="20"/>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14:paraId="2EC1D6E3" w14:textId="77777777" w:rsidR="00E44B01" w:rsidRPr="00542A34" w:rsidRDefault="00E44B01" w:rsidP="00E44B01">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lastRenderedPageBreak/>
        <w:t xml:space="preserve">Artículo 37. </w:t>
      </w:r>
      <w:r>
        <w:rPr>
          <w:rFonts w:ascii="Palatino Linotype" w:hAnsi="Palatino Linotype" w:cs="Arial"/>
          <w:i/>
          <w:color w:val="2F2F2F"/>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69C6BF14" w14:textId="77777777" w:rsidR="00E44B01" w:rsidRDefault="00E44B01" w:rsidP="00E44B01">
      <w:pPr>
        <w:spacing w:before="240" w:after="240" w:line="360" w:lineRule="auto"/>
        <w:ind w:right="49"/>
        <w:jc w:val="both"/>
        <w:rPr>
          <w:rFonts w:ascii="Palatino Linotype" w:hAnsi="Palatino Linotype" w:cs="Arial"/>
        </w:rPr>
      </w:pPr>
      <w:r>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Pr>
          <w:rFonts w:ascii="Palatino Linotype" w:hAnsi="Palatino Linotype" w:cs="Arial"/>
          <w:b/>
        </w:rPr>
        <w:t xml:space="preserve">rendición de cuentas, </w:t>
      </w:r>
      <w:r>
        <w:rPr>
          <w:rFonts w:ascii="Palatino Linotype" w:hAnsi="Palatino Linotype" w:cs="Arial"/>
        </w:rPr>
        <w:t>garantizando siempre el acceso a ellos, de ahí, que deban implementar procesos básicos de gestión de documentos de acuerdo con el tipo de archivo, no obstante que lo documentos resguardados deberán ordenarse lógica y cronológicamente bajo expedientes relacionados entre sí por un mismo asunto, materia, actividad o trámite</w:t>
      </w:r>
      <w:r>
        <w:rPr>
          <w:rStyle w:val="Refdenotaalpie"/>
          <w:rFonts w:ascii="Palatino Linotype" w:hAnsi="Palatino Linotype" w:cs="Arial"/>
        </w:rPr>
        <w:footnoteReference w:id="9"/>
      </w:r>
      <w:r>
        <w:rPr>
          <w:rFonts w:ascii="Palatino Linotype" w:hAnsi="Palatino Linotype" w:cs="Arial"/>
        </w:rPr>
        <w:t>.</w:t>
      </w:r>
    </w:p>
    <w:p w14:paraId="089D428D" w14:textId="77777777" w:rsidR="00E44B01" w:rsidRPr="00542A34" w:rsidRDefault="00E44B01" w:rsidP="00E44B01">
      <w:pPr>
        <w:spacing w:before="240" w:after="240" w:line="360" w:lineRule="auto"/>
        <w:ind w:right="49"/>
        <w:jc w:val="both"/>
        <w:rPr>
          <w:rFonts w:ascii="Palatino Linotype" w:hAnsi="Palatino Linotype" w:cs="Arial"/>
          <w:b/>
        </w:rPr>
      </w:pPr>
      <w:r>
        <w:rPr>
          <w:rFonts w:ascii="Palatino Linotype" w:hAnsi="Palatino Linotype" w:cs="Arial"/>
        </w:rPr>
        <w:t xml:space="preserve">A mayor abundamiento, los diversos 26 y 27 establecen que la Comisión Dictaminadora de Depuración de Documentos, es el órgano encargado de la valoración, selección y </w:t>
      </w:r>
      <w:r w:rsidRPr="00542A34">
        <w:rPr>
          <w:rFonts w:ascii="Palatino Linotype" w:hAnsi="Palatino Linotype" w:cs="Arial"/>
        </w:rPr>
        <w:t xml:space="preserve">autorización </w:t>
      </w:r>
      <w:r>
        <w:rPr>
          <w:rFonts w:ascii="Palatino Linotype" w:hAnsi="Palatino Linotype" w:cs="Arial"/>
        </w:rPr>
        <w:t>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14:paraId="2C11D973" w14:textId="26E38227" w:rsidR="00735C40" w:rsidRDefault="00E44B01" w:rsidP="00836DDE">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rPr>
        <w:lastRenderedPageBreak/>
        <w:t xml:space="preserve">Aunado a lo anterior, </w:t>
      </w:r>
      <w:r w:rsidR="00850346" w:rsidRPr="00850346">
        <w:rPr>
          <w:rFonts w:ascii="Palatino Linotype" w:hAnsi="Palatino Linotype"/>
        </w:rPr>
        <w:t>se estima conveniente subsanar la deficiencia de la queja</w:t>
      </w:r>
      <w:r w:rsidR="00735C40">
        <w:rPr>
          <w:rFonts w:ascii="Palatino Linotype" w:hAnsi="Palatino Linotype"/>
        </w:rPr>
        <w:t>,</w:t>
      </w:r>
      <w:r w:rsidR="00AB3AE5" w:rsidRPr="00850346">
        <w:rPr>
          <w:rFonts w:ascii="Palatino Linotype" w:hAnsi="Palatino Linotype"/>
        </w:rPr>
        <w:t xml:space="preserve"> </w:t>
      </w:r>
      <w:r w:rsidR="00735C40" w:rsidRPr="00243D34">
        <w:rPr>
          <w:rFonts w:ascii="Palatino Linotype" w:hAnsi="Palatino Linotype" w:cs="Arial"/>
        </w:rPr>
        <w:t xml:space="preserve">sin que se cambien los hechos que fuera expuestos por éste; lo cual, encuentra sustento en la jurisprudencia emitida por la Suprema Corte de Justicia de la Nación que a continuación se inserta: </w:t>
      </w:r>
    </w:p>
    <w:p w14:paraId="7FAF6D1C" w14:textId="0E0BE5B1" w:rsidR="00735C40" w:rsidRPr="00735C40" w:rsidRDefault="00735C40" w:rsidP="00735C40">
      <w:pPr>
        <w:pStyle w:val="Prrafodelista"/>
        <w:autoSpaceDE w:val="0"/>
        <w:autoSpaceDN w:val="0"/>
        <w:adjustRightInd w:val="0"/>
        <w:ind w:left="851" w:right="900"/>
        <w:jc w:val="both"/>
        <w:rPr>
          <w:rFonts w:ascii="Palatino Linotype" w:hAnsi="Palatino Linotype" w:cs="Arial"/>
          <w:i/>
          <w:sz w:val="20"/>
          <w:szCs w:val="20"/>
        </w:rPr>
      </w:pPr>
      <w:r>
        <w:rPr>
          <w:rFonts w:ascii="Palatino Linotype" w:hAnsi="Palatino Linotype" w:cs="Arial"/>
          <w:b/>
          <w:i/>
          <w:sz w:val="20"/>
          <w:szCs w:val="20"/>
        </w:rPr>
        <w:t>“</w:t>
      </w:r>
      <w:r w:rsidRPr="00735C40">
        <w:rPr>
          <w:rFonts w:ascii="Palatino Linotype" w:hAnsi="Palatino Linotype" w:cs="Arial"/>
          <w:b/>
          <w:i/>
          <w:sz w:val="20"/>
          <w:szCs w:val="20"/>
        </w:rPr>
        <w:t xml:space="preserve">SUPLENCIA DE LA DEFICIENCIA DE LA QUEJA. NO ES VIOLATORIA DE LA DIGNIDAD DE LAS PERSONAS SOBRE LAS CUALES SE APLICA. </w:t>
      </w:r>
      <w:r w:rsidRPr="00735C40">
        <w:rPr>
          <w:rFonts w:ascii="Palatino Linotype" w:hAnsi="Palatino Linotype" w:cs="Arial"/>
          <w:i/>
          <w:sz w:val="20"/>
          <w:szCs w:val="20"/>
        </w:rPr>
        <w:t xml:space="preserve">A juicio de esta Primera Sala de la Suprema Corte de Justicia de la Nación, la suplencia de la deficiencia de la queja no es una figura jurídica que implique un menoscabo en la dignidad de la persona, ni permite una variación de la </w:t>
      </w:r>
      <w:proofErr w:type="spellStart"/>
      <w:r w:rsidRPr="00735C40">
        <w:rPr>
          <w:rFonts w:ascii="Palatino Linotype" w:hAnsi="Palatino Linotype" w:cs="Arial"/>
          <w:i/>
          <w:sz w:val="20"/>
          <w:szCs w:val="20"/>
        </w:rPr>
        <w:t>litis</w:t>
      </w:r>
      <w:proofErr w:type="spellEnd"/>
      <w:r w:rsidRPr="00735C40">
        <w:rPr>
          <w:rFonts w:ascii="Palatino Linotype" w:hAnsi="Palatino Linotype" w:cs="Arial"/>
          <w:i/>
          <w:sz w:val="20"/>
          <w:szCs w:val="20"/>
        </w:rPr>
        <w:t xml:space="preserve"> constitucional, pues la misma es una herramienta de la cual debe disponer el juzgador para estar en aptitud de analizar un asunto, a pesar de la formulación incompleta o deficiente que se hubiese realizado de los argumentos respectivos, para no encontrarse limitado por una </w:t>
      </w:r>
      <w:proofErr w:type="spellStart"/>
      <w:r w:rsidRPr="00735C40">
        <w:rPr>
          <w:rFonts w:ascii="Palatino Linotype" w:hAnsi="Palatino Linotype" w:cs="Arial"/>
          <w:i/>
          <w:sz w:val="20"/>
          <w:szCs w:val="20"/>
        </w:rPr>
        <w:t>litis</w:t>
      </w:r>
      <w:proofErr w:type="spellEnd"/>
      <w:r w:rsidRPr="00735C40">
        <w:rPr>
          <w:rFonts w:ascii="Palatino Linotype" w:hAnsi="Palatino Linotype" w:cs="Arial"/>
          <w:i/>
          <w:sz w:val="20"/>
          <w:szCs w:val="20"/>
        </w:rPr>
        <w:t xml:space="preserve"> cerrada, en la cual se tendría que constreñir a lo alegado por las partes. Dicha figura jurídica se traduce en una serie de escenarios diseñados por el legislador en los cuales, debido a los derechos involucrados o a la posición de "desventaja" procesal de alguna de las partes, se justifica que el análisis del juzgador no se limite a lo señalado por quienes intervienen en el procedimiento jurisdiccional respectivo. Es por lo anterior que la suplencia de la queja no puede considerarse como una institución transgresora de la dignidad de las partes respecto a las cuales se permite, sino como una herramienta con la cual cuenta el juez para analizar de forma integral un asunto y así, emitir un fallo que no se encuentre constreñido a la deficiencia en los planteamientos de quienes intervinieron en el procedimiento.</w:t>
      </w:r>
      <w:r>
        <w:rPr>
          <w:rFonts w:ascii="Palatino Linotype" w:hAnsi="Palatino Linotype" w:cs="Arial"/>
          <w:i/>
          <w:sz w:val="20"/>
          <w:szCs w:val="20"/>
        </w:rPr>
        <w:t>”</w:t>
      </w:r>
    </w:p>
    <w:p w14:paraId="464BB53F" w14:textId="1B7C2F6B" w:rsidR="00735C40" w:rsidRDefault="00735C40" w:rsidP="00735C40">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Lo anterior, toda vez que se advierte que los “Aviso de Movimientos” remitidos, fueron testados sin que se emitiera el acuerdo de clasificación correspondiente.</w:t>
      </w:r>
    </w:p>
    <w:p w14:paraId="6F08B551" w14:textId="3BAB7D26" w:rsidR="00AB3AE5" w:rsidRPr="00A4521A" w:rsidRDefault="00735C40" w:rsidP="00735C40">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Así las cosas, </w:t>
      </w:r>
      <w:r w:rsidR="00AB3AE5" w:rsidRPr="00A4521A">
        <w:rPr>
          <w:rFonts w:ascii="Palatino Linotype" w:hAnsi="Palatino Linotype"/>
        </w:rPr>
        <w:t xml:space="preserve">en lo que corresponde a la clasificación resulta alusivo el artículo 112 de la Ley Adjetiva, en el que se prevé, que la </w:t>
      </w:r>
      <w:r w:rsidR="00AB3AE5" w:rsidRPr="00A4521A">
        <w:rPr>
          <w:rFonts w:ascii="Palatino Linotype" w:hAnsi="Palatino Linotype" w:cs="Arial"/>
        </w:rPr>
        <w:t>clasificación es el proceso mediante el cual el Sujeto Obligado</w:t>
      </w:r>
      <w:r w:rsidR="00AB3AE5" w:rsidRPr="00A4521A">
        <w:rPr>
          <w:rFonts w:ascii="Palatino Linotype" w:hAnsi="Palatino Linotype" w:cs="Arial"/>
          <w:b/>
        </w:rPr>
        <w:t xml:space="preserve"> </w:t>
      </w:r>
      <w:r w:rsidR="00AB3AE5" w:rsidRPr="00A4521A">
        <w:rPr>
          <w:rFonts w:ascii="Palatino Linotype" w:hAnsi="Palatino Linotype" w:cs="Arial"/>
        </w:rPr>
        <w:t xml:space="preserve">deberá determinar que la información en su poder </w:t>
      </w:r>
      <w:proofErr w:type="spellStart"/>
      <w:r w:rsidR="00AB3AE5" w:rsidRPr="00A4521A">
        <w:rPr>
          <w:rFonts w:ascii="Palatino Linotype" w:hAnsi="Palatino Linotype" w:cs="Arial"/>
        </w:rPr>
        <w:t>actualiza</w:t>
      </w:r>
      <w:proofErr w:type="spellEnd"/>
      <w:r w:rsidR="00AB3AE5" w:rsidRPr="00A4521A">
        <w:rPr>
          <w:rFonts w:ascii="Palatino Linotype" w:hAnsi="Palatino Linotype" w:cs="Arial"/>
        </w:rPr>
        <w:t xml:space="preserve"> alguno de los supuestos de reserva o confidencialidad de conformidad con el Titulo Sexto, lo cual no se hace por simple mandado de la Ley, sino que es necesario que se emita el acuerdo de clasificación de información.</w:t>
      </w:r>
    </w:p>
    <w:p w14:paraId="3C20E3E1" w14:textId="77777777" w:rsidR="00AB3AE5" w:rsidRPr="00A4521A" w:rsidRDefault="00AB3AE5" w:rsidP="00AB3AE5">
      <w:pPr>
        <w:tabs>
          <w:tab w:val="left" w:pos="709"/>
        </w:tabs>
        <w:spacing w:before="240" w:after="240" w:line="360" w:lineRule="auto"/>
        <w:jc w:val="both"/>
        <w:rPr>
          <w:rFonts w:ascii="Palatino Linotype" w:hAnsi="Palatino Linotype"/>
        </w:rPr>
      </w:pPr>
      <w:r w:rsidRPr="00A4521A">
        <w:rPr>
          <w:rFonts w:ascii="Palatino Linotype" w:hAnsi="Palatino Linotype" w:cs="Arial"/>
        </w:rPr>
        <w:lastRenderedPageBreak/>
        <w:t>En el supuesto de actualizarse alguna de las hipótesis de clasificación de la información como reservada previstas en el artículo 140 de la Ley en cuestión, se deberá determinar el plazo de reserva hasta por un 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expliquen que subsistente las causas que dieron origen a su clasificación, mediante la aplicación de la prueba de daño</w:t>
      </w:r>
      <w:r w:rsidRPr="00A4521A">
        <w:rPr>
          <w:rStyle w:val="Refdenotaalpie"/>
          <w:rFonts w:ascii="Palatino Linotype" w:hAnsi="Palatino Linotype" w:cs="Arial"/>
        </w:rPr>
        <w:footnoteReference w:id="10"/>
      </w:r>
      <w:r w:rsidRPr="00A4521A">
        <w:rPr>
          <w:rFonts w:ascii="Palatino Linotype" w:hAnsi="Palatino Linotype" w:cs="Arial"/>
        </w:rPr>
        <w:t>, en la que se justificaran las razones, motivos o circunstancias especiales que lo llevaron a concluir que el caso concreto, se ajustó a los supuestos previstos en la normatividad como fundamento. Dicho de otra manera</w:t>
      </w:r>
      <w:r>
        <w:rPr>
          <w:rFonts w:ascii="Palatino Linotype" w:hAnsi="Palatino Linotype" w:cs="Arial"/>
        </w:rPr>
        <w:t>,</w:t>
      </w:r>
      <w:r w:rsidRPr="00A4521A">
        <w:rPr>
          <w:rFonts w:ascii="Palatino Linotype" w:hAnsi="Palatino Linotype" w:cs="Arial"/>
        </w:rPr>
        <w:t xml:space="preserve"> el acuerdo deberá contar con la </w:t>
      </w:r>
      <w:r w:rsidRPr="00A4521A">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14:paraId="54D30787" w14:textId="77777777" w:rsidR="00AB3AE5" w:rsidRPr="00A4521A" w:rsidRDefault="00AB3AE5" w:rsidP="00AB3AE5">
      <w:pPr>
        <w:spacing w:after="260" w:line="360" w:lineRule="auto"/>
        <w:ind w:right="-232"/>
        <w:jc w:val="both"/>
        <w:rPr>
          <w:rFonts w:ascii="Palatino Linotype" w:hAnsi="Palatino Linotype"/>
          <w:lang w:eastAsia="es-MX"/>
        </w:rPr>
      </w:pPr>
      <w:r w:rsidRPr="00A4521A">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3ED4A940" w14:textId="77777777" w:rsidR="00AB3AE5" w:rsidRPr="00A4521A" w:rsidRDefault="00AB3AE5" w:rsidP="00AB3AE5">
      <w:pPr>
        <w:spacing w:after="120"/>
        <w:ind w:left="851" w:right="902"/>
        <w:jc w:val="both"/>
        <w:rPr>
          <w:rFonts w:ascii="Palatino Linotype" w:hAnsi="Palatino Linotype"/>
          <w:b/>
          <w:bCs/>
          <w:i/>
          <w:sz w:val="20"/>
          <w:szCs w:val="20"/>
          <w:lang w:eastAsia="es-MX"/>
        </w:rPr>
      </w:pPr>
      <w:r w:rsidRPr="00A4521A">
        <w:rPr>
          <w:rFonts w:ascii="Palatino Linotype" w:hAnsi="Palatino Linotype"/>
          <w:b/>
          <w:bCs/>
          <w:i/>
          <w:sz w:val="20"/>
          <w:szCs w:val="20"/>
          <w:lang w:eastAsia="es-MX"/>
        </w:rPr>
        <w:lastRenderedPageBreak/>
        <w:t>FUNDAMENTACIÓN Y MOTIVACIÓN. EL ASPECTO FORMAL DE LA GARANTÍA Y SU FINALIDAD SE TRADUCEN EN EXPLICAR, JUSTIFICAR, POSIBILITAR LA DEFENSA Y COMUNICAR LA DECISIÓN.</w:t>
      </w:r>
    </w:p>
    <w:p w14:paraId="7F6DC29B" w14:textId="77777777" w:rsidR="00AB3AE5" w:rsidRPr="00A4521A" w:rsidRDefault="00AB3AE5" w:rsidP="00AB3AE5">
      <w:pPr>
        <w:spacing w:after="120"/>
        <w:ind w:left="851" w:right="902"/>
        <w:jc w:val="both"/>
        <w:rPr>
          <w:rFonts w:ascii="Palatino Linotype" w:hAnsi="Palatino Linotype"/>
          <w:i/>
          <w:sz w:val="20"/>
          <w:szCs w:val="20"/>
          <w:lang w:eastAsia="es-MX"/>
        </w:rPr>
      </w:pPr>
      <w:r w:rsidRPr="00A4521A">
        <w:rPr>
          <w:rFonts w:ascii="Palatino Linotype" w:hAnsi="Palatino Linotype"/>
          <w:i/>
          <w:sz w:val="20"/>
          <w:szCs w:val="20"/>
          <w:lang w:eastAsia="es-MX"/>
        </w:rPr>
        <w:t>El contenido formal de la garantía de legalidad prevista en el artículo </w:t>
      </w:r>
      <w:hyperlink r:id="rId11" w:history="1">
        <w:r w:rsidRPr="00A4521A">
          <w:rPr>
            <w:rFonts w:ascii="Palatino Linotype" w:hAnsi="Palatino Linotype"/>
            <w:i/>
            <w:sz w:val="20"/>
            <w:szCs w:val="20"/>
            <w:lang w:eastAsia="es-MX"/>
          </w:rPr>
          <w:t>16 constitucional</w:t>
        </w:r>
      </w:hyperlink>
      <w:r w:rsidRPr="00A4521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0CFA3A7"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 xml:space="preserve">La clasificación de la información se llevará a cabo en el momento que se reciba una solicitud de información, </w:t>
      </w:r>
      <w:r w:rsidRPr="00A4521A">
        <w:rPr>
          <w:rFonts w:ascii="Palatino Linotype" w:hAnsi="Palatino Linotype" w:cs="Arial"/>
          <w:b/>
        </w:rPr>
        <w:t>cuando se determine mediante resolución de autoridad competente</w:t>
      </w:r>
      <w:r w:rsidRPr="00A4521A">
        <w:rPr>
          <w:rFonts w:ascii="Palatino Linotype" w:hAnsi="Palatino Linotype" w:cs="Arial"/>
        </w:rPr>
        <w:t xml:space="preserve"> o bien, en la generación de versiones públicas para dar cumplimiento a las obligaciones de transparencias previstas en la Ley. </w:t>
      </w:r>
    </w:p>
    <w:p w14:paraId="28C61483" w14:textId="77777777" w:rsidR="00AB3AE5" w:rsidRPr="00A4521A" w:rsidRDefault="00AB3AE5" w:rsidP="00AB3AE5">
      <w:pPr>
        <w:spacing w:before="240" w:after="240" w:line="360" w:lineRule="auto"/>
        <w:jc w:val="both"/>
        <w:rPr>
          <w:rFonts w:ascii="Palatino Linotype" w:hAnsi="Palatino Linotype"/>
        </w:rPr>
      </w:pPr>
      <w:r w:rsidRPr="00A4521A">
        <w:rPr>
          <w:rFonts w:ascii="Palatino Linotype" w:hAnsi="Palatino Linotype"/>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520DAD12"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 xml:space="preserve">En los casos en que la información solicitada por los particulares actualice algún supuesto de información clasificada como confidencial, la que se refiere a la vida </w:t>
      </w:r>
      <w:r w:rsidRPr="00A4521A">
        <w:rPr>
          <w:rFonts w:ascii="Palatino Linotype" w:hAnsi="Palatino Linotype" w:cs="Arial"/>
        </w:rPr>
        <w:lastRenderedPageBreak/>
        <w:t>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71B57051"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Bajo tal argumento, se tiene que el artículo 12 de la Declaración Universal de los Derechos Humanos, así como el diverso 17, párrafo primero, del Pacto Internacional de Derechos Civiles y Políticos, reconocen la protección del derecho a la intimidad de toda persona, en el sentido de que nadie puede ser objeto de injerencias arbitrarias en su vida privada, su familia, domicilio o correspondencia, ni de ataques a su honra o reputación, teniendo derecho toda persona a la protección de la ley contra tales injerencias o ataques</w:t>
      </w:r>
      <w:r w:rsidRPr="00A4521A">
        <w:rPr>
          <w:rStyle w:val="Refdenotaalpie"/>
          <w:rFonts w:ascii="Palatino Linotype" w:hAnsi="Palatino Linotype" w:cs="Arial"/>
        </w:rPr>
        <w:footnoteReference w:id="11"/>
      </w:r>
      <w:r w:rsidRPr="00A4521A">
        <w:rPr>
          <w:rFonts w:ascii="Palatino Linotype" w:hAnsi="Palatino Linotype" w:cs="Arial"/>
        </w:rPr>
        <w:t>.</w:t>
      </w:r>
    </w:p>
    <w:p w14:paraId="58A2B907" w14:textId="77777777" w:rsidR="00AB3AE5" w:rsidRPr="00A4521A" w:rsidRDefault="00AB3AE5" w:rsidP="00AB3AE5">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Se entiende por “datos personales” la información concerniente a una persona física identificada o identificable, se considera que una persona es identificable cuando su identidad pueda determinarse </w:t>
      </w:r>
      <w:r>
        <w:rPr>
          <w:rFonts w:ascii="Palatino Linotype" w:eastAsiaTheme="minorEastAsia" w:hAnsi="Palatino Linotype" w:cs="Arial"/>
          <w:lang w:val="es-MX"/>
        </w:rPr>
        <w:t xml:space="preserve">directa </w:t>
      </w:r>
      <w:r w:rsidRPr="00A4521A">
        <w:rPr>
          <w:rFonts w:ascii="Palatino Linotype" w:eastAsiaTheme="minorEastAsia" w:hAnsi="Palatino Linotype" w:cs="Arial"/>
          <w:lang w:val="es-MX"/>
        </w:rPr>
        <w:t>o indirectamente a través de cualquier información.</w:t>
      </w:r>
    </w:p>
    <w:p w14:paraId="75A12711" w14:textId="77777777" w:rsidR="00AB3AE5" w:rsidRPr="00A4521A" w:rsidRDefault="00AB3AE5" w:rsidP="00AB3AE5">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lastRenderedPageBreak/>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4264BC19"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 xml:space="preserve">Así, para efectos de emitir el acuerdo de clasificación de la información como reservada o confidencial, el sujeto obligado deberá atender lo dispuesto en los </w:t>
      </w:r>
      <w:r w:rsidRPr="00A4521A">
        <w:rPr>
          <w:rFonts w:ascii="Palatino Linotype" w:hAnsi="Palatino Linotype" w:cs="Arial"/>
        </w:rPr>
        <w:t>artículos 3 fracciones IX, XX, XXI, XXIV, XLV, 91, 132 fracciones II y III, 140 y 143 de la Ley de Transparencia y Acceso a la Información Pública del Estado de México y Municipios que establecen:</w:t>
      </w:r>
    </w:p>
    <w:p w14:paraId="2D90EDEA"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2C03F3E3"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2EB0290D"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3723AC8B"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 Información clasificada: Aquella considerada por la presente Ley como reservada o confidencial;</w:t>
      </w:r>
    </w:p>
    <w:p w14:paraId="6E9F1BA6"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F49042"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94F35FB" w14:textId="77777777" w:rsidR="00AB3AE5" w:rsidRPr="00A4521A" w:rsidRDefault="00AB3AE5" w:rsidP="00AB3AE5">
      <w:pPr>
        <w:spacing w:before="120" w:after="120"/>
        <w:ind w:left="1134" w:right="902"/>
        <w:jc w:val="both"/>
      </w:pPr>
      <w:r w:rsidRPr="00A4521A">
        <w:rPr>
          <w:rFonts w:ascii="Palatino Linotype" w:hAnsi="Palatino Linotype"/>
          <w:i/>
          <w:sz w:val="20"/>
          <w:szCs w:val="20"/>
        </w:rPr>
        <w:t>XXIV. Información reservada: La clasificada con este carácter de manera temporal por las disposiciones de esta Ley, cuya divulgación puede causar daño en términos de lo establecido por esta Ley;</w:t>
      </w:r>
      <w:r w:rsidRPr="00A4521A">
        <w:t xml:space="preserve"> </w:t>
      </w:r>
    </w:p>
    <w:p w14:paraId="3ED69748"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4976685E"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5E8EB55D"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lastRenderedPageBreak/>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23D09B1C"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14DB5159"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3CCC8472"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resolución de autoridad competente; o</w:t>
      </w:r>
    </w:p>
    <w:p w14:paraId="0D01DD56"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Se generen versiones públicas para dar cumplimiento a las obligaciones de transparencia previstas en esta Ley.</w:t>
      </w:r>
    </w:p>
    <w:p w14:paraId="1B94F081" w14:textId="77777777" w:rsidR="00AB3AE5" w:rsidRPr="00A4521A" w:rsidRDefault="00AB3AE5" w:rsidP="00AB3AE5">
      <w:pPr>
        <w:spacing w:before="120" w:after="120"/>
        <w:ind w:left="851" w:right="902"/>
        <w:jc w:val="both"/>
        <w:rPr>
          <w:rFonts w:ascii="Palatino Linotype" w:hAnsi="Palatino Linotype"/>
          <w:i/>
          <w:sz w:val="20"/>
          <w:szCs w:val="20"/>
        </w:rPr>
      </w:pPr>
      <w:r w:rsidRPr="00A4521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3BDB4A8C" w14:textId="77777777" w:rsidR="00AB3AE5" w:rsidRPr="00A4521A" w:rsidRDefault="00AB3AE5" w:rsidP="00AB3AE5">
      <w:pPr>
        <w:spacing w:before="120" w:after="120"/>
        <w:ind w:left="851" w:right="902"/>
        <w:jc w:val="both"/>
        <w:rPr>
          <w:rFonts w:ascii="Palatino Linotype" w:hAnsi="Palatino Linotype"/>
          <w:i/>
          <w:sz w:val="20"/>
          <w:szCs w:val="20"/>
        </w:rPr>
      </w:pPr>
      <w:r w:rsidRPr="00A4521A">
        <w:rPr>
          <w:rFonts w:ascii="Palatino Linotype" w:hAnsi="Palatino Linotype"/>
          <w:b/>
          <w:i/>
          <w:sz w:val="20"/>
          <w:szCs w:val="20"/>
        </w:rPr>
        <w:t>Artículo 140.</w:t>
      </w:r>
      <w:r w:rsidRPr="00A4521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66C7B3D9"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 Comprometa la seguridad pública y cuente con un propósito genuino y un efecto demostrable; </w:t>
      </w:r>
    </w:p>
    <w:p w14:paraId="164B879E"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 Pueda menoscabar la conducción de las negociaciones y relaciones internacionales; </w:t>
      </w:r>
    </w:p>
    <w:p w14:paraId="6A9E6E92"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B04BD64"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IV. Ponga en riesgo la vida, la seguridad o la salud de una persona física; </w:t>
      </w:r>
    </w:p>
    <w:p w14:paraId="5FE283D0"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 Aquella cuya divulgación obstruya o pueda causar un serio perjuicio a: </w:t>
      </w:r>
    </w:p>
    <w:p w14:paraId="0FE79E47" w14:textId="77777777" w:rsidR="00AB3AE5" w:rsidRPr="00A4521A" w:rsidRDefault="00AB3AE5" w:rsidP="00AB3AE5">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1. Las actividades de fiscalización, verificación, inspección, comprobación y auditoría sobre el cumplimiento de las Leyes; o </w:t>
      </w:r>
    </w:p>
    <w:p w14:paraId="43AFC9DB" w14:textId="77777777" w:rsidR="00AB3AE5" w:rsidRPr="00A4521A" w:rsidRDefault="00AB3AE5" w:rsidP="00AB3AE5">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2. La recaudación de las contribuciones. </w:t>
      </w:r>
    </w:p>
    <w:p w14:paraId="49DFBC03"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73C96AF"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5A6D7803"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lastRenderedPageBreak/>
        <w:t xml:space="preserve">VIII. Vulnere la conducción de los expedientes judiciales o de los procedimientos administrativos seguidos en forma de juicio, en tanto no hayan quedado firmes; </w:t>
      </w:r>
    </w:p>
    <w:p w14:paraId="34A1ED06"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IX. Se encuentre contenida dentro de las investigaciones de hechos que la Ley señale como delitos y se tramiten ante el Ministerio Público; </w:t>
      </w:r>
    </w:p>
    <w:p w14:paraId="430EC22A"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83BADEF" w14:textId="77777777" w:rsidR="00AB3AE5" w:rsidRPr="00A4521A" w:rsidRDefault="00AB3AE5" w:rsidP="00AB3AE5">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148C7A26"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6C36D2DA"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refiera a la información privada y los datos personales concernientes a una persona física o jurídico colectiva identificada o identificable;</w:t>
      </w:r>
    </w:p>
    <w:p w14:paraId="0E43E73D"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E0AD451" w14:textId="77777777" w:rsidR="00AB3AE5" w:rsidRPr="00A4521A" w:rsidRDefault="00AB3AE5" w:rsidP="00AB3AE5">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60801A5D"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D80540D"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2F2550A3"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A4521A">
        <w:rPr>
          <w:rFonts w:ascii="Palatino Linotype" w:hAnsi="Palatino Linotype" w:cs="Arial"/>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59355DB"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405187D4"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2D49E9E"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1D5DBA2"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04578D3A"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2DD1A677"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5EEBFD22"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1E5AF11C" w14:textId="77777777" w:rsidR="00AB3AE5" w:rsidRPr="00A4521A" w:rsidRDefault="00AB3AE5" w:rsidP="00AB3AE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21E0829C" w14:textId="77777777" w:rsidR="00AB3AE5" w:rsidRPr="00A4521A" w:rsidRDefault="00AB3AE5" w:rsidP="00AB3AE5">
      <w:pPr>
        <w:spacing w:before="240" w:after="240" w:line="360" w:lineRule="auto"/>
        <w:jc w:val="both"/>
        <w:rPr>
          <w:rFonts w:ascii="Palatino Linotype" w:hAnsi="Palatino Linotype"/>
        </w:rPr>
      </w:pPr>
      <w:r w:rsidRPr="00A4521A">
        <w:rPr>
          <w:rFonts w:ascii="Palatino Linotype" w:hAnsi="Palatino Linotype" w:cs="Arial"/>
        </w:rPr>
        <w:t>En relación directa con ello, los Lineamientos en estudio</w:t>
      </w:r>
      <w:r w:rsidRPr="00A4521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B3AE5" w:rsidRPr="00A4521A" w14:paraId="5E71E408" w14:textId="77777777" w:rsidTr="00850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CFF606E" w14:textId="77777777" w:rsidR="00AB3AE5" w:rsidRPr="00A4521A" w:rsidRDefault="00AB3AE5" w:rsidP="00850346">
            <w:pPr>
              <w:jc w:val="center"/>
              <w:rPr>
                <w:rFonts w:ascii="Palatino Linotype" w:hAnsi="Palatino Linotype"/>
                <w:b w:val="0"/>
                <w:sz w:val="12"/>
                <w:szCs w:val="12"/>
              </w:rPr>
            </w:pPr>
            <w:r w:rsidRPr="00A4521A">
              <w:rPr>
                <w:rFonts w:ascii="Palatino Linotype" w:hAnsi="Palatino Linotype"/>
                <w:b w:val="0"/>
                <w:sz w:val="12"/>
                <w:szCs w:val="12"/>
              </w:rPr>
              <w:t>Parcial</w:t>
            </w:r>
          </w:p>
        </w:tc>
        <w:tc>
          <w:tcPr>
            <w:tcW w:w="4414" w:type="dxa"/>
            <w:gridSpan w:val="2"/>
          </w:tcPr>
          <w:p w14:paraId="2C2339EC" w14:textId="77777777" w:rsidR="00AB3AE5" w:rsidRPr="00A4521A" w:rsidRDefault="00AB3AE5" w:rsidP="0085034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4521A">
              <w:rPr>
                <w:rFonts w:ascii="Palatino Linotype" w:hAnsi="Palatino Linotype"/>
                <w:b w:val="0"/>
                <w:sz w:val="12"/>
                <w:szCs w:val="12"/>
              </w:rPr>
              <w:t>Total</w:t>
            </w:r>
          </w:p>
        </w:tc>
      </w:tr>
      <w:tr w:rsidR="00AB3AE5" w:rsidRPr="00A4521A" w14:paraId="57F021C2"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245E3D1" w14:textId="77777777" w:rsidR="00AB3AE5" w:rsidRPr="00A4521A" w:rsidRDefault="00AB3AE5" w:rsidP="00850346">
            <w:pPr>
              <w:jc w:val="center"/>
              <w:rPr>
                <w:rFonts w:ascii="Palatino Linotype" w:hAnsi="Palatino Linotype"/>
                <w:b w:val="0"/>
                <w:sz w:val="12"/>
                <w:szCs w:val="12"/>
              </w:rPr>
            </w:pPr>
            <w:r w:rsidRPr="00A4521A">
              <w:rPr>
                <w:rFonts w:ascii="Palatino Linotype" w:hAnsi="Palatino Linotype"/>
                <w:b w:val="0"/>
                <w:sz w:val="12"/>
                <w:szCs w:val="12"/>
              </w:rPr>
              <w:t>Concepto</w:t>
            </w:r>
          </w:p>
        </w:tc>
        <w:tc>
          <w:tcPr>
            <w:tcW w:w="3568" w:type="dxa"/>
          </w:tcPr>
          <w:p w14:paraId="5E41ABC1" w14:textId="77777777" w:rsidR="00AB3AE5" w:rsidRPr="00A4521A" w:rsidRDefault="00AB3AE5" w:rsidP="008503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c>
          <w:tcPr>
            <w:tcW w:w="968" w:type="dxa"/>
          </w:tcPr>
          <w:p w14:paraId="1866FB5C" w14:textId="77777777" w:rsidR="00AB3AE5" w:rsidRPr="00A4521A" w:rsidRDefault="00AB3AE5" w:rsidP="008503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Concepto</w:t>
            </w:r>
          </w:p>
        </w:tc>
        <w:tc>
          <w:tcPr>
            <w:tcW w:w="3446" w:type="dxa"/>
          </w:tcPr>
          <w:p w14:paraId="41C5AFA5" w14:textId="77777777" w:rsidR="00AB3AE5" w:rsidRPr="00A4521A" w:rsidRDefault="00AB3AE5" w:rsidP="008503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r>
      <w:tr w:rsidR="00AB3AE5" w:rsidRPr="00A4521A" w14:paraId="28CEF13B" w14:textId="77777777" w:rsidTr="00850346">
        <w:tc>
          <w:tcPr>
            <w:cnfStyle w:val="001000000000" w:firstRow="0" w:lastRow="0" w:firstColumn="1" w:lastColumn="0" w:oddVBand="0" w:evenVBand="0" w:oddHBand="0" w:evenHBand="0" w:firstRowFirstColumn="0" w:firstRowLastColumn="0" w:lastRowFirstColumn="0" w:lastRowLastColumn="0"/>
            <w:tcW w:w="8828" w:type="dxa"/>
            <w:gridSpan w:val="4"/>
          </w:tcPr>
          <w:p w14:paraId="324C00FE" w14:textId="77777777" w:rsidR="00AB3AE5" w:rsidRPr="00A4521A" w:rsidRDefault="00AB3AE5" w:rsidP="00850346">
            <w:pPr>
              <w:jc w:val="center"/>
              <w:rPr>
                <w:rFonts w:ascii="Palatino Linotype" w:hAnsi="Palatino Linotype"/>
                <w:b w:val="0"/>
                <w:sz w:val="12"/>
                <w:szCs w:val="12"/>
              </w:rPr>
            </w:pPr>
            <w:r w:rsidRPr="00A4521A">
              <w:rPr>
                <w:rFonts w:ascii="Palatino Linotype" w:hAnsi="Palatino Linotype"/>
                <w:b w:val="0"/>
                <w:sz w:val="12"/>
                <w:szCs w:val="12"/>
              </w:rPr>
              <w:t>Sello oficial o logotipo del sujeto obligado</w:t>
            </w:r>
          </w:p>
        </w:tc>
      </w:tr>
      <w:tr w:rsidR="00AB3AE5" w:rsidRPr="00A4521A" w14:paraId="7380D1F6"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093FEC"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Fecha de clasificación</w:t>
            </w:r>
          </w:p>
        </w:tc>
        <w:tc>
          <w:tcPr>
            <w:tcW w:w="3568" w:type="dxa"/>
          </w:tcPr>
          <w:p w14:paraId="4BE61242"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c>
          <w:tcPr>
            <w:tcW w:w="968" w:type="dxa"/>
          </w:tcPr>
          <w:p w14:paraId="5457396E"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clasificación</w:t>
            </w:r>
          </w:p>
        </w:tc>
        <w:tc>
          <w:tcPr>
            <w:tcW w:w="3446" w:type="dxa"/>
          </w:tcPr>
          <w:p w14:paraId="3143076E"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r>
      <w:tr w:rsidR="00AB3AE5" w:rsidRPr="00A4521A" w14:paraId="4A00DF50"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3003C3C1"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lastRenderedPageBreak/>
              <w:t>Área</w:t>
            </w:r>
          </w:p>
        </w:tc>
        <w:tc>
          <w:tcPr>
            <w:tcW w:w="3568" w:type="dxa"/>
          </w:tcPr>
          <w:p w14:paraId="1B79807B"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del cual es titular quien clasifica.</w:t>
            </w:r>
          </w:p>
        </w:tc>
        <w:tc>
          <w:tcPr>
            <w:tcW w:w="968" w:type="dxa"/>
          </w:tcPr>
          <w:p w14:paraId="1F42BF75"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Área</w:t>
            </w:r>
          </w:p>
        </w:tc>
        <w:tc>
          <w:tcPr>
            <w:tcW w:w="3446" w:type="dxa"/>
          </w:tcPr>
          <w:p w14:paraId="5EB7BE00"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 la cual es el titular quien clasifica.</w:t>
            </w:r>
          </w:p>
        </w:tc>
      </w:tr>
      <w:tr w:rsidR="00AB3AE5" w:rsidRPr="00A4521A" w14:paraId="44E33EB4"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83EDAF"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Información reservada</w:t>
            </w:r>
          </w:p>
        </w:tc>
        <w:tc>
          <w:tcPr>
            <w:tcW w:w="3568" w:type="dxa"/>
          </w:tcPr>
          <w:p w14:paraId="46422273"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2306161"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Reservado</w:t>
            </w:r>
          </w:p>
        </w:tc>
        <w:tc>
          <w:tcPr>
            <w:tcW w:w="3446" w:type="dxa"/>
          </w:tcPr>
          <w:p w14:paraId="4514AAA4"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RESERVADA.</w:t>
            </w:r>
          </w:p>
        </w:tc>
      </w:tr>
      <w:tr w:rsidR="00AB3AE5" w:rsidRPr="00A4521A" w14:paraId="11B8BFFB"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5CE95329"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7E282894"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5A9AA0D"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Periodo de reserva</w:t>
            </w:r>
          </w:p>
        </w:tc>
        <w:tc>
          <w:tcPr>
            <w:tcW w:w="3446" w:type="dxa"/>
          </w:tcPr>
          <w:p w14:paraId="38EDB154"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B3AE5" w:rsidRPr="00A4521A" w14:paraId="25473BFA"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A9B933"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Ampliación del periodo de reserva</w:t>
            </w:r>
          </w:p>
        </w:tc>
        <w:tc>
          <w:tcPr>
            <w:tcW w:w="3568" w:type="dxa"/>
          </w:tcPr>
          <w:p w14:paraId="4532E27F"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C27FD79"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3533F4E8"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sustenta la reserva.</w:t>
            </w:r>
          </w:p>
        </w:tc>
      </w:tr>
      <w:tr w:rsidR="00AB3AE5" w:rsidRPr="00A4521A" w14:paraId="54338160"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38D4BB8A"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Confidencial</w:t>
            </w:r>
          </w:p>
        </w:tc>
        <w:tc>
          <w:tcPr>
            <w:tcW w:w="3568" w:type="dxa"/>
          </w:tcPr>
          <w:p w14:paraId="542B6F2E"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1550D95"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Ampliación del periodo de reserva</w:t>
            </w:r>
          </w:p>
        </w:tc>
        <w:tc>
          <w:tcPr>
            <w:tcW w:w="3446" w:type="dxa"/>
          </w:tcPr>
          <w:p w14:paraId="56F6C6BF"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B3AE5" w:rsidRPr="00A4521A" w14:paraId="2796540D"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6F7209B"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61AAC741"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FAAE67F"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Confidencial</w:t>
            </w:r>
          </w:p>
        </w:tc>
        <w:tc>
          <w:tcPr>
            <w:tcW w:w="3446" w:type="dxa"/>
          </w:tcPr>
          <w:p w14:paraId="0A5986D5"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CONFIDENCIAL.</w:t>
            </w:r>
          </w:p>
        </w:tc>
      </w:tr>
      <w:tr w:rsidR="00AB3AE5" w:rsidRPr="00A4521A" w14:paraId="622506C4"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4D2332D1"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Rúbrica del titular del área</w:t>
            </w:r>
          </w:p>
        </w:tc>
        <w:tc>
          <w:tcPr>
            <w:tcW w:w="3568" w:type="dxa"/>
          </w:tcPr>
          <w:p w14:paraId="5A614953"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c>
          <w:tcPr>
            <w:tcW w:w="968" w:type="dxa"/>
          </w:tcPr>
          <w:p w14:paraId="6146E757"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7825EDE9"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B3AE5" w:rsidRPr="00A4521A" w14:paraId="33C7C0FD"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181889C"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Fecha de desclasificación</w:t>
            </w:r>
          </w:p>
        </w:tc>
        <w:tc>
          <w:tcPr>
            <w:tcW w:w="3568" w:type="dxa"/>
          </w:tcPr>
          <w:p w14:paraId="2162A8BB"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 el documento.</w:t>
            </w:r>
          </w:p>
        </w:tc>
        <w:tc>
          <w:tcPr>
            <w:tcW w:w="968" w:type="dxa"/>
          </w:tcPr>
          <w:p w14:paraId="60EFE287"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del titular del área</w:t>
            </w:r>
          </w:p>
        </w:tc>
        <w:tc>
          <w:tcPr>
            <w:tcW w:w="3446" w:type="dxa"/>
          </w:tcPr>
          <w:p w14:paraId="6DD231A7"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r>
      <w:tr w:rsidR="00AB3AE5" w:rsidRPr="00A4521A" w14:paraId="6F7BD966"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1143845A" w14:textId="77777777" w:rsidR="00AB3AE5" w:rsidRPr="00A4521A" w:rsidRDefault="00AB3AE5" w:rsidP="00850346">
            <w:pPr>
              <w:jc w:val="both"/>
              <w:rPr>
                <w:rFonts w:ascii="Palatino Linotype" w:hAnsi="Palatino Linotype"/>
                <w:b w:val="0"/>
                <w:sz w:val="12"/>
                <w:szCs w:val="12"/>
              </w:rPr>
            </w:pPr>
            <w:r w:rsidRPr="00A4521A">
              <w:rPr>
                <w:rFonts w:ascii="Palatino Linotype" w:hAnsi="Palatino Linotype"/>
                <w:b w:val="0"/>
                <w:sz w:val="12"/>
                <w:szCs w:val="12"/>
              </w:rPr>
              <w:t>Rúbrica y cargo del servidor público</w:t>
            </w:r>
          </w:p>
        </w:tc>
        <w:tc>
          <w:tcPr>
            <w:tcW w:w="3568" w:type="dxa"/>
          </w:tcPr>
          <w:p w14:paraId="66392D63"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c>
          <w:tcPr>
            <w:tcW w:w="968" w:type="dxa"/>
          </w:tcPr>
          <w:p w14:paraId="3A8F0DC0"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desclasificación</w:t>
            </w:r>
          </w:p>
        </w:tc>
        <w:tc>
          <w:tcPr>
            <w:tcW w:w="3446" w:type="dxa"/>
          </w:tcPr>
          <w:p w14:paraId="1D0F4FFA"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w:t>
            </w:r>
          </w:p>
        </w:tc>
      </w:tr>
      <w:tr w:rsidR="00AB3AE5" w:rsidRPr="00A4521A" w14:paraId="7F4D2E86" w14:textId="77777777" w:rsidTr="00850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D500501" w14:textId="77777777" w:rsidR="00AB3AE5" w:rsidRPr="00A4521A" w:rsidRDefault="00AB3AE5" w:rsidP="00850346">
            <w:pPr>
              <w:jc w:val="both"/>
              <w:rPr>
                <w:rFonts w:ascii="Palatino Linotype" w:hAnsi="Palatino Linotype"/>
                <w:sz w:val="12"/>
                <w:szCs w:val="12"/>
              </w:rPr>
            </w:pPr>
          </w:p>
        </w:tc>
        <w:tc>
          <w:tcPr>
            <w:tcW w:w="3568" w:type="dxa"/>
          </w:tcPr>
          <w:p w14:paraId="01DCE763"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12A5635C"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Partes o secciones reservadas o confidenciales</w:t>
            </w:r>
          </w:p>
        </w:tc>
        <w:tc>
          <w:tcPr>
            <w:tcW w:w="3446" w:type="dxa"/>
          </w:tcPr>
          <w:p w14:paraId="6DE18235" w14:textId="77777777" w:rsidR="00AB3AE5" w:rsidRPr="00A4521A" w:rsidRDefault="00AB3AE5" w:rsidP="008503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En caso que una vez desclasificado el expediente, </w:t>
            </w:r>
            <w:proofErr w:type="spellStart"/>
            <w:r w:rsidRPr="00A4521A">
              <w:rPr>
                <w:rFonts w:ascii="Palatino Linotype" w:hAnsi="Palatino Linotype"/>
                <w:sz w:val="12"/>
                <w:szCs w:val="12"/>
              </w:rPr>
              <w:t>subsistanpartes</w:t>
            </w:r>
            <w:proofErr w:type="spellEnd"/>
            <w:r w:rsidRPr="00A4521A">
              <w:rPr>
                <w:rFonts w:ascii="Palatino Linotype" w:hAnsi="Palatino Linotype"/>
                <w:sz w:val="12"/>
                <w:szCs w:val="12"/>
              </w:rPr>
              <w:t xml:space="preserve"> o secciones del mismo reservadas o confidenciales, se señalará este hecho.</w:t>
            </w:r>
          </w:p>
        </w:tc>
      </w:tr>
      <w:tr w:rsidR="00AB3AE5" w:rsidRPr="00A4521A" w14:paraId="3DEA23C3" w14:textId="77777777" w:rsidTr="00850346">
        <w:tc>
          <w:tcPr>
            <w:cnfStyle w:val="001000000000" w:firstRow="0" w:lastRow="0" w:firstColumn="1" w:lastColumn="0" w:oddVBand="0" w:evenVBand="0" w:oddHBand="0" w:evenHBand="0" w:firstRowFirstColumn="0" w:firstRowLastColumn="0" w:lastRowFirstColumn="0" w:lastRowLastColumn="0"/>
            <w:tcW w:w="846" w:type="dxa"/>
          </w:tcPr>
          <w:p w14:paraId="4EFED3DF" w14:textId="77777777" w:rsidR="00AB3AE5" w:rsidRPr="00A4521A" w:rsidRDefault="00AB3AE5" w:rsidP="00850346">
            <w:pPr>
              <w:jc w:val="both"/>
              <w:rPr>
                <w:rFonts w:ascii="Palatino Linotype" w:hAnsi="Palatino Linotype"/>
                <w:sz w:val="12"/>
                <w:szCs w:val="12"/>
              </w:rPr>
            </w:pPr>
          </w:p>
        </w:tc>
        <w:tc>
          <w:tcPr>
            <w:tcW w:w="3568" w:type="dxa"/>
          </w:tcPr>
          <w:p w14:paraId="21130255"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14D3511"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y cargo del servidor público</w:t>
            </w:r>
          </w:p>
        </w:tc>
        <w:tc>
          <w:tcPr>
            <w:tcW w:w="3446" w:type="dxa"/>
          </w:tcPr>
          <w:p w14:paraId="39F9C43D" w14:textId="77777777" w:rsidR="00AB3AE5" w:rsidRPr="00A4521A" w:rsidRDefault="00AB3AE5" w:rsidP="008503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r>
    </w:tbl>
    <w:p w14:paraId="5A6AD43E" w14:textId="77777777" w:rsidR="00AB3AE5" w:rsidRPr="00A4521A" w:rsidRDefault="00AB3AE5" w:rsidP="00AB3AE5">
      <w:pPr>
        <w:spacing w:before="240" w:after="240" w:line="360" w:lineRule="auto"/>
        <w:jc w:val="both"/>
        <w:rPr>
          <w:rFonts w:ascii="Palatino Linotype" w:hAnsi="Palatino Linotype" w:cs="Arial"/>
        </w:rPr>
      </w:pPr>
      <w:r w:rsidRPr="00A4521A">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9C67F5" w14:textId="14184FDE" w:rsidR="002C3471" w:rsidRPr="00AB3AE5" w:rsidRDefault="00AB3AE5" w:rsidP="003C1C07">
      <w:pPr>
        <w:spacing w:before="240" w:after="240" w:line="360" w:lineRule="auto"/>
        <w:jc w:val="both"/>
        <w:rPr>
          <w:rFonts w:ascii="Palatino Linotype" w:eastAsia="Arial" w:hAnsi="Palatino Linotype" w:cs="Arial"/>
        </w:rPr>
      </w:pPr>
      <w:r w:rsidRPr="00735C40">
        <w:rPr>
          <w:rFonts w:ascii="Palatino Linotype" w:eastAsia="Arial" w:hAnsi="Palatino Linotype" w:cs="Arial"/>
        </w:rPr>
        <w:lastRenderedPageBreak/>
        <w:t xml:space="preserve">En consecuencia, resulta fundado el motivo de inconformidad plateado por el particular, lo que permite determinar que es procedente </w:t>
      </w:r>
      <w:r w:rsidR="00735C40">
        <w:rPr>
          <w:rFonts w:ascii="Palatino Linotype" w:eastAsia="Arial" w:hAnsi="Palatino Linotype" w:cs="Arial"/>
        </w:rPr>
        <w:t>modific</w:t>
      </w:r>
      <w:r w:rsidRPr="00735C40">
        <w:rPr>
          <w:rFonts w:ascii="Palatino Linotype" w:eastAsia="Arial" w:hAnsi="Palatino Linotype" w:cs="Arial"/>
        </w:rPr>
        <w:t xml:space="preserve">ar la respuesta de la </w:t>
      </w:r>
      <w:r w:rsidR="00B57620" w:rsidRPr="00735C40">
        <w:rPr>
          <w:rFonts w:ascii="Palatino Linotype" w:eastAsia="Arial" w:hAnsi="Palatino Linotype" w:cs="Arial"/>
        </w:rPr>
        <w:t>Universidad Politécnica del Valle de Toluca</w:t>
      </w:r>
      <w:r w:rsidRPr="00735C40">
        <w:rPr>
          <w:rFonts w:ascii="Palatino Linotype" w:eastAsia="Arial" w:hAnsi="Palatino Linotype" w:cs="Arial"/>
        </w:rPr>
        <w:t xml:space="preserve">, a efectos de ordenar bajo los principios de máxima publicidad y eficacia, </w:t>
      </w:r>
      <w:r w:rsidR="00885FCD" w:rsidRPr="00735C40">
        <w:rPr>
          <w:rFonts w:ascii="Palatino Linotype" w:eastAsia="Arial" w:hAnsi="Palatino Linotype" w:cs="Arial"/>
        </w:rPr>
        <w:t>l</w:t>
      </w:r>
      <w:r w:rsidRPr="00735C40">
        <w:rPr>
          <w:rFonts w:ascii="Palatino Linotype" w:hAnsi="Palatino Linotype"/>
          <w:color w:val="000000"/>
        </w:rPr>
        <w:t xml:space="preserve">os documentos que soporten el </w:t>
      </w:r>
      <w:r w:rsidR="00735C40" w:rsidRPr="00735C40">
        <w:rPr>
          <w:rFonts w:ascii="Palatino Linotype" w:hAnsi="Palatino Linotype"/>
          <w:lang w:val="es-MX" w:eastAsia="es-MX"/>
        </w:rPr>
        <w:t>personal que ha sido dado de baja por parte de la Universidad ante el ISSEMYM</w:t>
      </w:r>
      <w:r w:rsidRPr="00AB3AE5">
        <w:rPr>
          <w:rFonts w:ascii="Palatino Linotype" w:eastAsia="Arial" w:hAnsi="Palatino Linotype" w:cs="Arial"/>
        </w:rPr>
        <w:t xml:space="preserve">, en </w:t>
      </w:r>
      <w:r w:rsidR="00885FCD">
        <w:rPr>
          <w:rFonts w:ascii="Palatino Linotype" w:eastAsia="Arial" w:hAnsi="Palatino Linotype" w:cs="Arial"/>
        </w:rPr>
        <w:t xml:space="preserve">su </w:t>
      </w:r>
      <w:r w:rsidRPr="00AB3AE5">
        <w:rPr>
          <w:rFonts w:ascii="Palatino Linotype" w:eastAsia="Arial" w:hAnsi="Palatino Linotype" w:cs="Arial"/>
        </w:rPr>
        <w:t xml:space="preserve">versión publica </w:t>
      </w:r>
      <w:r w:rsidR="00E843B1">
        <w:rPr>
          <w:rFonts w:ascii="Palatino Linotype" w:eastAsia="Arial" w:hAnsi="Palatino Linotype" w:cs="Arial"/>
        </w:rPr>
        <w:t xml:space="preserve">correcta, dejando a la vista el numero de referencia y el sello digital, </w:t>
      </w:r>
      <w:r w:rsidR="00885FCD" w:rsidRPr="00A4521A">
        <w:rPr>
          <w:rFonts w:ascii="Palatino Linotype" w:hAnsi="Palatino Linotype" w:cs="Arial"/>
        </w:rPr>
        <w:t>acompaña</w:t>
      </w:r>
      <w:r w:rsidR="00885FCD">
        <w:rPr>
          <w:rFonts w:ascii="Palatino Linotype" w:hAnsi="Palatino Linotype" w:cs="Arial"/>
        </w:rPr>
        <w:t>da</w:t>
      </w:r>
      <w:r w:rsidR="00885FCD" w:rsidRPr="00A4521A">
        <w:rPr>
          <w:rFonts w:ascii="Palatino Linotype" w:hAnsi="Palatino Linotype" w:cs="Arial"/>
        </w:rPr>
        <w:t xml:space="preserve"> del Acuerdo del Comité de Transparencia</w:t>
      </w:r>
      <w:r w:rsidRPr="00AB3AE5">
        <w:rPr>
          <w:rFonts w:ascii="Palatino Linotype" w:eastAsia="Arial" w:hAnsi="Palatino Linotype" w:cs="Arial"/>
        </w:rPr>
        <w:t>. Bajo la premisa de que, es un deber de este Órgano Garante garantizar el efectivo acceso a toda persona a la información en posesión de cualquier entidad, de conformidad con los principios de universalidad, interdependencia, indivisibilidad y progresividad.</w:t>
      </w:r>
    </w:p>
    <w:p w14:paraId="05FED312" w14:textId="123566C9" w:rsidR="006D4834" w:rsidRPr="00090DE6" w:rsidRDefault="00D03E56" w:rsidP="00D03E56">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A</w:t>
      </w:r>
      <w:r w:rsidR="006D4834" w:rsidRPr="00090DE6">
        <w:rPr>
          <w:rFonts w:ascii="Palatino Linotype" w:hAnsi="Palatino Linotype" w:cs="Arial"/>
          <w:lang w:eastAsia="es-MX"/>
        </w:rPr>
        <w:t xml:space="preserve">sí, con fundamento en lo prescrito en los artículos 5 párrafos </w:t>
      </w:r>
      <w:r w:rsidR="008A3916">
        <w:rPr>
          <w:rFonts w:ascii="Palatino Linotype" w:hAnsi="Palatino Linotype"/>
          <w:shd w:val="clear" w:color="auto" w:fill="FFFFFF"/>
        </w:rPr>
        <w:t>vigésimo noveno, trigésimo y trigésimo primero</w:t>
      </w:r>
      <w:r w:rsidR="00ED0661" w:rsidRPr="00090DE6">
        <w:rPr>
          <w:rFonts w:ascii="Palatino Linotype" w:hAnsi="Palatino Linotype" w:cs="Arial"/>
          <w:lang w:eastAsia="es-MX"/>
        </w:rPr>
        <w:t xml:space="preserve"> </w:t>
      </w:r>
      <w:r w:rsidR="006D4834" w:rsidRPr="00090DE6">
        <w:rPr>
          <w:rFonts w:ascii="Palatino Linotype" w:hAnsi="Palatino Linotype" w:cs="Arial"/>
          <w:lang w:eastAsia="es-MX"/>
        </w:rPr>
        <w:t>de la Constitución Política del Estado Libre y Soberano de México; 2, fracción II; 29, 36 fracciones I y II; 176, 178, 179, fracción I, 181, 185 de la Ley de Transparencia y Acceso a la Información Pública del Estado de México y Municipios, este Pleno:</w:t>
      </w:r>
    </w:p>
    <w:p w14:paraId="1BF40DB1" w14:textId="77777777" w:rsidR="006D4834" w:rsidRPr="00090DE6" w:rsidRDefault="006D4834" w:rsidP="006D4834">
      <w:pPr>
        <w:shd w:val="clear" w:color="auto" w:fill="FFFFFF"/>
        <w:spacing w:before="240" w:after="240" w:line="360" w:lineRule="auto"/>
        <w:jc w:val="both"/>
        <w:rPr>
          <w:rFonts w:ascii="Palatino Linotype" w:hAnsi="Palatino Linotype" w:cs="Arial"/>
          <w:lang w:eastAsia="es-MX"/>
        </w:rPr>
      </w:pPr>
    </w:p>
    <w:p w14:paraId="7CBE02F5" w14:textId="77777777" w:rsidR="006D4834" w:rsidRPr="00090DE6" w:rsidRDefault="006D4834" w:rsidP="006D4834">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20847208" w14:textId="1DD3173D"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PRIMERO</w:t>
      </w:r>
      <w:r w:rsidRPr="00090DE6">
        <w:rPr>
          <w:rFonts w:ascii="Palatino Linotype" w:hAnsi="Palatino Linotype" w:cs="Arial"/>
          <w:sz w:val="28"/>
        </w:rPr>
        <w:t xml:space="preserve">. </w:t>
      </w:r>
      <w:r w:rsidRPr="00090DE6">
        <w:rPr>
          <w:rFonts w:ascii="Palatino Linotype" w:hAnsi="Palatino Linotype" w:cs="Arial"/>
        </w:rPr>
        <w:t xml:space="preserve">Resulta fundado el motivo de inconformidad planteado por el </w:t>
      </w:r>
      <w:r w:rsidRPr="00090DE6">
        <w:rPr>
          <w:rFonts w:ascii="Palatino Linotype" w:hAnsi="Palatino Linotype" w:cs="Arial"/>
          <w:b/>
          <w:i/>
        </w:rPr>
        <w:t xml:space="preserve">Recurrente </w:t>
      </w:r>
      <w:r w:rsidRPr="00090DE6">
        <w:rPr>
          <w:rFonts w:ascii="Palatino Linotype" w:hAnsi="Palatino Linotype" w:cs="Arial"/>
        </w:rPr>
        <w:t xml:space="preserve">en términos del Considerando CUARTO de la presente resolución, por lo que se determina </w:t>
      </w:r>
      <w:r w:rsidR="00735C40">
        <w:rPr>
          <w:rFonts w:ascii="Palatino Linotype" w:hAnsi="Palatino Linotype" w:cs="Arial"/>
          <w:b/>
        </w:rPr>
        <w:t>MODIFI</w:t>
      </w:r>
      <w:r w:rsidRPr="00090DE6">
        <w:rPr>
          <w:rFonts w:ascii="Palatino Linotype" w:hAnsi="Palatino Linotype" w:cs="Arial"/>
          <w:b/>
        </w:rPr>
        <w:t>CAR</w:t>
      </w:r>
      <w:r w:rsidRPr="00090DE6">
        <w:rPr>
          <w:rFonts w:ascii="Palatino Linotype" w:hAnsi="Palatino Linotype" w:cs="Arial"/>
        </w:rPr>
        <w:t xml:space="preserve"> la respuesta emitida por el </w:t>
      </w:r>
      <w:r w:rsidR="00B57620">
        <w:rPr>
          <w:rFonts w:ascii="Palatino Linotype" w:hAnsi="Palatino Linotype" w:cs="Arial"/>
        </w:rPr>
        <w:t>Universidad Politécnica del Valle de Toluca</w:t>
      </w:r>
      <w:r w:rsidRPr="00090DE6">
        <w:rPr>
          <w:rFonts w:ascii="Palatino Linotype" w:hAnsi="Palatino Linotype" w:cs="Arial"/>
        </w:rPr>
        <w:t>.</w:t>
      </w:r>
    </w:p>
    <w:p w14:paraId="14176EA8" w14:textId="7712D89E"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lastRenderedPageBreak/>
        <w:t xml:space="preserve">SEGUNDO.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00B57620">
        <w:rPr>
          <w:rFonts w:ascii="Palatino Linotype" w:hAnsi="Palatino Linotype" w:cs="Arial"/>
          <w:b/>
        </w:rPr>
        <w:t>Universidad Politécnica del Valle de Toluca</w:t>
      </w:r>
      <w:r w:rsidRPr="00090DE6">
        <w:rPr>
          <w:rFonts w:ascii="Palatino Linotype" w:hAnsi="Palatino Linotype" w:cs="Arial"/>
          <w:b/>
        </w:rPr>
        <w:t xml:space="preserve">, </w:t>
      </w:r>
      <w:r w:rsidRPr="00090DE6">
        <w:rPr>
          <w:rFonts w:ascii="Palatino Linotype" w:hAnsi="Palatino Linotype" w:cs="Arial"/>
        </w:rPr>
        <w:t xml:space="preserve">Sujeto Obligado, atienda la solicitud de información </w:t>
      </w:r>
      <w:r w:rsidR="00794323" w:rsidRPr="00090DE6">
        <w:rPr>
          <w:rFonts w:ascii="Palatino Linotype" w:hAnsi="Palatino Linotype" w:cs="Arial"/>
        </w:rPr>
        <w:t xml:space="preserve">número </w:t>
      </w:r>
      <w:r w:rsidR="00B57620">
        <w:rPr>
          <w:rFonts w:ascii="Palatino Linotype" w:hAnsi="Palatino Linotype" w:cs="Arial"/>
          <w:b/>
        </w:rPr>
        <w:t>00175/UPVT/IP/2021</w:t>
      </w:r>
      <w:r w:rsidRPr="00090DE6">
        <w:rPr>
          <w:rFonts w:ascii="Palatino Linotype" w:hAnsi="Palatino Linotype"/>
          <w:bCs/>
        </w:rPr>
        <w:t xml:space="preserve">, y </w:t>
      </w:r>
      <w:r>
        <w:rPr>
          <w:rFonts w:ascii="Palatino Linotype" w:hAnsi="Palatino Linotype" w:cs="Arial"/>
        </w:rPr>
        <w:t xml:space="preserve">haga entrega vía </w:t>
      </w:r>
      <w:r w:rsidR="00AD1D63">
        <w:rPr>
          <w:rFonts w:ascii="Palatino Linotype" w:hAnsi="Palatino Linotype" w:cs="Arial"/>
        </w:rPr>
        <w:t xml:space="preserve">SAIMEX, </w:t>
      </w:r>
      <w:r w:rsidR="00AD1D63" w:rsidRPr="00090DE6">
        <w:rPr>
          <w:rFonts w:ascii="Palatino Linotype" w:hAnsi="Palatino Linotype" w:cs="Arial"/>
        </w:rPr>
        <w:t>en</w:t>
      </w:r>
      <w:r w:rsidRPr="00090DE6">
        <w:rPr>
          <w:rFonts w:ascii="Palatino Linotype" w:hAnsi="Palatino Linotype" w:cs="Arial"/>
        </w:rPr>
        <w:t xml:space="preserve"> términos del Considerando CUARTO de esta resolución, lo siguiente:</w:t>
      </w:r>
    </w:p>
    <w:p w14:paraId="653AEE03" w14:textId="2FFC3AFC" w:rsidR="005804D1" w:rsidRPr="003F1D28" w:rsidRDefault="003F1D28" w:rsidP="001A7D98">
      <w:pPr>
        <w:pStyle w:val="Prrafodelista"/>
        <w:numPr>
          <w:ilvl w:val="0"/>
          <w:numId w:val="37"/>
        </w:numPr>
        <w:tabs>
          <w:tab w:val="left" w:pos="8080"/>
        </w:tabs>
        <w:spacing w:after="120" w:line="360" w:lineRule="auto"/>
        <w:jc w:val="both"/>
        <w:rPr>
          <w:rFonts w:ascii="Palatino Linotype" w:hAnsi="Palatino Linotype"/>
          <w:b/>
        </w:rPr>
      </w:pPr>
      <w:r w:rsidRPr="003F1D28">
        <w:rPr>
          <w:rFonts w:ascii="Palatino Linotype" w:hAnsi="Palatino Linotype"/>
          <w:b/>
          <w:lang w:val="es-MX" w:eastAsia="es-MX"/>
        </w:rPr>
        <w:t>Histórico de personal que ha sido dado de baja por parte de la Universidad ante el ISSEMYM</w:t>
      </w:r>
      <w:r w:rsidR="00735C40" w:rsidRPr="003F1D28">
        <w:rPr>
          <w:rFonts w:ascii="Palatino Linotype" w:hAnsi="Palatino Linotype"/>
          <w:b/>
          <w:color w:val="000000"/>
        </w:rPr>
        <w:t xml:space="preserve">, </w:t>
      </w:r>
      <w:r>
        <w:rPr>
          <w:rFonts w:ascii="Palatino Linotype" w:hAnsi="Palatino Linotype"/>
          <w:b/>
        </w:rPr>
        <w:t xml:space="preserve">por el periodo comprendido del catorce de noviembre de dos mil seis al </w:t>
      </w:r>
      <w:r w:rsidR="00735C40" w:rsidRPr="003F1D28">
        <w:rPr>
          <w:rFonts w:ascii="Palatino Linotype" w:hAnsi="Palatino Linotype"/>
          <w:b/>
        </w:rPr>
        <w:t>veintiuno de abril del dos mil veintiuno.</w:t>
      </w:r>
    </w:p>
    <w:p w14:paraId="5A0E101B" w14:textId="618F012B" w:rsidR="00885FCD" w:rsidRPr="00885FCD" w:rsidRDefault="00885FCD" w:rsidP="00885FCD">
      <w:pPr>
        <w:tabs>
          <w:tab w:val="left" w:pos="8080"/>
        </w:tabs>
        <w:spacing w:after="120"/>
        <w:jc w:val="both"/>
        <w:rPr>
          <w:rFonts w:ascii="Palatino Linotype" w:hAnsi="Palatino Linotype"/>
          <w:i/>
          <w:sz w:val="20"/>
          <w:szCs w:val="20"/>
        </w:rPr>
      </w:pPr>
      <w:r w:rsidRPr="00885FCD">
        <w:rPr>
          <w:rFonts w:ascii="Palatino Linotype" w:hAnsi="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14:paraId="77AB5244" w14:textId="035EC1BC" w:rsidR="006D4834" w:rsidRDefault="006D4834" w:rsidP="005804D1">
      <w:pPr>
        <w:spacing w:before="240" w:after="240" w:line="360" w:lineRule="auto"/>
        <w:jc w:val="both"/>
        <w:rPr>
          <w:rFonts w:ascii="Palatino Linotype" w:hAnsi="Palatino Linotype" w:cs="Arial"/>
          <w:lang w:val="es-MX" w:eastAsia="es-MX"/>
        </w:rPr>
      </w:pPr>
      <w:r w:rsidRPr="00090DE6">
        <w:rPr>
          <w:rFonts w:ascii="Palatino Linotype" w:hAnsi="Palatino Linotype" w:cs="Arial"/>
          <w:b/>
          <w:sz w:val="28"/>
          <w:szCs w:val="28"/>
          <w:lang w:val="es-MX" w:eastAsia="es-MX"/>
        </w:rPr>
        <w:t xml:space="preserve">TERCERO.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1D2EB5">
        <w:rPr>
          <w:rFonts w:ascii="Palatino Linotype" w:hAnsi="Palatino Linotype" w:cs="Arial"/>
          <w:lang w:val="es-MX" w:eastAsia="es-MX"/>
        </w:rPr>
        <w:t>veinte</w:t>
      </w:r>
      <w:r w:rsidRPr="00090DE6">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01B5FF7F" w14:textId="77777777" w:rsidR="00DD2460" w:rsidRPr="00C90B72" w:rsidRDefault="00DD2460" w:rsidP="00DD2460">
      <w:pPr>
        <w:spacing w:line="360" w:lineRule="auto"/>
        <w:jc w:val="both"/>
        <w:rPr>
          <w:rFonts w:ascii="Palatino Linotype" w:hAnsi="Palatino Linotype" w:cs="Arial"/>
          <w:bCs/>
        </w:rPr>
      </w:pPr>
      <w:r w:rsidRPr="00A4521A">
        <w:rPr>
          <w:rFonts w:ascii="Palatino Linotype" w:hAnsi="Palatino Linotype" w:cs="Arial"/>
          <w:b/>
          <w:sz w:val="28"/>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7FF896" w14:textId="0D5FBC60" w:rsidR="006D4834" w:rsidRDefault="00DD2460" w:rsidP="006D4834">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006D4834" w:rsidRPr="00090DE6">
        <w:rPr>
          <w:rFonts w:ascii="Palatino Linotype" w:hAnsi="Palatino Linotype" w:cs="Arial"/>
          <w:b/>
          <w:sz w:val="28"/>
          <w:szCs w:val="28"/>
          <w:lang w:val="es-MX" w:eastAsia="es-MX"/>
        </w:rPr>
        <w:t xml:space="preserve">. </w:t>
      </w:r>
      <w:r w:rsidR="006D4834" w:rsidRPr="00090DE6">
        <w:rPr>
          <w:rFonts w:ascii="Palatino Linotype" w:hAnsi="Palatino Linotype" w:cs="Arial"/>
          <w:b/>
          <w:lang w:val="es-MX" w:eastAsia="es-MX"/>
        </w:rPr>
        <w:t xml:space="preserve">Notifíquese, </w:t>
      </w:r>
      <w:r w:rsidR="006D4834" w:rsidRPr="00090DE6">
        <w:rPr>
          <w:rFonts w:ascii="Palatino Linotype" w:hAnsi="Palatino Linotype" w:cs="Arial"/>
          <w:lang w:val="es-MX" w:eastAsia="es-MX"/>
        </w:rPr>
        <w:t xml:space="preserve">al recurrente la presente resolución, así como que podrá impugnarla vía Juicio de Amparo en los términos de las leyes aplicables, de </w:t>
      </w:r>
      <w:r w:rsidR="006D4834" w:rsidRPr="00090DE6">
        <w:rPr>
          <w:rFonts w:ascii="Palatino Linotype" w:hAnsi="Palatino Linotype" w:cs="Arial"/>
          <w:lang w:val="es-MX" w:eastAsia="es-MX"/>
        </w:rPr>
        <w:lastRenderedPageBreak/>
        <w:t xml:space="preserve">conformidad con lo establecido en el artículo 196 de la Ley de Transparencia y Acceso a la Información Pública del Estado de México y Municipios. </w:t>
      </w:r>
    </w:p>
    <w:p w14:paraId="4453F8E6" w14:textId="0AFAC4CC" w:rsidR="00090DE6" w:rsidRDefault="00E843B1" w:rsidP="00090DE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B06B2">
        <w:rPr>
          <w:rFonts w:ascii="Palatino Linotype" w:hAnsi="Palatino Linotype" w:cs="Arial"/>
        </w:rPr>
        <w:t xml:space="preserve"> EMITIENDO OPINIÓN PARTICULAR</w:t>
      </w:r>
      <w:r w:rsidRPr="00E843B1">
        <w:rPr>
          <w:rFonts w:ascii="Palatino Linotype" w:hAnsi="Palatino Linotype" w:cs="Arial"/>
        </w:rPr>
        <w:t>, LUIS GUSTAVO PARRA NORIEGA Y GUADALUPE RAMÍREZ PEÑA</w:t>
      </w:r>
      <w:r w:rsidR="00090DE6" w:rsidRPr="00201EE7">
        <w:rPr>
          <w:rFonts w:ascii="Palatino Linotype" w:hAnsi="Palatino Linotype" w:cs="Arial"/>
        </w:rPr>
        <w:t xml:space="preserve">; EN LA </w:t>
      </w:r>
      <w:r w:rsidR="008A3916">
        <w:rPr>
          <w:rFonts w:ascii="Palatino Linotype" w:hAnsi="Palatino Linotype" w:cs="Arial"/>
        </w:rPr>
        <w:t>TRIGÉSIMA</w:t>
      </w:r>
      <w:r w:rsidR="00090DE6" w:rsidRPr="00201EE7">
        <w:rPr>
          <w:rFonts w:ascii="Palatino Linotype" w:hAnsi="Palatino Linotype" w:cs="Arial"/>
        </w:rPr>
        <w:t xml:space="preserve"> SESIÓN ORDINARIA CELEBRADA EL </w:t>
      </w:r>
      <w:r w:rsidR="008A3916">
        <w:rPr>
          <w:rFonts w:ascii="Palatino Linotype" w:hAnsi="Palatino Linotype" w:cs="Arial"/>
        </w:rPr>
        <w:t>PRIMERO DE SEPTIEMBRE DE</w:t>
      </w:r>
      <w:r w:rsidR="00090DE6" w:rsidRPr="00201EE7">
        <w:rPr>
          <w:rFonts w:ascii="Palatino Linotype" w:hAnsi="Palatino Linotype" w:cs="Arial"/>
        </w:rPr>
        <w:t>L DOS MIL VEINT</w:t>
      </w:r>
      <w:r w:rsidR="00BC5040">
        <w:rPr>
          <w:rFonts w:ascii="Palatino Linotype" w:hAnsi="Palatino Linotype" w:cs="Arial"/>
        </w:rPr>
        <w:t>IUNO</w:t>
      </w:r>
      <w:r w:rsidR="00090DE6" w:rsidRPr="00201EE7">
        <w:rPr>
          <w:rFonts w:ascii="Palatino Linotype" w:hAnsi="Palatino Linotype" w:cs="Arial"/>
        </w:rPr>
        <w:t>, ANTE EL SECRETARIO TÉCNICO DEL PLENO, ALEXIS TAPIA RAMÍREZ.</w:t>
      </w:r>
    </w:p>
    <w:p w14:paraId="36F96111" w14:textId="18D7F482" w:rsidR="00E41A80" w:rsidRDefault="00E41A80" w:rsidP="00090DE6">
      <w:pPr>
        <w:autoSpaceDE w:val="0"/>
        <w:autoSpaceDN w:val="0"/>
        <w:adjustRightInd w:val="0"/>
        <w:spacing w:before="240" w:after="240" w:line="360" w:lineRule="auto"/>
        <w:jc w:val="both"/>
        <w:rPr>
          <w:rFonts w:ascii="Palatino Linotype" w:hAnsi="Palatino Linotype" w:cs="Arial"/>
        </w:rPr>
      </w:pPr>
    </w:p>
    <w:p w14:paraId="2FCBDED8" w14:textId="77777777" w:rsidR="00E41A80" w:rsidRPr="00201EE7" w:rsidRDefault="00E41A80" w:rsidP="00090DE6">
      <w:pPr>
        <w:autoSpaceDE w:val="0"/>
        <w:autoSpaceDN w:val="0"/>
        <w:adjustRightInd w:val="0"/>
        <w:spacing w:before="240" w:after="240" w:line="360" w:lineRule="auto"/>
        <w:jc w:val="both"/>
        <w:rPr>
          <w:rFonts w:ascii="Palatino Linotype" w:hAnsi="Palatino Linotype" w:cs="Arial"/>
        </w:rPr>
      </w:pPr>
    </w:p>
    <w:sectPr w:rsidR="00E41A80" w:rsidRPr="00201EE7"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4F4D8" w14:textId="77777777" w:rsidR="008460BC" w:rsidRDefault="008460BC" w:rsidP="00C80F8C">
      <w:r>
        <w:separator/>
      </w:r>
    </w:p>
  </w:endnote>
  <w:endnote w:type="continuationSeparator" w:id="0">
    <w:p w14:paraId="61E0B48E" w14:textId="77777777" w:rsidR="008460BC" w:rsidRDefault="008460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59F218A" w:rsidR="00850346" w:rsidRDefault="0085034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5676">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5676">
      <w:rPr>
        <w:rFonts w:ascii="Arial" w:hAnsi="Arial" w:cs="Arial"/>
        <w:b/>
        <w:bCs/>
        <w:noProof/>
        <w:sz w:val="20"/>
        <w:szCs w:val="20"/>
      </w:rPr>
      <w:t>23</w:t>
    </w:r>
    <w:r>
      <w:rPr>
        <w:rFonts w:ascii="Arial" w:hAnsi="Arial" w:cs="Arial"/>
        <w:b/>
        <w:bCs/>
        <w:sz w:val="20"/>
        <w:szCs w:val="20"/>
      </w:rPr>
      <w:fldChar w:fldCharType="end"/>
    </w:r>
  </w:p>
  <w:p w14:paraId="1192A578" w14:textId="77777777" w:rsidR="00850346" w:rsidRDefault="00850346" w:rsidP="00935A0D">
    <w:pPr>
      <w:pStyle w:val="Piedepgina"/>
      <w:rPr>
        <w:rFonts w:ascii="Times New Roman" w:hAnsi="Times New Roman" w:cs="Times New Roman"/>
      </w:rPr>
    </w:pPr>
  </w:p>
  <w:p w14:paraId="14A770F8" w14:textId="77777777" w:rsidR="00850346" w:rsidRDefault="0085034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63AB286" w:rsidR="00850346" w:rsidRDefault="0085034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567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5676">
      <w:rPr>
        <w:rFonts w:ascii="Arial" w:hAnsi="Arial" w:cs="Arial"/>
        <w:b/>
        <w:bCs/>
        <w:noProof/>
        <w:sz w:val="20"/>
        <w:szCs w:val="20"/>
      </w:rPr>
      <w:t>23</w:t>
    </w:r>
    <w:r>
      <w:rPr>
        <w:rFonts w:ascii="Arial" w:hAnsi="Arial" w:cs="Arial"/>
        <w:b/>
        <w:bCs/>
        <w:sz w:val="20"/>
        <w:szCs w:val="20"/>
      </w:rPr>
      <w:fldChar w:fldCharType="end"/>
    </w:r>
  </w:p>
  <w:p w14:paraId="5D98ABD5" w14:textId="77777777" w:rsidR="00850346" w:rsidRDefault="008503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95D6C" w14:textId="77777777" w:rsidR="008460BC" w:rsidRDefault="008460BC" w:rsidP="00C80F8C">
      <w:r>
        <w:separator/>
      </w:r>
    </w:p>
  </w:footnote>
  <w:footnote w:type="continuationSeparator" w:id="0">
    <w:p w14:paraId="52CE6BD6" w14:textId="77777777" w:rsidR="008460BC" w:rsidRDefault="008460BC" w:rsidP="00C80F8C">
      <w:r>
        <w:continuationSeparator/>
      </w:r>
    </w:p>
  </w:footnote>
  <w:footnote w:id="1">
    <w:p w14:paraId="4CE07CCF" w14:textId="77777777" w:rsidR="00850346" w:rsidRPr="000E20F0" w:rsidRDefault="00850346" w:rsidP="00926A33">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0D67560E" w14:textId="53BF8E05" w:rsidR="00BE6EB6" w:rsidRPr="00BE6EB6" w:rsidRDefault="00BE6EB6" w:rsidP="00BE6EB6">
      <w:pPr>
        <w:pStyle w:val="Textonotapie"/>
        <w:jc w:val="both"/>
        <w:rPr>
          <w:rFonts w:ascii="Palatino Linotype" w:hAnsi="Palatino Linotype"/>
          <w:sz w:val="16"/>
          <w:szCs w:val="16"/>
        </w:rPr>
      </w:pPr>
      <w:r>
        <w:rPr>
          <w:rStyle w:val="Refdenotaalpie"/>
        </w:rPr>
        <w:footnoteRef/>
      </w:r>
      <w:r>
        <w:t xml:space="preserve"> </w:t>
      </w:r>
      <w:r w:rsidRPr="00BE6EB6">
        <w:rPr>
          <w:rFonts w:ascii="Palatino Linotype" w:hAnsi="Palatino Linotype"/>
          <w:sz w:val="16"/>
          <w:szCs w:val="16"/>
        </w:rPr>
        <w:t>14 de Noviembre de 2006, de conformidad con el artículo primero transitorio del Decreto por el que se Crea el Organismo Público Descentralizado de Carácter Estatal denominado Universidad Politécnica del Valle de Toluca, publicado en la “Gaceta de Gobierno” de fecha 13 de noviembre de 2006, el decreto entró en vigor al día siguiente de su publicación.</w:t>
      </w:r>
    </w:p>
  </w:footnote>
  <w:footnote w:id="3">
    <w:p w14:paraId="4E298BC4" w14:textId="0687D792" w:rsidR="00BE6EB6" w:rsidRPr="00E44B01" w:rsidRDefault="00BE6EB6" w:rsidP="00E44B01">
      <w:pPr>
        <w:pStyle w:val="Textonotapie"/>
        <w:jc w:val="both"/>
        <w:rPr>
          <w:rFonts w:ascii="Palatino Linotype" w:hAnsi="Palatino Linotype"/>
          <w:sz w:val="16"/>
          <w:szCs w:val="16"/>
        </w:rPr>
      </w:pPr>
      <w:r>
        <w:rPr>
          <w:rStyle w:val="Refdenotaalpie"/>
        </w:rPr>
        <w:footnoteRef/>
      </w:r>
      <w:r>
        <w:t xml:space="preserve"> </w:t>
      </w:r>
      <w:r w:rsidRPr="00E44B01">
        <w:rPr>
          <w:rFonts w:ascii="Palatino Linotype" w:hAnsi="Palatino Linotype"/>
          <w:sz w:val="16"/>
          <w:szCs w:val="16"/>
        </w:rPr>
        <w:t>La unidad responsable de la administración de documentos cuya consulta es esporádica y que permanecen en ella hasta su transferencia secundaria o baja documental;</w:t>
      </w:r>
    </w:p>
  </w:footnote>
  <w:footnote w:id="4">
    <w:p w14:paraId="73F06B6F" w14:textId="29746BE7" w:rsidR="00BE6EB6" w:rsidRPr="00E44B01" w:rsidRDefault="00BE6EB6" w:rsidP="00E44B01">
      <w:pPr>
        <w:pStyle w:val="Textonotapie"/>
        <w:jc w:val="both"/>
        <w:rPr>
          <w:rFonts w:ascii="Palatino Linotype" w:hAnsi="Palatino Linotype"/>
          <w:sz w:val="16"/>
          <w:szCs w:val="16"/>
        </w:rPr>
      </w:pPr>
      <w:r w:rsidRPr="00E44B01">
        <w:rPr>
          <w:rStyle w:val="Refdenotaalpie"/>
          <w:rFonts w:ascii="Palatino Linotype" w:hAnsi="Palatino Linotype"/>
          <w:sz w:val="16"/>
          <w:szCs w:val="16"/>
        </w:rPr>
        <w:footnoteRef/>
      </w:r>
      <w:r w:rsidRPr="00E44B01">
        <w:rPr>
          <w:rFonts w:ascii="Palatino Linotype" w:hAnsi="Palatino Linotype"/>
          <w:sz w:val="16"/>
          <w:szCs w:val="16"/>
        </w:rPr>
        <w:t xml:space="preserve"> La unidad responsable de la administración de los documentos de conservación permanente y que son fuente de acceso público</w:t>
      </w:r>
    </w:p>
  </w:footnote>
  <w:footnote w:id="5">
    <w:p w14:paraId="05A1F52D" w14:textId="5B0F6243" w:rsidR="00E44B01" w:rsidRPr="00E44B01" w:rsidRDefault="00E44B01" w:rsidP="00E44B01">
      <w:pPr>
        <w:pStyle w:val="Textonotapie"/>
        <w:jc w:val="both"/>
        <w:rPr>
          <w:rFonts w:ascii="Palatino Linotype" w:hAnsi="Palatino Linotype"/>
          <w:sz w:val="16"/>
          <w:szCs w:val="16"/>
        </w:rPr>
      </w:pPr>
      <w:r w:rsidRPr="00E44B01">
        <w:rPr>
          <w:rStyle w:val="Refdenotaalpie"/>
          <w:rFonts w:ascii="Palatino Linotype" w:hAnsi="Palatino Linotype"/>
          <w:sz w:val="16"/>
          <w:szCs w:val="16"/>
        </w:rPr>
        <w:footnoteRef/>
      </w:r>
      <w:r w:rsidRPr="00E44B01">
        <w:rPr>
          <w:rFonts w:ascii="Palatino Linotype" w:hAnsi="Palatino Linotype"/>
          <w:sz w:val="16"/>
          <w:szCs w:val="16"/>
        </w:rPr>
        <w:t xml:space="preserve">  La unidad responsable de la administración de documentos de uso cotidiano y necesario para el ejercicio de las atribuciones de una unidad administrativa, los cuales permanecen en ella hasta su transferencia primaria;</w:t>
      </w:r>
    </w:p>
  </w:footnote>
  <w:footnote w:id="6">
    <w:p w14:paraId="140EDE5D" w14:textId="77777777" w:rsidR="00E44B01" w:rsidRPr="00F445DF" w:rsidRDefault="00E44B01" w:rsidP="00E44B01">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7">
    <w:p w14:paraId="19753FAC" w14:textId="77777777" w:rsidR="00E44B01" w:rsidRPr="00391D13" w:rsidRDefault="00E44B01" w:rsidP="00E44B01">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8">
    <w:p w14:paraId="42187191" w14:textId="77777777" w:rsidR="00E44B01" w:rsidRPr="00CD7464" w:rsidRDefault="00E44B01" w:rsidP="00E44B01">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3EC9977A" w14:textId="77777777" w:rsidR="00E44B01" w:rsidRPr="00CD7464" w:rsidRDefault="00E44B01" w:rsidP="00E44B01">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9">
    <w:p w14:paraId="56C4E7F4" w14:textId="77777777" w:rsidR="00E44B01" w:rsidRPr="005A1B4B" w:rsidRDefault="00E44B01" w:rsidP="00E44B01">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0">
    <w:p w14:paraId="4F5D37A6" w14:textId="77777777" w:rsidR="00850346" w:rsidRPr="00E774D6" w:rsidRDefault="00850346" w:rsidP="00AB3AE5">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462CAF13" w14:textId="77777777" w:rsidR="00850346" w:rsidRPr="00E774D6" w:rsidRDefault="00850346" w:rsidP="00AB3AE5">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3B454897" w14:textId="77777777" w:rsidR="00850346" w:rsidRPr="00E774D6" w:rsidRDefault="00850346" w:rsidP="00AB3AE5">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6BFE96C7" w14:textId="77777777" w:rsidR="00850346" w:rsidRPr="00E774D6" w:rsidRDefault="00850346" w:rsidP="00AB3AE5">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11">
    <w:p w14:paraId="20EB4CE7" w14:textId="77777777" w:rsidR="00850346" w:rsidRPr="00810ACD" w:rsidRDefault="00850346" w:rsidP="00AB3AE5">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7DF1F016" w14:textId="77777777" w:rsidR="00850346" w:rsidRPr="00810ACD" w:rsidRDefault="00850346" w:rsidP="00AB3AE5">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850346" w14:paraId="6B4E3B81" w14:textId="77777777" w:rsidTr="009D4854">
      <w:tc>
        <w:tcPr>
          <w:tcW w:w="2553" w:type="dxa"/>
          <w:vAlign w:val="center"/>
          <w:hideMark/>
        </w:tcPr>
        <w:p w14:paraId="0ABBC6C0" w14:textId="1226DAAF" w:rsidR="00850346" w:rsidRDefault="0085034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D1B5D93" w:rsidR="00850346" w:rsidRDefault="00850346"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02894</w:t>
          </w:r>
          <w:r w:rsidRPr="006E5B3F">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p>
      </w:tc>
    </w:tr>
    <w:tr w:rsidR="00850346" w14:paraId="31CB780F" w14:textId="77777777" w:rsidTr="009D4854">
      <w:trPr>
        <w:trHeight w:val="228"/>
      </w:trPr>
      <w:tc>
        <w:tcPr>
          <w:tcW w:w="2553" w:type="dxa"/>
          <w:vAlign w:val="center"/>
          <w:hideMark/>
        </w:tcPr>
        <w:p w14:paraId="4F49CB4A" w14:textId="6966D32E" w:rsidR="00850346" w:rsidRDefault="0085034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45DFD34" w:rsidR="00850346" w:rsidRDefault="00850346" w:rsidP="00D96F9A">
          <w:pPr>
            <w:jc w:val="both"/>
            <w:rPr>
              <w:rFonts w:ascii="Palatino Linotype" w:hAnsi="Palatino Linotype"/>
              <w:b/>
              <w:sz w:val="22"/>
              <w:szCs w:val="22"/>
              <w:lang w:val="es-ES_tradnl"/>
            </w:rPr>
          </w:pPr>
          <w:r>
            <w:rPr>
              <w:rFonts w:ascii="Palatino Linotype" w:hAnsi="Palatino Linotype"/>
              <w:b/>
              <w:bCs/>
              <w:color w:val="000000"/>
            </w:rPr>
            <w:t>Universidad Politécnica del Valle de Toluca</w:t>
          </w:r>
        </w:p>
      </w:tc>
    </w:tr>
    <w:tr w:rsidR="00850346" w14:paraId="69050F56" w14:textId="77777777" w:rsidTr="009D4854">
      <w:tc>
        <w:tcPr>
          <w:tcW w:w="2553" w:type="dxa"/>
          <w:vAlign w:val="center"/>
          <w:hideMark/>
        </w:tcPr>
        <w:p w14:paraId="65C9B735" w14:textId="22702D27" w:rsidR="00850346" w:rsidRDefault="00850346" w:rsidP="00157858">
          <w:pPr>
            <w:rPr>
              <w:rFonts w:ascii="Palatino Linotype" w:hAnsi="Palatino Linotype"/>
              <w:b/>
              <w:sz w:val="22"/>
              <w:szCs w:val="22"/>
              <w:lang w:val="es-ES_tradnl"/>
            </w:rPr>
          </w:pPr>
          <w:r>
            <w:rPr>
              <w:rFonts w:ascii="Palatino Linotype" w:hAnsi="Palatino Linotype"/>
              <w:b/>
              <w:sz w:val="22"/>
              <w:szCs w:val="22"/>
              <w:lang w:val="es-ES_tradnl"/>
            </w:rPr>
            <w:t>Comisionad</w:t>
          </w:r>
          <w:r w:rsidR="00157858">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5AD9E569" w:rsidR="00850346" w:rsidRDefault="00157858"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77A037B3" w:rsidR="00850346" w:rsidRDefault="0085034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8F80C97">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50346" w:rsidRDefault="0085034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50346" w:rsidRDefault="0085034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850346" w14:paraId="477E149B" w14:textId="77777777" w:rsidTr="00C47D1B">
      <w:tc>
        <w:tcPr>
          <w:tcW w:w="2553" w:type="dxa"/>
          <w:vAlign w:val="center"/>
          <w:hideMark/>
        </w:tcPr>
        <w:p w14:paraId="5C0586E4" w14:textId="77777777" w:rsidR="00850346" w:rsidRDefault="0085034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CD8181C" w:rsidR="00850346" w:rsidRPr="004440AC" w:rsidRDefault="00850346" w:rsidP="00CA389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02894/INFOEM/IP/RR/2021</w:t>
          </w:r>
        </w:p>
      </w:tc>
    </w:tr>
    <w:tr w:rsidR="00850346" w14:paraId="5B5BE21C" w14:textId="77777777" w:rsidTr="00C47D1B">
      <w:tc>
        <w:tcPr>
          <w:tcW w:w="2553" w:type="dxa"/>
          <w:vAlign w:val="center"/>
          <w:hideMark/>
        </w:tcPr>
        <w:p w14:paraId="4AE96902" w14:textId="4E063913" w:rsidR="00850346" w:rsidRDefault="0085034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0298AF2" w:rsidR="00850346" w:rsidRPr="004440AC" w:rsidRDefault="00FA5676" w:rsidP="000D29F9">
          <w:pPr>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85034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85034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850346" w14:paraId="22601A11" w14:textId="77777777" w:rsidTr="00C47D1B">
      <w:trPr>
        <w:trHeight w:val="228"/>
      </w:trPr>
      <w:tc>
        <w:tcPr>
          <w:tcW w:w="2553" w:type="dxa"/>
          <w:vAlign w:val="center"/>
          <w:hideMark/>
        </w:tcPr>
        <w:p w14:paraId="6EFE221D" w14:textId="49C5F800" w:rsidR="00850346" w:rsidRDefault="0085034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740DF83" w:rsidR="00850346" w:rsidRPr="00731273" w:rsidRDefault="00850346" w:rsidP="00CA389D">
          <w:pPr>
            <w:jc w:val="both"/>
            <w:rPr>
              <w:rFonts w:ascii="Palatino Linotype" w:hAnsi="Palatino Linotype"/>
              <w:b/>
              <w:lang w:val="es-ES_tradnl"/>
            </w:rPr>
          </w:pPr>
          <w:r>
            <w:rPr>
              <w:rFonts w:ascii="Palatino Linotype" w:hAnsi="Palatino Linotype"/>
              <w:b/>
              <w:bCs/>
              <w:color w:val="000000"/>
            </w:rPr>
            <w:t>Universidad Politécnica del Valle de Toluca</w:t>
          </w:r>
        </w:p>
      </w:tc>
    </w:tr>
    <w:tr w:rsidR="00850346" w14:paraId="2D6C630E" w14:textId="77777777" w:rsidTr="00C47D1B">
      <w:tc>
        <w:tcPr>
          <w:tcW w:w="2553" w:type="dxa"/>
          <w:vAlign w:val="center"/>
          <w:hideMark/>
        </w:tcPr>
        <w:p w14:paraId="5BD4C6DB" w14:textId="7D72267D" w:rsidR="00850346" w:rsidRDefault="00850346"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157858">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47553428" w:rsidR="00850346" w:rsidRPr="004440AC" w:rsidRDefault="00157858"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850346" w:rsidRDefault="0085034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F68"/>
    <w:multiLevelType w:val="hybridMultilevel"/>
    <w:tmpl w:val="AD9E2A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05D85"/>
    <w:multiLevelType w:val="hybridMultilevel"/>
    <w:tmpl w:val="18444A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0C61EB"/>
    <w:multiLevelType w:val="hybridMultilevel"/>
    <w:tmpl w:val="8A58C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139B3"/>
    <w:multiLevelType w:val="hybridMultilevel"/>
    <w:tmpl w:val="A97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EF35D4"/>
    <w:multiLevelType w:val="hybridMultilevel"/>
    <w:tmpl w:val="A99C4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671F5"/>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95C29"/>
    <w:multiLevelType w:val="hybridMultilevel"/>
    <w:tmpl w:val="D152C8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E0058C"/>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6751E88"/>
    <w:multiLevelType w:val="hybridMultilevel"/>
    <w:tmpl w:val="37FC3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16" w15:restartNumberingAfterBreak="0">
    <w:nsid w:val="3FC951A8"/>
    <w:multiLevelType w:val="hybridMultilevel"/>
    <w:tmpl w:val="D6D89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646679"/>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2" w15:restartNumberingAfterBreak="0">
    <w:nsid w:val="54661DF6"/>
    <w:multiLevelType w:val="hybridMultilevel"/>
    <w:tmpl w:val="4CACC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A445D"/>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27"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CE4272"/>
    <w:multiLevelType w:val="hybridMultilevel"/>
    <w:tmpl w:val="7F461AC4"/>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9" w15:restartNumberingAfterBreak="0">
    <w:nsid w:val="67C23C5F"/>
    <w:multiLevelType w:val="hybridMultilevel"/>
    <w:tmpl w:val="972C0576"/>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1" w15:restartNumberingAfterBreak="0">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7B5868"/>
    <w:multiLevelType w:val="hybridMultilevel"/>
    <w:tmpl w:val="C980EDE0"/>
    <w:lvl w:ilvl="0" w:tplc="AAAC13C4">
      <w:start w:val="1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2B4F1C"/>
    <w:multiLevelType w:val="hybridMultilevel"/>
    <w:tmpl w:val="DF0692B2"/>
    <w:lvl w:ilvl="0" w:tplc="5A5627D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5" w15:restartNumberingAfterBreak="0">
    <w:nsid w:val="7B51316D"/>
    <w:multiLevelType w:val="hybridMultilevel"/>
    <w:tmpl w:val="FA5070A2"/>
    <w:lvl w:ilvl="0" w:tplc="0E543392">
      <w:start w:val="1"/>
      <w:numFmt w:val="decimal"/>
      <w:lvlText w:val="%1."/>
      <w:lvlJc w:val="left"/>
      <w:pPr>
        <w:ind w:left="720" w:hanging="360"/>
      </w:pPr>
      <w:rPr>
        <w:rFonts w:eastAsia="Times New Roman" w:cs="Times New Roman" w:hint="default"/>
        <w:b/>
        <w:i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8"/>
  </w:num>
  <w:num w:numId="3">
    <w:abstractNumId w:val="27"/>
  </w:num>
  <w:num w:numId="4">
    <w:abstractNumId w:val="6"/>
  </w:num>
  <w:num w:numId="5">
    <w:abstractNumId w:val="23"/>
  </w:num>
  <w:num w:numId="6">
    <w:abstractNumId w:val="19"/>
  </w:num>
  <w:num w:numId="7">
    <w:abstractNumId w:val="18"/>
  </w:num>
  <w:num w:numId="8">
    <w:abstractNumId w:val="32"/>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31"/>
  </w:num>
  <w:num w:numId="13">
    <w:abstractNumId w:val="24"/>
  </w:num>
  <w:num w:numId="14">
    <w:abstractNumId w:val="17"/>
  </w:num>
  <w:num w:numId="15">
    <w:abstractNumId w:val="7"/>
  </w:num>
  <w:num w:numId="16">
    <w:abstractNumId w:val="15"/>
  </w:num>
  <w:num w:numId="17">
    <w:abstractNumId w:val="34"/>
  </w:num>
  <w:num w:numId="18">
    <w:abstractNumId w:val="29"/>
  </w:num>
  <w:num w:numId="19">
    <w:abstractNumId w:val="13"/>
  </w:num>
  <w:num w:numId="20">
    <w:abstractNumId w:val="10"/>
  </w:num>
  <w:num w:numId="21">
    <w:abstractNumId w:val="25"/>
  </w:num>
  <w:num w:numId="22">
    <w:abstractNumId w:val="21"/>
  </w:num>
  <w:num w:numId="23">
    <w:abstractNumId w:val="30"/>
  </w:num>
  <w:num w:numId="24">
    <w:abstractNumId w:val="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8"/>
  </w:num>
  <w:num w:numId="28">
    <w:abstractNumId w:val="22"/>
  </w:num>
  <w:num w:numId="29">
    <w:abstractNumId w:val="16"/>
  </w:num>
  <w:num w:numId="30">
    <w:abstractNumId w:val="9"/>
  </w:num>
  <w:num w:numId="31">
    <w:abstractNumId w:val="5"/>
  </w:num>
  <w:num w:numId="32">
    <w:abstractNumId w:val="2"/>
  </w:num>
  <w:num w:numId="33">
    <w:abstractNumId w:val="0"/>
  </w:num>
  <w:num w:numId="34">
    <w:abstractNumId w:val="35"/>
  </w:num>
  <w:num w:numId="35">
    <w:abstractNumId w:val="1"/>
  </w:num>
  <w:num w:numId="36">
    <w:abstractNumId w:val="33"/>
  </w:num>
  <w:num w:numId="37">
    <w:abstractNumId w:val="4"/>
  </w:num>
  <w:num w:numId="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6B04"/>
    <w:rsid w:val="00017BE1"/>
    <w:rsid w:val="00020869"/>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60CD1"/>
    <w:rsid w:val="000646E3"/>
    <w:rsid w:val="000667E0"/>
    <w:rsid w:val="00070751"/>
    <w:rsid w:val="00070A81"/>
    <w:rsid w:val="00071462"/>
    <w:rsid w:val="00071A99"/>
    <w:rsid w:val="00072D06"/>
    <w:rsid w:val="00074010"/>
    <w:rsid w:val="000752EF"/>
    <w:rsid w:val="00075D7A"/>
    <w:rsid w:val="00076CAF"/>
    <w:rsid w:val="0007730D"/>
    <w:rsid w:val="00077347"/>
    <w:rsid w:val="00077788"/>
    <w:rsid w:val="00077C21"/>
    <w:rsid w:val="0008056E"/>
    <w:rsid w:val="00080FA4"/>
    <w:rsid w:val="0008195D"/>
    <w:rsid w:val="000824DB"/>
    <w:rsid w:val="00083058"/>
    <w:rsid w:val="0008542A"/>
    <w:rsid w:val="00085C91"/>
    <w:rsid w:val="00086E2B"/>
    <w:rsid w:val="00086EAA"/>
    <w:rsid w:val="00087498"/>
    <w:rsid w:val="00087514"/>
    <w:rsid w:val="00090DE6"/>
    <w:rsid w:val="00090EBA"/>
    <w:rsid w:val="00091682"/>
    <w:rsid w:val="000941E9"/>
    <w:rsid w:val="0009456A"/>
    <w:rsid w:val="00094E67"/>
    <w:rsid w:val="0009719D"/>
    <w:rsid w:val="00097C05"/>
    <w:rsid w:val="00097E96"/>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669E"/>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57858"/>
    <w:rsid w:val="00160E43"/>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3F2D"/>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A7D98"/>
    <w:rsid w:val="001B2379"/>
    <w:rsid w:val="001B3256"/>
    <w:rsid w:val="001B3C02"/>
    <w:rsid w:val="001B5099"/>
    <w:rsid w:val="001B5D52"/>
    <w:rsid w:val="001B6BDC"/>
    <w:rsid w:val="001B6E23"/>
    <w:rsid w:val="001C085B"/>
    <w:rsid w:val="001C0C3F"/>
    <w:rsid w:val="001C0DC2"/>
    <w:rsid w:val="001C1CAE"/>
    <w:rsid w:val="001C1DC2"/>
    <w:rsid w:val="001C304B"/>
    <w:rsid w:val="001C42A7"/>
    <w:rsid w:val="001C51A0"/>
    <w:rsid w:val="001C592C"/>
    <w:rsid w:val="001C5CD3"/>
    <w:rsid w:val="001D0631"/>
    <w:rsid w:val="001D064E"/>
    <w:rsid w:val="001D19AB"/>
    <w:rsid w:val="001D2EB5"/>
    <w:rsid w:val="001D45BB"/>
    <w:rsid w:val="001D54C7"/>
    <w:rsid w:val="001D63C6"/>
    <w:rsid w:val="001E0ACB"/>
    <w:rsid w:val="001E1B79"/>
    <w:rsid w:val="001E1C02"/>
    <w:rsid w:val="001E39C4"/>
    <w:rsid w:val="001E3CA0"/>
    <w:rsid w:val="001E45BD"/>
    <w:rsid w:val="001E5309"/>
    <w:rsid w:val="001E64BE"/>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5CB"/>
    <w:rsid w:val="00220958"/>
    <w:rsid w:val="00221545"/>
    <w:rsid w:val="00221D2C"/>
    <w:rsid w:val="0022285B"/>
    <w:rsid w:val="00222F65"/>
    <w:rsid w:val="00223D0B"/>
    <w:rsid w:val="00225FCB"/>
    <w:rsid w:val="002278E9"/>
    <w:rsid w:val="002279C4"/>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56DC"/>
    <w:rsid w:val="0028632C"/>
    <w:rsid w:val="002864D4"/>
    <w:rsid w:val="00286DC8"/>
    <w:rsid w:val="00290C42"/>
    <w:rsid w:val="00291435"/>
    <w:rsid w:val="00291A1A"/>
    <w:rsid w:val="00292786"/>
    <w:rsid w:val="002937C6"/>
    <w:rsid w:val="00293A2F"/>
    <w:rsid w:val="00293DE5"/>
    <w:rsid w:val="00293E07"/>
    <w:rsid w:val="00295078"/>
    <w:rsid w:val="00295960"/>
    <w:rsid w:val="00295C72"/>
    <w:rsid w:val="00295D44"/>
    <w:rsid w:val="00295DE7"/>
    <w:rsid w:val="0029670A"/>
    <w:rsid w:val="0029784C"/>
    <w:rsid w:val="00297AB0"/>
    <w:rsid w:val="002A0448"/>
    <w:rsid w:val="002A28FE"/>
    <w:rsid w:val="002A3A7A"/>
    <w:rsid w:val="002A43B0"/>
    <w:rsid w:val="002A5EA5"/>
    <w:rsid w:val="002A6CC7"/>
    <w:rsid w:val="002B0A1D"/>
    <w:rsid w:val="002B0EF8"/>
    <w:rsid w:val="002B1708"/>
    <w:rsid w:val="002B2467"/>
    <w:rsid w:val="002B393B"/>
    <w:rsid w:val="002B3E09"/>
    <w:rsid w:val="002B45EF"/>
    <w:rsid w:val="002B45F2"/>
    <w:rsid w:val="002B4950"/>
    <w:rsid w:val="002B62AF"/>
    <w:rsid w:val="002B7622"/>
    <w:rsid w:val="002B7C06"/>
    <w:rsid w:val="002C053B"/>
    <w:rsid w:val="002C0C63"/>
    <w:rsid w:val="002C0F55"/>
    <w:rsid w:val="002C0F5C"/>
    <w:rsid w:val="002C3471"/>
    <w:rsid w:val="002C4011"/>
    <w:rsid w:val="002C4537"/>
    <w:rsid w:val="002C4BC2"/>
    <w:rsid w:val="002C4CA2"/>
    <w:rsid w:val="002C4EBB"/>
    <w:rsid w:val="002C4F45"/>
    <w:rsid w:val="002C6154"/>
    <w:rsid w:val="002C6432"/>
    <w:rsid w:val="002C77E4"/>
    <w:rsid w:val="002C7992"/>
    <w:rsid w:val="002D02DC"/>
    <w:rsid w:val="002D07B6"/>
    <w:rsid w:val="002D1C7F"/>
    <w:rsid w:val="002D2486"/>
    <w:rsid w:val="002D24FC"/>
    <w:rsid w:val="002D46BF"/>
    <w:rsid w:val="002D508B"/>
    <w:rsid w:val="002D678A"/>
    <w:rsid w:val="002D6AD2"/>
    <w:rsid w:val="002E03BC"/>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1B13"/>
    <w:rsid w:val="003633DD"/>
    <w:rsid w:val="003655C3"/>
    <w:rsid w:val="00366C6B"/>
    <w:rsid w:val="00367BBB"/>
    <w:rsid w:val="00367CE5"/>
    <w:rsid w:val="00371ADB"/>
    <w:rsid w:val="0037225D"/>
    <w:rsid w:val="003729E8"/>
    <w:rsid w:val="00373299"/>
    <w:rsid w:val="00373579"/>
    <w:rsid w:val="00374C7D"/>
    <w:rsid w:val="00374F4D"/>
    <w:rsid w:val="003756E8"/>
    <w:rsid w:val="00375BB0"/>
    <w:rsid w:val="0037663F"/>
    <w:rsid w:val="00377B34"/>
    <w:rsid w:val="00382014"/>
    <w:rsid w:val="00384CD8"/>
    <w:rsid w:val="00387128"/>
    <w:rsid w:val="003A0C73"/>
    <w:rsid w:val="003A11DD"/>
    <w:rsid w:val="003A19EE"/>
    <w:rsid w:val="003A2B96"/>
    <w:rsid w:val="003A5891"/>
    <w:rsid w:val="003A5A6E"/>
    <w:rsid w:val="003A5E0F"/>
    <w:rsid w:val="003A6186"/>
    <w:rsid w:val="003A6534"/>
    <w:rsid w:val="003A7A6D"/>
    <w:rsid w:val="003A7E31"/>
    <w:rsid w:val="003A7F01"/>
    <w:rsid w:val="003B5CA9"/>
    <w:rsid w:val="003B62A2"/>
    <w:rsid w:val="003B6A7C"/>
    <w:rsid w:val="003B72E9"/>
    <w:rsid w:val="003C1C07"/>
    <w:rsid w:val="003C375A"/>
    <w:rsid w:val="003C4A79"/>
    <w:rsid w:val="003C5222"/>
    <w:rsid w:val="003C5460"/>
    <w:rsid w:val="003C55F5"/>
    <w:rsid w:val="003C5A54"/>
    <w:rsid w:val="003C5BCA"/>
    <w:rsid w:val="003C741C"/>
    <w:rsid w:val="003D1883"/>
    <w:rsid w:val="003D18A4"/>
    <w:rsid w:val="003D1ED1"/>
    <w:rsid w:val="003D25A4"/>
    <w:rsid w:val="003D489B"/>
    <w:rsid w:val="003D48A3"/>
    <w:rsid w:val="003D5101"/>
    <w:rsid w:val="003D61B0"/>
    <w:rsid w:val="003E0A67"/>
    <w:rsid w:val="003E0BFB"/>
    <w:rsid w:val="003E132A"/>
    <w:rsid w:val="003E5DB7"/>
    <w:rsid w:val="003E5F18"/>
    <w:rsid w:val="003E6D0E"/>
    <w:rsid w:val="003F09F0"/>
    <w:rsid w:val="003F1D28"/>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10650"/>
    <w:rsid w:val="004106C1"/>
    <w:rsid w:val="00411EA2"/>
    <w:rsid w:val="004126F7"/>
    <w:rsid w:val="00413FC2"/>
    <w:rsid w:val="004140B9"/>
    <w:rsid w:val="00414AE6"/>
    <w:rsid w:val="00414EE8"/>
    <w:rsid w:val="00416CFB"/>
    <w:rsid w:val="00417006"/>
    <w:rsid w:val="00417703"/>
    <w:rsid w:val="0042006D"/>
    <w:rsid w:val="00422DF8"/>
    <w:rsid w:val="0042327C"/>
    <w:rsid w:val="004235DA"/>
    <w:rsid w:val="00423786"/>
    <w:rsid w:val="00423D1D"/>
    <w:rsid w:val="00424241"/>
    <w:rsid w:val="004250F9"/>
    <w:rsid w:val="00425620"/>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D10"/>
    <w:rsid w:val="004401AD"/>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4D5F"/>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5FC"/>
    <w:rsid w:val="004D482C"/>
    <w:rsid w:val="004D5AC0"/>
    <w:rsid w:val="004D5FEF"/>
    <w:rsid w:val="004D67C1"/>
    <w:rsid w:val="004D764F"/>
    <w:rsid w:val="004E09B6"/>
    <w:rsid w:val="004E1EBF"/>
    <w:rsid w:val="004E27AD"/>
    <w:rsid w:val="004E37B6"/>
    <w:rsid w:val="004E3AFD"/>
    <w:rsid w:val="004E44D0"/>
    <w:rsid w:val="004E4987"/>
    <w:rsid w:val="004E585B"/>
    <w:rsid w:val="004F227C"/>
    <w:rsid w:val="004F2CC0"/>
    <w:rsid w:val="004F3B64"/>
    <w:rsid w:val="004F5243"/>
    <w:rsid w:val="004F64AD"/>
    <w:rsid w:val="004F7AC2"/>
    <w:rsid w:val="00501721"/>
    <w:rsid w:val="00502F66"/>
    <w:rsid w:val="00503053"/>
    <w:rsid w:val="00505B26"/>
    <w:rsid w:val="0050606E"/>
    <w:rsid w:val="00506258"/>
    <w:rsid w:val="00507449"/>
    <w:rsid w:val="00511092"/>
    <w:rsid w:val="00511602"/>
    <w:rsid w:val="005119CD"/>
    <w:rsid w:val="00513EAE"/>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1BA4"/>
    <w:rsid w:val="00552D59"/>
    <w:rsid w:val="00553835"/>
    <w:rsid w:val="00555595"/>
    <w:rsid w:val="005556E4"/>
    <w:rsid w:val="0055597D"/>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04D1"/>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3B9A"/>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A09"/>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4A1"/>
    <w:rsid w:val="00627B5D"/>
    <w:rsid w:val="006302FD"/>
    <w:rsid w:val="00631C13"/>
    <w:rsid w:val="00632401"/>
    <w:rsid w:val="006325BF"/>
    <w:rsid w:val="0063373B"/>
    <w:rsid w:val="00633AB7"/>
    <w:rsid w:val="00634485"/>
    <w:rsid w:val="006345A0"/>
    <w:rsid w:val="006354DC"/>
    <w:rsid w:val="00635EAF"/>
    <w:rsid w:val="00636313"/>
    <w:rsid w:val="00637C16"/>
    <w:rsid w:val="00637FDB"/>
    <w:rsid w:val="00641436"/>
    <w:rsid w:val="00641BB7"/>
    <w:rsid w:val="00643D6C"/>
    <w:rsid w:val="006445D2"/>
    <w:rsid w:val="00645887"/>
    <w:rsid w:val="0064661F"/>
    <w:rsid w:val="00647094"/>
    <w:rsid w:val="006505D9"/>
    <w:rsid w:val="00653030"/>
    <w:rsid w:val="00653686"/>
    <w:rsid w:val="00655B83"/>
    <w:rsid w:val="00655F33"/>
    <w:rsid w:val="00656AB0"/>
    <w:rsid w:val="00656C59"/>
    <w:rsid w:val="006578C2"/>
    <w:rsid w:val="00661AC2"/>
    <w:rsid w:val="00661B36"/>
    <w:rsid w:val="00662674"/>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1BF1"/>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F2C"/>
    <w:rsid w:val="006D4834"/>
    <w:rsid w:val="006D64F9"/>
    <w:rsid w:val="006D7A2C"/>
    <w:rsid w:val="006E13E8"/>
    <w:rsid w:val="006E1421"/>
    <w:rsid w:val="006E307D"/>
    <w:rsid w:val="006E34B6"/>
    <w:rsid w:val="006E3ED4"/>
    <w:rsid w:val="006E57B2"/>
    <w:rsid w:val="006E5B3F"/>
    <w:rsid w:val="006E5FB5"/>
    <w:rsid w:val="006E60D7"/>
    <w:rsid w:val="006E6278"/>
    <w:rsid w:val="006E6389"/>
    <w:rsid w:val="006E65F1"/>
    <w:rsid w:val="006E662E"/>
    <w:rsid w:val="006E69AA"/>
    <w:rsid w:val="006E6EAC"/>
    <w:rsid w:val="006F1806"/>
    <w:rsid w:val="006F1C74"/>
    <w:rsid w:val="006F29C3"/>
    <w:rsid w:val="006F2C9D"/>
    <w:rsid w:val="006F2EF4"/>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168A"/>
    <w:rsid w:val="0072562F"/>
    <w:rsid w:val="00725913"/>
    <w:rsid w:val="0072655F"/>
    <w:rsid w:val="00726DD1"/>
    <w:rsid w:val="00726FA5"/>
    <w:rsid w:val="00730313"/>
    <w:rsid w:val="00730BC4"/>
    <w:rsid w:val="00731273"/>
    <w:rsid w:val="00731D9B"/>
    <w:rsid w:val="00731DAB"/>
    <w:rsid w:val="00731F23"/>
    <w:rsid w:val="00732AE5"/>
    <w:rsid w:val="00733CB7"/>
    <w:rsid w:val="00734371"/>
    <w:rsid w:val="00734A8B"/>
    <w:rsid w:val="00735210"/>
    <w:rsid w:val="00735B0D"/>
    <w:rsid w:val="00735C40"/>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5299"/>
    <w:rsid w:val="00755944"/>
    <w:rsid w:val="00757444"/>
    <w:rsid w:val="00757D2A"/>
    <w:rsid w:val="00757F23"/>
    <w:rsid w:val="00761460"/>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61A"/>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112D"/>
    <w:rsid w:val="007D1598"/>
    <w:rsid w:val="007D1AB2"/>
    <w:rsid w:val="007D336B"/>
    <w:rsid w:val="007D5B23"/>
    <w:rsid w:val="007D7334"/>
    <w:rsid w:val="007D7BC8"/>
    <w:rsid w:val="007E07A7"/>
    <w:rsid w:val="007E0E1D"/>
    <w:rsid w:val="007E16B7"/>
    <w:rsid w:val="007E24F8"/>
    <w:rsid w:val="007E2D8C"/>
    <w:rsid w:val="007E3963"/>
    <w:rsid w:val="007E5CB2"/>
    <w:rsid w:val="007E64E0"/>
    <w:rsid w:val="007E6A21"/>
    <w:rsid w:val="007F18A3"/>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59C7"/>
    <w:rsid w:val="008367D9"/>
    <w:rsid w:val="00836AD8"/>
    <w:rsid w:val="00836DDE"/>
    <w:rsid w:val="00836EA1"/>
    <w:rsid w:val="00837520"/>
    <w:rsid w:val="00840982"/>
    <w:rsid w:val="00841722"/>
    <w:rsid w:val="00841B13"/>
    <w:rsid w:val="008422A0"/>
    <w:rsid w:val="0084270E"/>
    <w:rsid w:val="00842C37"/>
    <w:rsid w:val="008437F2"/>
    <w:rsid w:val="00843AB9"/>
    <w:rsid w:val="00843C46"/>
    <w:rsid w:val="008442E6"/>
    <w:rsid w:val="008460BC"/>
    <w:rsid w:val="00846339"/>
    <w:rsid w:val="00846E76"/>
    <w:rsid w:val="00850346"/>
    <w:rsid w:val="00850422"/>
    <w:rsid w:val="00850491"/>
    <w:rsid w:val="0085181E"/>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56D7"/>
    <w:rsid w:val="00876615"/>
    <w:rsid w:val="0088137B"/>
    <w:rsid w:val="008813ED"/>
    <w:rsid w:val="00882131"/>
    <w:rsid w:val="0088217A"/>
    <w:rsid w:val="008846F1"/>
    <w:rsid w:val="0088510A"/>
    <w:rsid w:val="0088524F"/>
    <w:rsid w:val="00885CAF"/>
    <w:rsid w:val="00885CB3"/>
    <w:rsid w:val="00885FCD"/>
    <w:rsid w:val="008860BB"/>
    <w:rsid w:val="00886BFC"/>
    <w:rsid w:val="00887493"/>
    <w:rsid w:val="008900BC"/>
    <w:rsid w:val="0089164B"/>
    <w:rsid w:val="00891989"/>
    <w:rsid w:val="0089236D"/>
    <w:rsid w:val="00892526"/>
    <w:rsid w:val="00892AFC"/>
    <w:rsid w:val="00892BC4"/>
    <w:rsid w:val="00893CC5"/>
    <w:rsid w:val="0089436A"/>
    <w:rsid w:val="008956BD"/>
    <w:rsid w:val="00895C62"/>
    <w:rsid w:val="008A0C05"/>
    <w:rsid w:val="008A0CFD"/>
    <w:rsid w:val="008A2018"/>
    <w:rsid w:val="008A3521"/>
    <w:rsid w:val="008A3916"/>
    <w:rsid w:val="008A42B0"/>
    <w:rsid w:val="008A4982"/>
    <w:rsid w:val="008A6085"/>
    <w:rsid w:val="008A663F"/>
    <w:rsid w:val="008A734C"/>
    <w:rsid w:val="008A7C97"/>
    <w:rsid w:val="008A7EBE"/>
    <w:rsid w:val="008B06B2"/>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28E6"/>
    <w:rsid w:val="008C3158"/>
    <w:rsid w:val="008C3963"/>
    <w:rsid w:val="008C4415"/>
    <w:rsid w:val="008C4CFE"/>
    <w:rsid w:val="008C57E4"/>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552"/>
    <w:rsid w:val="00917B8D"/>
    <w:rsid w:val="00917EB1"/>
    <w:rsid w:val="00921109"/>
    <w:rsid w:val="00921436"/>
    <w:rsid w:val="009224C5"/>
    <w:rsid w:val="00923433"/>
    <w:rsid w:val="009239BB"/>
    <w:rsid w:val="0092433B"/>
    <w:rsid w:val="00925CD5"/>
    <w:rsid w:val="00926A33"/>
    <w:rsid w:val="00926B57"/>
    <w:rsid w:val="00930F79"/>
    <w:rsid w:val="0093143C"/>
    <w:rsid w:val="00931A26"/>
    <w:rsid w:val="00931EE5"/>
    <w:rsid w:val="00931EF0"/>
    <w:rsid w:val="00932CFF"/>
    <w:rsid w:val="00932F08"/>
    <w:rsid w:val="00932FB2"/>
    <w:rsid w:val="009346F9"/>
    <w:rsid w:val="009355E6"/>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E79"/>
    <w:rsid w:val="00964F37"/>
    <w:rsid w:val="0096576D"/>
    <w:rsid w:val="00966926"/>
    <w:rsid w:val="00966C2B"/>
    <w:rsid w:val="00967C2E"/>
    <w:rsid w:val="00970046"/>
    <w:rsid w:val="00971134"/>
    <w:rsid w:val="00971434"/>
    <w:rsid w:val="009737A5"/>
    <w:rsid w:val="00974437"/>
    <w:rsid w:val="00974C3A"/>
    <w:rsid w:val="00975223"/>
    <w:rsid w:val="00975A2A"/>
    <w:rsid w:val="00975D23"/>
    <w:rsid w:val="00975EB9"/>
    <w:rsid w:val="009763B8"/>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3BD7"/>
    <w:rsid w:val="009969DF"/>
    <w:rsid w:val="009A00BC"/>
    <w:rsid w:val="009A07EA"/>
    <w:rsid w:val="009A0F6D"/>
    <w:rsid w:val="009A13F2"/>
    <w:rsid w:val="009A1902"/>
    <w:rsid w:val="009A1A3F"/>
    <w:rsid w:val="009A34EE"/>
    <w:rsid w:val="009A3ADA"/>
    <w:rsid w:val="009A4BD3"/>
    <w:rsid w:val="009A52D1"/>
    <w:rsid w:val="009A78A9"/>
    <w:rsid w:val="009A78F0"/>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6DAA"/>
    <w:rsid w:val="009F704F"/>
    <w:rsid w:val="00A00110"/>
    <w:rsid w:val="00A00BC6"/>
    <w:rsid w:val="00A014EE"/>
    <w:rsid w:val="00A037CB"/>
    <w:rsid w:val="00A0469A"/>
    <w:rsid w:val="00A04B89"/>
    <w:rsid w:val="00A04EB0"/>
    <w:rsid w:val="00A05063"/>
    <w:rsid w:val="00A075F7"/>
    <w:rsid w:val="00A076B7"/>
    <w:rsid w:val="00A11324"/>
    <w:rsid w:val="00A1290F"/>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717E4"/>
    <w:rsid w:val="00A744CF"/>
    <w:rsid w:val="00A757D4"/>
    <w:rsid w:val="00A767EF"/>
    <w:rsid w:val="00A76FB1"/>
    <w:rsid w:val="00A77111"/>
    <w:rsid w:val="00A81037"/>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AE5"/>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1D63"/>
    <w:rsid w:val="00AD2277"/>
    <w:rsid w:val="00AD598D"/>
    <w:rsid w:val="00AD5C04"/>
    <w:rsid w:val="00AD73C0"/>
    <w:rsid w:val="00AE013D"/>
    <w:rsid w:val="00AE34E5"/>
    <w:rsid w:val="00AE4286"/>
    <w:rsid w:val="00AE45EA"/>
    <w:rsid w:val="00AE5719"/>
    <w:rsid w:val="00AE5B7C"/>
    <w:rsid w:val="00AE73E2"/>
    <w:rsid w:val="00AF02C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69F5"/>
    <w:rsid w:val="00B16FF2"/>
    <w:rsid w:val="00B17A5B"/>
    <w:rsid w:val="00B21982"/>
    <w:rsid w:val="00B2362A"/>
    <w:rsid w:val="00B25866"/>
    <w:rsid w:val="00B25A6F"/>
    <w:rsid w:val="00B25BC6"/>
    <w:rsid w:val="00B270F3"/>
    <w:rsid w:val="00B316E2"/>
    <w:rsid w:val="00B322FC"/>
    <w:rsid w:val="00B33C2F"/>
    <w:rsid w:val="00B35432"/>
    <w:rsid w:val="00B373AD"/>
    <w:rsid w:val="00B41343"/>
    <w:rsid w:val="00B4134E"/>
    <w:rsid w:val="00B4137E"/>
    <w:rsid w:val="00B42775"/>
    <w:rsid w:val="00B42B2D"/>
    <w:rsid w:val="00B441CE"/>
    <w:rsid w:val="00B44DA3"/>
    <w:rsid w:val="00B5061D"/>
    <w:rsid w:val="00B5114C"/>
    <w:rsid w:val="00B518F7"/>
    <w:rsid w:val="00B51A2C"/>
    <w:rsid w:val="00B52026"/>
    <w:rsid w:val="00B5328A"/>
    <w:rsid w:val="00B5510F"/>
    <w:rsid w:val="00B57587"/>
    <w:rsid w:val="00B57620"/>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3135"/>
    <w:rsid w:val="00B95A00"/>
    <w:rsid w:val="00B96729"/>
    <w:rsid w:val="00BA00A9"/>
    <w:rsid w:val="00BA0426"/>
    <w:rsid w:val="00BA1854"/>
    <w:rsid w:val="00BA1B7A"/>
    <w:rsid w:val="00BA2EE9"/>
    <w:rsid w:val="00BA363C"/>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EB6"/>
    <w:rsid w:val="00BE732D"/>
    <w:rsid w:val="00BF0540"/>
    <w:rsid w:val="00BF0748"/>
    <w:rsid w:val="00BF330A"/>
    <w:rsid w:val="00BF42CF"/>
    <w:rsid w:val="00BF469C"/>
    <w:rsid w:val="00BF685A"/>
    <w:rsid w:val="00BF6B39"/>
    <w:rsid w:val="00C0130F"/>
    <w:rsid w:val="00C0590E"/>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6FF7"/>
    <w:rsid w:val="00C57553"/>
    <w:rsid w:val="00C6012D"/>
    <w:rsid w:val="00C61018"/>
    <w:rsid w:val="00C61355"/>
    <w:rsid w:val="00C636D0"/>
    <w:rsid w:val="00C66C9E"/>
    <w:rsid w:val="00C66CFB"/>
    <w:rsid w:val="00C673D1"/>
    <w:rsid w:val="00C67F2C"/>
    <w:rsid w:val="00C716E5"/>
    <w:rsid w:val="00C71A66"/>
    <w:rsid w:val="00C71FD4"/>
    <w:rsid w:val="00C731DC"/>
    <w:rsid w:val="00C7372B"/>
    <w:rsid w:val="00C73907"/>
    <w:rsid w:val="00C74C5A"/>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389D"/>
    <w:rsid w:val="00CA456C"/>
    <w:rsid w:val="00CA460D"/>
    <w:rsid w:val="00CA666E"/>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6DD4"/>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4EE8"/>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1A2"/>
    <w:rsid w:val="00D47351"/>
    <w:rsid w:val="00D473CC"/>
    <w:rsid w:val="00D47A9E"/>
    <w:rsid w:val="00D50580"/>
    <w:rsid w:val="00D50CDF"/>
    <w:rsid w:val="00D518E8"/>
    <w:rsid w:val="00D5257F"/>
    <w:rsid w:val="00D5288E"/>
    <w:rsid w:val="00D53645"/>
    <w:rsid w:val="00D547F7"/>
    <w:rsid w:val="00D553E6"/>
    <w:rsid w:val="00D562E7"/>
    <w:rsid w:val="00D5723A"/>
    <w:rsid w:val="00D63904"/>
    <w:rsid w:val="00D649B8"/>
    <w:rsid w:val="00D64A87"/>
    <w:rsid w:val="00D65DA3"/>
    <w:rsid w:val="00D66740"/>
    <w:rsid w:val="00D7015C"/>
    <w:rsid w:val="00D70B6F"/>
    <w:rsid w:val="00D71585"/>
    <w:rsid w:val="00D72B26"/>
    <w:rsid w:val="00D7492A"/>
    <w:rsid w:val="00D74BE9"/>
    <w:rsid w:val="00D75214"/>
    <w:rsid w:val="00D77B71"/>
    <w:rsid w:val="00D83512"/>
    <w:rsid w:val="00D83994"/>
    <w:rsid w:val="00D83CE5"/>
    <w:rsid w:val="00D85008"/>
    <w:rsid w:val="00D87A49"/>
    <w:rsid w:val="00D90475"/>
    <w:rsid w:val="00D9148A"/>
    <w:rsid w:val="00D91FB9"/>
    <w:rsid w:val="00D94DEE"/>
    <w:rsid w:val="00D950A6"/>
    <w:rsid w:val="00D950EC"/>
    <w:rsid w:val="00D956AA"/>
    <w:rsid w:val="00D95EF8"/>
    <w:rsid w:val="00D96F9A"/>
    <w:rsid w:val="00DA0B14"/>
    <w:rsid w:val="00DA0B77"/>
    <w:rsid w:val="00DA1064"/>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022"/>
    <w:rsid w:val="00DC7280"/>
    <w:rsid w:val="00DC752F"/>
    <w:rsid w:val="00DD0B9B"/>
    <w:rsid w:val="00DD0FEA"/>
    <w:rsid w:val="00DD1B85"/>
    <w:rsid w:val="00DD2460"/>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5BE"/>
    <w:rsid w:val="00DF0AB0"/>
    <w:rsid w:val="00DF0B40"/>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24A7"/>
    <w:rsid w:val="00E33369"/>
    <w:rsid w:val="00E3370D"/>
    <w:rsid w:val="00E34890"/>
    <w:rsid w:val="00E35635"/>
    <w:rsid w:val="00E36546"/>
    <w:rsid w:val="00E36E31"/>
    <w:rsid w:val="00E36F5E"/>
    <w:rsid w:val="00E4041D"/>
    <w:rsid w:val="00E40F62"/>
    <w:rsid w:val="00E41A80"/>
    <w:rsid w:val="00E41A85"/>
    <w:rsid w:val="00E423B1"/>
    <w:rsid w:val="00E430A9"/>
    <w:rsid w:val="00E43B4A"/>
    <w:rsid w:val="00E44B01"/>
    <w:rsid w:val="00E45F6B"/>
    <w:rsid w:val="00E46FEC"/>
    <w:rsid w:val="00E47425"/>
    <w:rsid w:val="00E50233"/>
    <w:rsid w:val="00E52878"/>
    <w:rsid w:val="00E52A5F"/>
    <w:rsid w:val="00E53A19"/>
    <w:rsid w:val="00E5452C"/>
    <w:rsid w:val="00E54F16"/>
    <w:rsid w:val="00E5532F"/>
    <w:rsid w:val="00E55E95"/>
    <w:rsid w:val="00E56D08"/>
    <w:rsid w:val="00E56D19"/>
    <w:rsid w:val="00E619AC"/>
    <w:rsid w:val="00E61E9D"/>
    <w:rsid w:val="00E61ECF"/>
    <w:rsid w:val="00E625A0"/>
    <w:rsid w:val="00E62DB9"/>
    <w:rsid w:val="00E640ED"/>
    <w:rsid w:val="00E64143"/>
    <w:rsid w:val="00E6514E"/>
    <w:rsid w:val="00E65A1F"/>
    <w:rsid w:val="00E65C80"/>
    <w:rsid w:val="00E66AC9"/>
    <w:rsid w:val="00E66CA0"/>
    <w:rsid w:val="00E71476"/>
    <w:rsid w:val="00E733A6"/>
    <w:rsid w:val="00E7373D"/>
    <w:rsid w:val="00E747D5"/>
    <w:rsid w:val="00E74EB3"/>
    <w:rsid w:val="00E75D14"/>
    <w:rsid w:val="00E805C5"/>
    <w:rsid w:val="00E81221"/>
    <w:rsid w:val="00E8169E"/>
    <w:rsid w:val="00E82030"/>
    <w:rsid w:val="00E82A53"/>
    <w:rsid w:val="00E8397B"/>
    <w:rsid w:val="00E83AF0"/>
    <w:rsid w:val="00E843B1"/>
    <w:rsid w:val="00E85072"/>
    <w:rsid w:val="00E85228"/>
    <w:rsid w:val="00E85BA8"/>
    <w:rsid w:val="00E86E4F"/>
    <w:rsid w:val="00E87ACA"/>
    <w:rsid w:val="00E906D5"/>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2D35"/>
    <w:rsid w:val="00EB32A5"/>
    <w:rsid w:val="00EB3E96"/>
    <w:rsid w:val="00EB4AF6"/>
    <w:rsid w:val="00EB57EC"/>
    <w:rsid w:val="00EB5BD5"/>
    <w:rsid w:val="00EB648C"/>
    <w:rsid w:val="00EC0103"/>
    <w:rsid w:val="00EC35B4"/>
    <w:rsid w:val="00EC3643"/>
    <w:rsid w:val="00EC692E"/>
    <w:rsid w:val="00ED05A8"/>
    <w:rsid w:val="00ED0661"/>
    <w:rsid w:val="00ED0FAD"/>
    <w:rsid w:val="00ED12AE"/>
    <w:rsid w:val="00ED3020"/>
    <w:rsid w:val="00ED4629"/>
    <w:rsid w:val="00ED4E84"/>
    <w:rsid w:val="00ED5C1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75DF7"/>
    <w:rsid w:val="00F80496"/>
    <w:rsid w:val="00F80729"/>
    <w:rsid w:val="00F80996"/>
    <w:rsid w:val="00F81DCD"/>
    <w:rsid w:val="00F82380"/>
    <w:rsid w:val="00F83EB5"/>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5676"/>
    <w:rsid w:val="00FA62D8"/>
    <w:rsid w:val="00FA7275"/>
    <w:rsid w:val="00FA7B5A"/>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AB"/>
    <w:rsid w:val="00FD7A33"/>
    <w:rsid w:val="00FD7CD2"/>
    <w:rsid w:val="00FE021A"/>
    <w:rsid w:val="00FE1A69"/>
    <w:rsid w:val="00FE1B57"/>
    <w:rsid w:val="00FE1F79"/>
    <w:rsid w:val="00FE43BA"/>
    <w:rsid w:val="00FE5006"/>
    <w:rsid w:val="00FE517E"/>
    <w:rsid w:val="00FE5219"/>
    <w:rsid w:val="00FE5747"/>
    <w:rsid w:val="00FE612F"/>
    <w:rsid w:val="00FE6C02"/>
    <w:rsid w:val="00FE71F9"/>
    <w:rsid w:val="00FF0383"/>
    <w:rsid w:val="00FF0FB1"/>
    <w:rsid w:val="00FF4376"/>
    <w:rsid w:val="00FF49E6"/>
    <w:rsid w:val="00FF5669"/>
    <w:rsid w:val="00FF5688"/>
    <w:rsid w:val="00FF607A"/>
    <w:rsid w:val="00FF6412"/>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7329066">
      <w:bodyDiv w:val="1"/>
      <w:marLeft w:val="0"/>
      <w:marRight w:val="0"/>
      <w:marTop w:val="0"/>
      <w:marBottom w:val="0"/>
      <w:divBdr>
        <w:top w:val="none" w:sz="0" w:space="0" w:color="auto"/>
        <w:left w:val="none" w:sz="0" w:space="0" w:color="auto"/>
        <w:bottom w:val="none" w:sz="0" w:space="0" w:color="auto"/>
        <w:right w:val="none" w:sz="0" w:space="0" w:color="auto"/>
      </w:divBdr>
      <w:divsChild>
        <w:div w:id="345601916">
          <w:marLeft w:val="0"/>
          <w:marRight w:val="0"/>
          <w:marTop w:val="0"/>
          <w:marBottom w:val="0"/>
          <w:divBdr>
            <w:top w:val="none" w:sz="0" w:space="0" w:color="auto"/>
            <w:left w:val="none" w:sz="0" w:space="0" w:color="auto"/>
            <w:bottom w:val="none" w:sz="0" w:space="0" w:color="auto"/>
            <w:right w:val="none" w:sz="0" w:space="0" w:color="auto"/>
          </w:divBdr>
          <w:divsChild>
            <w:div w:id="822818095">
              <w:marLeft w:val="0"/>
              <w:marRight w:val="480"/>
              <w:marTop w:val="0"/>
              <w:marBottom w:val="240"/>
              <w:divBdr>
                <w:top w:val="none" w:sz="0" w:space="0" w:color="auto"/>
                <w:left w:val="none" w:sz="0" w:space="0" w:color="auto"/>
                <w:bottom w:val="none" w:sz="0" w:space="0" w:color="auto"/>
                <w:right w:val="none" w:sz="0" w:space="0" w:color="auto"/>
              </w:divBdr>
            </w:div>
            <w:div w:id="149325455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635129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620137">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510132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1143411">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7911366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7893465">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0819828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1520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2928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2879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7A9F-FF4C-4CA3-BBCF-BBEE96FA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23</Pages>
  <Words>6129</Words>
  <Characters>33715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123</cp:revision>
  <cp:lastPrinted>2019-08-15T15:09:00Z</cp:lastPrinted>
  <dcterms:created xsi:type="dcterms:W3CDTF">2020-03-27T01:05:00Z</dcterms:created>
  <dcterms:modified xsi:type="dcterms:W3CDTF">2021-10-01T17:08:00Z</dcterms:modified>
</cp:coreProperties>
</file>