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D9632" w14:textId="77777777" w:rsidR="000248A9" w:rsidRPr="000248A9" w:rsidRDefault="000248A9" w:rsidP="00800EBE">
      <w:pPr>
        <w:spacing w:before="240" w:line="360" w:lineRule="auto"/>
        <w:contextualSpacing/>
        <w:jc w:val="both"/>
        <w:rPr>
          <w:rFonts w:ascii="Palatino Linotype" w:hAnsi="Palatino Linotype" w:cs="Tahoma"/>
          <w:b/>
        </w:rPr>
      </w:pPr>
      <w:r w:rsidRPr="000248A9">
        <w:rPr>
          <w:rFonts w:ascii="Palatino Linotype" w:hAnsi="Palatino Linotype" w:cs="Tahoma"/>
          <w:b/>
        </w:rPr>
        <w:t xml:space="preserve">OPINIÓN PARTICULAR QUE FORMULA EL COMISIONADO LUIS GUSTAVO PARRA NORIEGA, A LA RESOLUCIÓN DEL RECURSO DE REVISIÓN </w:t>
      </w:r>
      <w:r w:rsidR="00490073">
        <w:rPr>
          <w:rFonts w:ascii="Palatino Linotype" w:hAnsi="Palatino Linotype" w:cs="Tahoma"/>
          <w:b/>
        </w:rPr>
        <w:t>03183</w:t>
      </w:r>
      <w:r w:rsidRPr="000248A9">
        <w:rPr>
          <w:rFonts w:ascii="Palatino Linotype" w:hAnsi="Palatino Linotype" w:cs="Tahoma"/>
          <w:b/>
        </w:rPr>
        <w:t>/INFOEM/IP/RR/20</w:t>
      </w:r>
      <w:r w:rsidR="00490073">
        <w:rPr>
          <w:rFonts w:ascii="Palatino Linotype" w:hAnsi="Palatino Linotype" w:cs="Tahoma"/>
          <w:b/>
        </w:rPr>
        <w:t>21</w:t>
      </w:r>
      <w:r w:rsidRPr="000248A9">
        <w:rPr>
          <w:rFonts w:ascii="Palatino Linotype" w:hAnsi="Palatino Linotype" w:cs="Tahoma"/>
          <w:b/>
        </w:rPr>
        <w:t xml:space="preserve">, PROMOVIDO EN CONTRA DEL </w:t>
      </w:r>
      <w:r w:rsidR="009C7FF3" w:rsidRPr="009C7FF3">
        <w:rPr>
          <w:rFonts w:ascii="Palatino Linotype" w:hAnsi="Palatino Linotype" w:cs="Tahoma"/>
          <w:b/>
        </w:rPr>
        <w:t xml:space="preserve">AYUNTAMIENTO DE </w:t>
      </w:r>
      <w:r w:rsidR="00490073" w:rsidRPr="00490073">
        <w:rPr>
          <w:rFonts w:ascii="Palatino Linotype" w:hAnsi="Palatino Linotype" w:cs="Tahoma"/>
          <w:b/>
        </w:rPr>
        <w:t>JIQUIPILCO</w:t>
      </w:r>
      <w:r w:rsidR="009C7FF3">
        <w:rPr>
          <w:rFonts w:ascii="Palatino Linotype" w:hAnsi="Palatino Linotype" w:cs="Tahoma"/>
          <w:b/>
        </w:rPr>
        <w:t>.</w:t>
      </w:r>
    </w:p>
    <w:p w14:paraId="07B7D21C" w14:textId="77777777" w:rsidR="000248A9" w:rsidRDefault="000248A9" w:rsidP="00800EBE">
      <w:pPr>
        <w:spacing w:before="240" w:line="360" w:lineRule="auto"/>
        <w:contextualSpacing/>
        <w:jc w:val="both"/>
        <w:rPr>
          <w:rFonts w:ascii="Tahoma" w:hAnsi="Tahoma" w:cs="Tahoma"/>
          <w:b/>
          <w:sz w:val="24"/>
          <w:szCs w:val="24"/>
        </w:rPr>
      </w:pPr>
    </w:p>
    <w:p w14:paraId="32043CC3" w14:textId="77777777" w:rsidR="003053C0" w:rsidRPr="000248A9" w:rsidRDefault="009C7FF3" w:rsidP="00800EBE">
      <w:pPr>
        <w:spacing w:before="240" w:line="360" w:lineRule="auto"/>
        <w:contextualSpacing/>
        <w:jc w:val="both"/>
        <w:rPr>
          <w:rFonts w:ascii="Palatino Linotype" w:hAnsi="Palatino Linotype" w:cs="Tahoma"/>
        </w:rPr>
      </w:pPr>
      <w:r w:rsidRPr="009C7FF3">
        <w:rPr>
          <w:rFonts w:ascii="Palatino Linotype" w:hAnsi="Palatino Linotype" w:cs="Tahoma"/>
        </w:rPr>
        <w:t>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w:t>
      </w:r>
      <w:r w:rsidR="000248A9" w:rsidRPr="000248A9">
        <w:rPr>
          <w:rFonts w:ascii="Palatino Linotype" w:hAnsi="Palatino Linotype" w:cs="Tahoma"/>
        </w:rPr>
        <w:t xml:space="preserve">, emito la presente </w:t>
      </w:r>
      <w:r w:rsidR="000248A9" w:rsidRPr="000248A9">
        <w:rPr>
          <w:rFonts w:ascii="Palatino Linotype" w:hAnsi="Palatino Linotype" w:cs="Tahoma"/>
          <w:b/>
        </w:rPr>
        <w:t>Opinión Particular</w:t>
      </w:r>
      <w:r w:rsidR="000248A9" w:rsidRPr="000248A9">
        <w:rPr>
          <w:rFonts w:ascii="Palatino Linotype" w:hAnsi="Palatino Linotype" w:cs="Tahoma"/>
        </w:rPr>
        <w:t xml:space="preserve"> p</w:t>
      </w:r>
      <w:r w:rsidR="0065115D">
        <w:rPr>
          <w:rFonts w:ascii="Palatino Linotype" w:hAnsi="Palatino Linotype" w:cs="Tahoma"/>
        </w:rPr>
        <w:t xml:space="preserve">ara abordar los motivos por los cuales voté a favor de la </w:t>
      </w:r>
      <w:r w:rsidR="000248A9" w:rsidRPr="000248A9">
        <w:rPr>
          <w:rFonts w:ascii="Palatino Linotype" w:hAnsi="Palatino Linotype" w:cs="Tahoma"/>
        </w:rPr>
        <w:t xml:space="preserve">Resolución del Recurso de Revisión </w:t>
      </w:r>
      <w:r w:rsidR="00227540" w:rsidRPr="00227540">
        <w:rPr>
          <w:rFonts w:ascii="Palatino Linotype" w:hAnsi="Palatino Linotype" w:cs="Tahoma"/>
          <w:b/>
        </w:rPr>
        <w:t>0</w:t>
      </w:r>
      <w:r w:rsidR="00490073">
        <w:rPr>
          <w:rFonts w:ascii="Palatino Linotype" w:hAnsi="Palatino Linotype" w:cs="Tahoma"/>
          <w:b/>
        </w:rPr>
        <w:t>3183</w:t>
      </w:r>
      <w:r w:rsidR="00227540" w:rsidRPr="00227540">
        <w:rPr>
          <w:rFonts w:ascii="Palatino Linotype" w:hAnsi="Palatino Linotype" w:cs="Tahoma"/>
          <w:b/>
        </w:rPr>
        <w:t>/INFOEM/IP/RR/20</w:t>
      </w:r>
      <w:r w:rsidR="00490073">
        <w:rPr>
          <w:rFonts w:ascii="Palatino Linotype" w:hAnsi="Palatino Linotype" w:cs="Tahoma"/>
          <w:b/>
        </w:rPr>
        <w:t>21</w:t>
      </w:r>
      <w:r w:rsidR="000248A9" w:rsidRPr="000248A9">
        <w:rPr>
          <w:rFonts w:ascii="Palatino Linotype" w:hAnsi="Palatino Linotype" w:cs="Tahoma"/>
        </w:rPr>
        <w:t>.</w:t>
      </w:r>
    </w:p>
    <w:p w14:paraId="679BCE58" w14:textId="77777777" w:rsidR="000248A9" w:rsidRPr="004A74EE" w:rsidRDefault="000248A9" w:rsidP="00800EBE">
      <w:pPr>
        <w:spacing w:before="240" w:line="360" w:lineRule="auto"/>
        <w:contextualSpacing/>
        <w:jc w:val="both"/>
        <w:rPr>
          <w:rFonts w:ascii="Tahoma" w:hAnsi="Tahoma" w:cs="Tahoma"/>
          <w:sz w:val="24"/>
          <w:szCs w:val="24"/>
        </w:rPr>
      </w:pPr>
    </w:p>
    <w:p w14:paraId="5F47E713" w14:textId="5CC0E6D3" w:rsidR="008B5925" w:rsidRDefault="00884096" w:rsidP="00800EBE">
      <w:pPr>
        <w:spacing w:before="240" w:line="360" w:lineRule="auto"/>
        <w:contextualSpacing/>
        <w:jc w:val="both"/>
        <w:rPr>
          <w:rFonts w:ascii="Palatino Linotype" w:hAnsi="Palatino Linotype" w:cs="Tahoma"/>
        </w:rPr>
      </w:pPr>
      <w:r w:rsidRPr="00227540">
        <w:rPr>
          <w:rFonts w:ascii="Palatino Linotype" w:hAnsi="Palatino Linotype" w:cs="Tahoma"/>
        </w:rPr>
        <w:t>E</w:t>
      </w:r>
      <w:r w:rsidR="00015770" w:rsidRPr="00227540">
        <w:rPr>
          <w:rFonts w:ascii="Palatino Linotype" w:hAnsi="Palatino Linotype" w:cs="Tahoma"/>
        </w:rPr>
        <w:t>l R</w:t>
      </w:r>
      <w:r w:rsidR="003053C0" w:rsidRPr="00227540">
        <w:rPr>
          <w:rFonts w:ascii="Palatino Linotype" w:hAnsi="Palatino Linotype" w:cs="Tahoma"/>
        </w:rPr>
        <w:t>ecurso</w:t>
      </w:r>
      <w:r w:rsidR="00015770" w:rsidRPr="00227540">
        <w:rPr>
          <w:rFonts w:ascii="Palatino Linotype" w:hAnsi="Palatino Linotype" w:cs="Tahoma"/>
        </w:rPr>
        <w:t xml:space="preserve"> de Revisión que nos ocupa,</w:t>
      </w:r>
      <w:r w:rsidR="003053C0" w:rsidRPr="00227540">
        <w:rPr>
          <w:rFonts w:ascii="Palatino Linotype" w:hAnsi="Palatino Linotype" w:cs="Tahoma"/>
        </w:rPr>
        <w:t xml:space="preserve"> derivó de una so</w:t>
      </w:r>
      <w:r w:rsidR="000B0712">
        <w:rPr>
          <w:rFonts w:ascii="Palatino Linotype" w:hAnsi="Palatino Linotype" w:cs="Tahoma"/>
        </w:rPr>
        <w:t>licitud en la que el</w:t>
      </w:r>
      <w:r w:rsidR="003053C0" w:rsidRPr="00227540">
        <w:rPr>
          <w:rFonts w:ascii="Palatino Linotype" w:hAnsi="Palatino Linotype" w:cs="Tahoma"/>
        </w:rPr>
        <w:t xml:space="preserve"> </w:t>
      </w:r>
      <w:r w:rsidR="000B0712" w:rsidRPr="00227540">
        <w:rPr>
          <w:rFonts w:ascii="Palatino Linotype" w:hAnsi="Palatino Linotype" w:cs="Tahoma"/>
        </w:rPr>
        <w:t xml:space="preserve">Particular </w:t>
      </w:r>
      <w:r w:rsidR="003053C0" w:rsidRPr="00227540">
        <w:rPr>
          <w:rFonts w:ascii="Palatino Linotype" w:hAnsi="Palatino Linotype" w:cs="Tahoma"/>
        </w:rPr>
        <w:t xml:space="preserve">requirió al </w:t>
      </w:r>
      <w:r w:rsidR="00E45E8B" w:rsidRPr="000B0712">
        <w:rPr>
          <w:rFonts w:ascii="Palatino Linotype" w:hAnsi="Palatino Linotype" w:cs="Tahoma"/>
        </w:rPr>
        <w:t>Ayuntamiento</w:t>
      </w:r>
      <w:r w:rsidR="00E45E8B" w:rsidRPr="00E45E8B">
        <w:rPr>
          <w:rFonts w:ascii="Palatino Linotype" w:hAnsi="Palatino Linotype" w:cs="Tahoma"/>
          <w:b/>
        </w:rPr>
        <w:t xml:space="preserve"> </w:t>
      </w:r>
      <w:r w:rsidR="00E45E8B" w:rsidRPr="000B0712">
        <w:rPr>
          <w:rFonts w:ascii="Palatino Linotype" w:hAnsi="Palatino Linotype" w:cs="Tahoma"/>
        </w:rPr>
        <w:t xml:space="preserve">de </w:t>
      </w:r>
      <w:r w:rsidR="00490073">
        <w:rPr>
          <w:rFonts w:ascii="Palatino Linotype" w:hAnsi="Palatino Linotype" w:cs="Tahoma"/>
        </w:rPr>
        <w:t xml:space="preserve">Jiquipilco la evaluación a su </w:t>
      </w:r>
      <w:r w:rsidR="00630554">
        <w:rPr>
          <w:rFonts w:ascii="Palatino Linotype" w:hAnsi="Palatino Linotype" w:cs="Tahoma"/>
        </w:rPr>
        <w:t>P</w:t>
      </w:r>
      <w:r w:rsidR="00490073">
        <w:rPr>
          <w:rFonts w:ascii="Palatino Linotype" w:hAnsi="Palatino Linotype" w:cs="Tahoma"/>
        </w:rPr>
        <w:t xml:space="preserve">lan de </w:t>
      </w:r>
      <w:r w:rsidR="00630554">
        <w:rPr>
          <w:rFonts w:ascii="Palatino Linotype" w:hAnsi="Palatino Linotype" w:cs="Tahoma"/>
        </w:rPr>
        <w:t>D</w:t>
      </w:r>
      <w:r w:rsidR="00490073">
        <w:rPr>
          <w:rFonts w:ascii="Palatino Linotype" w:hAnsi="Palatino Linotype" w:cs="Tahoma"/>
        </w:rPr>
        <w:t xml:space="preserve">esarrollo </w:t>
      </w:r>
      <w:r w:rsidR="00490073" w:rsidRPr="00630554">
        <w:rPr>
          <w:rFonts w:ascii="Palatino Linotype" w:hAnsi="Palatino Linotype" w:cs="Tahoma"/>
          <w:u w:val="single"/>
        </w:rPr>
        <w:t>actual</w:t>
      </w:r>
      <w:r w:rsidR="00630554">
        <w:rPr>
          <w:rFonts w:ascii="Palatino Linotype" w:hAnsi="Palatino Linotype" w:cs="Tahoma"/>
        </w:rPr>
        <w:t>;</w:t>
      </w:r>
      <w:r w:rsidR="00490073">
        <w:rPr>
          <w:rFonts w:ascii="Palatino Linotype" w:hAnsi="Palatino Linotype" w:cs="Tahoma"/>
        </w:rPr>
        <w:t xml:space="preserve"> e</w:t>
      </w:r>
      <w:r w:rsidR="00EC45A0">
        <w:rPr>
          <w:rFonts w:ascii="Palatino Linotype" w:hAnsi="Palatino Linotype" w:cs="Tahoma"/>
        </w:rPr>
        <w:t>n respuesta el Sujeto Obligado</w:t>
      </w:r>
      <w:r w:rsidR="00490073" w:rsidRPr="00490073">
        <w:t xml:space="preserve"> </w:t>
      </w:r>
      <w:r w:rsidR="00490073">
        <w:t xml:space="preserve">señaló que </w:t>
      </w:r>
      <w:r w:rsidR="00490073" w:rsidRPr="00490073">
        <w:rPr>
          <w:rFonts w:ascii="Palatino Linotype" w:hAnsi="Palatino Linotype" w:cs="Tahoma"/>
        </w:rPr>
        <w:t xml:space="preserve">la evaluación al Plan de Desarrollo Municipal se realiza de manera semestral, es decir en los meses de junio y diciembre del año </w:t>
      </w:r>
      <w:r w:rsidR="00490073">
        <w:rPr>
          <w:rFonts w:ascii="Palatino Linotype" w:hAnsi="Palatino Linotype" w:cs="Tahoma"/>
        </w:rPr>
        <w:t>correspondiente</w:t>
      </w:r>
      <w:r w:rsidR="00EC45A0">
        <w:rPr>
          <w:rFonts w:ascii="Palatino Linotype" w:hAnsi="Palatino Linotype" w:cs="Tahoma"/>
        </w:rPr>
        <w:t xml:space="preserve">, </w:t>
      </w:r>
      <w:r w:rsidR="00490073">
        <w:rPr>
          <w:rFonts w:ascii="Palatino Linotype" w:hAnsi="Palatino Linotype" w:cs="Tahoma"/>
        </w:rPr>
        <w:t xml:space="preserve">razón por la cual el Particular se inconformó y señaló que al menos le fuera entregada la evaluación </w:t>
      </w:r>
      <w:r w:rsidR="00490073" w:rsidRPr="00630554">
        <w:rPr>
          <w:rFonts w:ascii="Palatino Linotype" w:hAnsi="Palatino Linotype" w:cs="Tahoma"/>
          <w:u w:val="single"/>
        </w:rPr>
        <w:t>del año anterior</w:t>
      </w:r>
      <w:r w:rsidR="00490073">
        <w:rPr>
          <w:rFonts w:ascii="Palatino Linotype" w:hAnsi="Palatino Linotype" w:cs="Tahoma"/>
        </w:rPr>
        <w:t xml:space="preserve">, </w:t>
      </w:r>
      <w:r w:rsidR="00EC45A0">
        <w:rPr>
          <w:rFonts w:ascii="Palatino Linotype" w:hAnsi="Palatino Linotype" w:cs="Tahoma"/>
        </w:rPr>
        <w:t xml:space="preserve">por lo que </w:t>
      </w:r>
      <w:r w:rsidR="00A7059D" w:rsidRPr="00874EC6">
        <w:rPr>
          <w:rFonts w:ascii="Palatino Linotype" w:hAnsi="Palatino Linotype" w:cs="Tahoma"/>
        </w:rPr>
        <w:t>la presente Opinión, se centra</w:t>
      </w:r>
      <w:r w:rsidR="00E33635">
        <w:rPr>
          <w:rFonts w:ascii="Palatino Linotype" w:hAnsi="Palatino Linotype" w:cs="Tahoma"/>
        </w:rPr>
        <w:t xml:space="preserve"> en destacar </w:t>
      </w:r>
      <w:r w:rsidR="00490073">
        <w:rPr>
          <w:rFonts w:ascii="Palatino Linotype" w:hAnsi="Palatino Linotype" w:cs="Tahoma"/>
        </w:rPr>
        <w:t xml:space="preserve">que la manifestación realizada por el Recurrente consistió en una </w:t>
      </w:r>
      <w:r w:rsidR="00490073" w:rsidRPr="00490073">
        <w:rPr>
          <w:rFonts w:ascii="Palatino Linotype" w:hAnsi="Palatino Linotype" w:cs="Tahoma"/>
          <w:i/>
        </w:rPr>
        <w:t>plus petitio</w:t>
      </w:r>
      <w:r w:rsidR="008B5925">
        <w:rPr>
          <w:rFonts w:ascii="Palatino Linotype" w:hAnsi="Palatino Linotype" w:cs="Tahoma"/>
        </w:rPr>
        <w:t>.</w:t>
      </w:r>
    </w:p>
    <w:p w14:paraId="6478AD53" w14:textId="77777777" w:rsidR="008B5925" w:rsidRDefault="008B5925" w:rsidP="00800EBE">
      <w:pPr>
        <w:spacing w:before="240" w:line="360" w:lineRule="auto"/>
        <w:contextualSpacing/>
        <w:jc w:val="both"/>
        <w:rPr>
          <w:rFonts w:ascii="Palatino Linotype" w:hAnsi="Palatino Linotype" w:cs="Tahoma"/>
        </w:rPr>
      </w:pPr>
    </w:p>
    <w:p w14:paraId="049E38CD" w14:textId="366601FF" w:rsidR="008A5BC5" w:rsidRDefault="008B5925" w:rsidP="008A5BC5">
      <w:pPr>
        <w:spacing w:before="240" w:line="360" w:lineRule="auto"/>
        <w:contextualSpacing/>
        <w:jc w:val="both"/>
        <w:rPr>
          <w:rFonts w:ascii="Palatino Linotype" w:eastAsia="Calibri" w:hAnsi="Palatino Linotype" w:cs="Tahoma"/>
          <w:color w:val="000000"/>
          <w:lang w:eastAsia="es-MX"/>
        </w:rPr>
      </w:pPr>
      <w:r>
        <w:rPr>
          <w:rFonts w:ascii="Palatino Linotype" w:hAnsi="Palatino Linotype" w:cs="Tahoma"/>
        </w:rPr>
        <w:t xml:space="preserve">Es de señalar que </w:t>
      </w:r>
      <w:r w:rsidR="008A5BC5" w:rsidRPr="00014834">
        <w:rPr>
          <w:rFonts w:ascii="Palatino Linotype" w:hAnsi="Palatino Linotype" w:cs="Tahoma"/>
          <w:szCs w:val="24"/>
        </w:rPr>
        <w:t xml:space="preserve">del análisis a los motivos de inconformidad hechos valer por el Recurrente </w:t>
      </w:r>
      <w:r w:rsidR="008A5BC5" w:rsidRPr="00014834">
        <w:rPr>
          <w:rFonts w:ascii="Palatino Linotype" w:hAnsi="Palatino Linotype" w:cs="Tahoma"/>
          <w:iCs/>
        </w:rPr>
        <w:t xml:space="preserve">se advierte </w:t>
      </w:r>
      <w:r w:rsidR="008A5BC5">
        <w:rPr>
          <w:rFonts w:ascii="Palatino Linotype" w:hAnsi="Palatino Linotype" w:cs="Tahoma"/>
          <w:iCs/>
        </w:rPr>
        <w:t xml:space="preserve">que se inconforma por no entregarle la información y señaló </w:t>
      </w:r>
      <w:r w:rsidR="008A5BC5" w:rsidRPr="00014834">
        <w:rPr>
          <w:rFonts w:ascii="Palatino Linotype" w:hAnsi="Palatino Linotype" w:cs="Tahoma"/>
          <w:iCs/>
        </w:rPr>
        <w:t xml:space="preserve">que </w:t>
      </w:r>
      <w:r w:rsidR="008A5BC5">
        <w:rPr>
          <w:rFonts w:ascii="Palatino Linotype" w:hAnsi="Palatino Linotype" w:cs="Tahoma"/>
          <w:iCs/>
        </w:rPr>
        <w:t>le fueran entregadas las evaluaciones del dos mil veinte, cuando su solicitud versa sobre</w:t>
      </w:r>
      <w:r w:rsidR="00630554">
        <w:rPr>
          <w:rFonts w:ascii="Palatino Linotype" w:hAnsi="Palatino Linotype" w:cs="Tahoma"/>
          <w:iCs/>
        </w:rPr>
        <w:t xml:space="preserve"> la evaluación </w:t>
      </w:r>
      <w:r w:rsidR="00630554">
        <w:rPr>
          <w:rFonts w:ascii="Palatino Linotype" w:hAnsi="Palatino Linotype" w:cs="Tahoma"/>
          <w:iCs/>
        </w:rPr>
        <w:lastRenderedPageBreak/>
        <w:t>al</w:t>
      </w:r>
      <w:r w:rsidR="008A5BC5">
        <w:rPr>
          <w:rFonts w:ascii="Palatino Linotype" w:hAnsi="Palatino Linotype" w:cs="Tahoma"/>
          <w:iCs/>
        </w:rPr>
        <w:t xml:space="preserve"> Plan de Desarrollo Municipal dos mil veintiuno</w:t>
      </w:r>
      <w:r w:rsidR="008A5BC5">
        <w:rPr>
          <w:rFonts w:ascii="Palatino Linotype" w:hAnsi="Palatino Linotype" w:cs="Tahoma"/>
          <w:bCs/>
        </w:rPr>
        <w:t xml:space="preserve">, </w:t>
      </w:r>
      <w:r w:rsidR="008A5BC5" w:rsidRPr="002F62EC">
        <w:rPr>
          <w:rFonts w:ascii="Palatino Linotype" w:eastAsia="Calibri" w:hAnsi="Palatino Linotype" w:cs="Tahoma"/>
          <w:iCs/>
          <w:lang w:eastAsia="es-ES_tradnl"/>
        </w:rPr>
        <w:t xml:space="preserve">por lo que se configura una </w:t>
      </w:r>
      <w:r w:rsidR="008A5BC5" w:rsidRPr="002F62EC">
        <w:rPr>
          <w:rFonts w:ascii="Palatino Linotype" w:eastAsia="Calibri" w:hAnsi="Palatino Linotype" w:cs="Tahoma"/>
          <w:i/>
          <w:iCs/>
          <w:lang w:eastAsia="es-ES_tradnl"/>
        </w:rPr>
        <w:t xml:space="preserve">plus petitio, </w:t>
      </w:r>
      <w:r w:rsidR="008A5BC5" w:rsidRPr="002F62EC">
        <w:rPr>
          <w:rFonts w:ascii="Palatino Linotype" w:eastAsia="Calibri" w:hAnsi="Palatino Linotype" w:cs="Tahoma"/>
          <w:iCs/>
          <w:lang w:eastAsia="es-ES_tradnl"/>
        </w:rPr>
        <w:t>que consiste en una ampliación</w:t>
      </w:r>
      <w:r w:rsidR="008A5BC5" w:rsidRPr="00014834">
        <w:rPr>
          <w:rFonts w:ascii="Palatino Linotype" w:eastAsia="Calibri" w:hAnsi="Palatino Linotype" w:cs="Tahoma"/>
          <w:iCs/>
          <w:lang w:eastAsia="es-ES_tradnl"/>
        </w:rPr>
        <w:t xml:space="preserve"> a su requerimiento informativo, argumentos que no son susceptibles de ser valorados en términos de la fracción VII, del Artículo 191 de la </w:t>
      </w:r>
      <w:r w:rsidR="008A5BC5" w:rsidRPr="00014834">
        <w:rPr>
          <w:rFonts w:ascii="Palatino Linotype" w:eastAsia="Calibri" w:hAnsi="Palatino Linotype" w:cs="Tahoma"/>
          <w:color w:val="000000"/>
          <w:lang w:eastAsia="es-MX"/>
        </w:rPr>
        <w:t xml:space="preserve">Ley de Transparencia y Acceso a la Información Pública del Estado de México y Municipios, </w:t>
      </w:r>
      <w:r w:rsidR="008A5BC5">
        <w:rPr>
          <w:rFonts w:ascii="Palatino Linotype" w:eastAsia="Calibri" w:hAnsi="Palatino Linotype" w:cs="Tahoma"/>
          <w:color w:val="000000"/>
          <w:lang w:eastAsia="es-MX"/>
        </w:rPr>
        <w:t>como se muestra a continuación:</w:t>
      </w:r>
    </w:p>
    <w:p w14:paraId="44F5B650" w14:textId="77777777" w:rsidR="008A5BC5" w:rsidRDefault="008A5BC5" w:rsidP="008A5BC5">
      <w:pPr>
        <w:spacing w:before="240" w:line="360" w:lineRule="auto"/>
        <w:contextualSpacing/>
        <w:jc w:val="both"/>
        <w:rPr>
          <w:rFonts w:ascii="Palatino Linotype" w:eastAsia="Calibri" w:hAnsi="Palatino Linotype" w:cs="Tahoma"/>
          <w:color w:val="000000"/>
          <w:lang w:eastAsia="es-MX"/>
        </w:rPr>
      </w:pPr>
    </w:p>
    <w:p w14:paraId="215FEA7D" w14:textId="77777777" w:rsidR="008A5BC5" w:rsidRDefault="008A5BC5" w:rsidP="008A5BC5">
      <w:pPr>
        <w:spacing w:before="240" w:line="360" w:lineRule="auto"/>
        <w:ind w:left="567" w:right="616"/>
        <w:contextualSpacing/>
        <w:jc w:val="both"/>
        <w:rPr>
          <w:rFonts w:ascii="Palatino Linotype" w:eastAsia="Calibri" w:hAnsi="Palatino Linotype" w:cs="Tahoma"/>
          <w:i/>
          <w:color w:val="000000"/>
          <w:sz w:val="20"/>
          <w:lang w:eastAsia="es-MX"/>
        </w:rPr>
      </w:pPr>
      <w:r w:rsidRPr="008A5BC5">
        <w:rPr>
          <w:rFonts w:ascii="Palatino Linotype" w:eastAsia="Calibri" w:hAnsi="Palatino Linotype" w:cs="Tahoma"/>
          <w:b/>
          <w:i/>
          <w:color w:val="000000"/>
          <w:sz w:val="20"/>
          <w:lang w:eastAsia="es-MX"/>
        </w:rPr>
        <w:t>Artículo 191</w:t>
      </w:r>
      <w:r w:rsidRPr="008A5BC5">
        <w:rPr>
          <w:rFonts w:ascii="Palatino Linotype" w:eastAsia="Calibri" w:hAnsi="Palatino Linotype" w:cs="Tahoma"/>
          <w:i/>
          <w:color w:val="000000"/>
          <w:sz w:val="20"/>
          <w:lang w:eastAsia="es-MX"/>
        </w:rPr>
        <w:t>.</w:t>
      </w:r>
      <w:r w:rsidRPr="008A5BC5">
        <w:rPr>
          <w:rFonts w:ascii="Palatino Linotype" w:eastAsia="Calibri" w:hAnsi="Palatino Linotype" w:cs="Tahoma"/>
          <w:color w:val="000000"/>
          <w:sz w:val="20"/>
          <w:lang w:eastAsia="es-MX"/>
        </w:rPr>
        <w:t xml:space="preserve"> </w:t>
      </w:r>
      <w:r w:rsidRPr="008A5BC5">
        <w:rPr>
          <w:rFonts w:ascii="Palatino Linotype" w:eastAsia="Calibri" w:hAnsi="Palatino Linotype" w:cs="Tahoma"/>
          <w:i/>
          <w:color w:val="000000"/>
          <w:sz w:val="20"/>
          <w:lang w:eastAsia="es-MX"/>
        </w:rPr>
        <w:t>El recurso será desechado por improcedente cuando:</w:t>
      </w:r>
    </w:p>
    <w:p w14:paraId="77B38590" w14:textId="77777777" w:rsidR="008A5BC5" w:rsidRDefault="008A5BC5" w:rsidP="008A5BC5">
      <w:pPr>
        <w:spacing w:before="240" w:line="360" w:lineRule="auto"/>
        <w:ind w:left="567" w:right="616"/>
        <w:contextualSpacing/>
        <w:jc w:val="both"/>
        <w:rPr>
          <w:rFonts w:ascii="Palatino Linotype" w:eastAsia="Calibri" w:hAnsi="Palatino Linotype" w:cs="Tahoma"/>
          <w:i/>
          <w:color w:val="000000"/>
          <w:sz w:val="20"/>
          <w:lang w:eastAsia="es-MX"/>
        </w:rPr>
      </w:pPr>
      <w:r w:rsidRPr="008A5BC5">
        <w:rPr>
          <w:rFonts w:ascii="Palatino Linotype" w:eastAsia="Calibri" w:hAnsi="Palatino Linotype" w:cs="Tahoma"/>
          <w:b/>
          <w:i/>
          <w:color w:val="000000"/>
          <w:sz w:val="20"/>
          <w:lang w:eastAsia="es-MX"/>
        </w:rPr>
        <w:t>I a VI</w:t>
      </w:r>
      <w:r>
        <w:rPr>
          <w:rFonts w:ascii="Palatino Linotype" w:eastAsia="Calibri" w:hAnsi="Palatino Linotype" w:cs="Tahoma"/>
          <w:i/>
          <w:color w:val="000000"/>
          <w:sz w:val="20"/>
          <w:lang w:eastAsia="es-MX"/>
        </w:rPr>
        <w:t>…</w:t>
      </w:r>
    </w:p>
    <w:p w14:paraId="3D17E271" w14:textId="77777777" w:rsidR="008A5BC5" w:rsidRPr="008A5BC5" w:rsidRDefault="008A5BC5" w:rsidP="008A5BC5">
      <w:pPr>
        <w:spacing w:before="240" w:line="360" w:lineRule="auto"/>
        <w:ind w:left="567" w:right="616"/>
        <w:contextualSpacing/>
        <w:jc w:val="both"/>
        <w:rPr>
          <w:rFonts w:ascii="Palatino Linotype" w:eastAsia="Calibri" w:hAnsi="Palatino Linotype" w:cs="Tahoma"/>
          <w:i/>
          <w:color w:val="000000"/>
          <w:sz w:val="20"/>
          <w:lang w:eastAsia="es-MX"/>
        </w:rPr>
      </w:pPr>
      <w:r w:rsidRPr="008A5BC5">
        <w:rPr>
          <w:rFonts w:ascii="Palatino Linotype" w:eastAsia="Calibri" w:hAnsi="Palatino Linotype" w:cs="Tahoma"/>
          <w:b/>
          <w:i/>
          <w:color w:val="000000"/>
          <w:sz w:val="20"/>
          <w:lang w:eastAsia="es-MX"/>
        </w:rPr>
        <w:t>VII.</w:t>
      </w:r>
      <w:r w:rsidRPr="008A5BC5">
        <w:rPr>
          <w:rFonts w:ascii="Palatino Linotype" w:eastAsia="Calibri" w:hAnsi="Palatino Linotype" w:cs="Tahoma"/>
          <w:i/>
          <w:color w:val="000000"/>
          <w:sz w:val="20"/>
          <w:lang w:eastAsia="es-MX"/>
        </w:rPr>
        <w:t xml:space="preserve"> El recurrente amplíe su solicitud en el recurso de revisión, únicamente respecto de los nuevos contenidos.</w:t>
      </w:r>
    </w:p>
    <w:p w14:paraId="5856F013" w14:textId="77777777" w:rsidR="008A5BC5" w:rsidRDefault="008A5BC5" w:rsidP="008A5BC5">
      <w:pPr>
        <w:spacing w:before="240" w:line="360" w:lineRule="auto"/>
        <w:contextualSpacing/>
        <w:jc w:val="both"/>
        <w:rPr>
          <w:rFonts w:ascii="Palatino Linotype" w:eastAsia="Calibri" w:hAnsi="Palatino Linotype" w:cs="Tahoma"/>
          <w:color w:val="000000"/>
          <w:lang w:eastAsia="es-MX"/>
        </w:rPr>
      </w:pPr>
    </w:p>
    <w:p w14:paraId="1A44FFBE" w14:textId="27DDE786" w:rsidR="008A5BC5" w:rsidRPr="00331629" w:rsidRDefault="008A5BC5" w:rsidP="008A5BC5">
      <w:pPr>
        <w:spacing w:line="360" w:lineRule="auto"/>
        <w:ind w:right="-93"/>
        <w:jc w:val="both"/>
        <w:rPr>
          <w:rFonts w:ascii="Palatino Linotype" w:eastAsia="Calibri" w:hAnsi="Palatino Linotype" w:cs="Tahoma"/>
          <w:bCs/>
        </w:rPr>
      </w:pPr>
      <w:r>
        <w:rPr>
          <w:rFonts w:ascii="Palatino Linotype" w:eastAsia="Calibri" w:hAnsi="Palatino Linotype" w:cs="Tahoma"/>
          <w:color w:val="000000"/>
          <w:lang w:eastAsia="es-MX"/>
        </w:rPr>
        <w:t>A</w:t>
      </w:r>
      <w:r w:rsidR="00630554">
        <w:rPr>
          <w:rFonts w:ascii="Palatino Linotype" w:eastAsia="Calibri" w:hAnsi="Palatino Linotype" w:cs="Tahoma"/>
          <w:color w:val="000000"/>
          <w:lang w:eastAsia="es-MX"/>
        </w:rPr>
        <w:t xml:space="preserve">l respecto, es improcedente ampliar la solicitud en el Recurso, </w:t>
      </w:r>
      <w:r w:rsidR="00630554">
        <w:rPr>
          <w:rFonts w:ascii="Palatino Linotype" w:eastAsia="Calibri" w:hAnsi="Palatino Linotype" w:cs="Tahoma"/>
          <w:bCs/>
        </w:rPr>
        <w:t>como ya</w:t>
      </w:r>
      <w:r w:rsidRPr="00331629">
        <w:rPr>
          <w:rFonts w:ascii="Palatino Linotype" w:eastAsia="Calibri" w:hAnsi="Palatino Linotype" w:cs="Tahoma"/>
          <w:bCs/>
        </w:rPr>
        <w:t xml:space="preserve"> se pronunció el Instituto Nacional de Transparencia, Acceso a la Información y Protección de Datos Personales (INAI), al establecer en el </w:t>
      </w:r>
      <w:r>
        <w:rPr>
          <w:rFonts w:ascii="Palatino Linotype" w:eastAsia="Calibri" w:hAnsi="Palatino Linotype" w:cs="Tahoma"/>
          <w:b/>
          <w:bCs/>
        </w:rPr>
        <w:t xml:space="preserve">criterio </w:t>
      </w:r>
      <w:r w:rsidRPr="00331629">
        <w:rPr>
          <w:rFonts w:ascii="Palatino Linotype" w:eastAsia="Calibri" w:hAnsi="Palatino Linotype" w:cs="Tahoma"/>
          <w:b/>
          <w:bCs/>
        </w:rPr>
        <w:t>0</w:t>
      </w:r>
      <w:r>
        <w:rPr>
          <w:rFonts w:ascii="Palatino Linotype" w:eastAsia="Calibri" w:hAnsi="Palatino Linotype" w:cs="Tahoma"/>
          <w:b/>
          <w:bCs/>
        </w:rPr>
        <w:t>1</w:t>
      </w:r>
      <w:r w:rsidRPr="00331629">
        <w:rPr>
          <w:rFonts w:ascii="Palatino Linotype" w:eastAsia="Calibri" w:hAnsi="Palatino Linotype" w:cs="Tahoma"/>
          <w:b/>
          <w:bCs/>
        </w:rPr>
        <w:t>/</w:t>
      </w:r>
      <w:r>
        <w:rPr>
          <w:rFonts w:ascii="Palatino Linotype" w:eastAsia="Calibri" w:hAnsi="Palatino Linotype" w:cs="Tahoma"/>
          <w:b/>
          <w:bCs/>
        </w:rPr>
        <w:t xml:space="preserve">17 </w:t>
      </w:r>
      <w:r w:rsidRPr="00331629">
        <w:rPr>
          <w:rFonts w:ascii="Palatino Linotype" w:eastAsia="Calibri" w:hAnsi="Palatino Linotype" w:cs="Tahoma"/>
          <w:bCs/>
        </w:rPr>
        <w:t xml:space="preserve">que </w:t>
      </w:r>
      <w:r>
        <w:rPr>
          <w:rFonts w:ascii="Palatino Linotype" w:eastAsia="Calibri" w:hAnsi="Palatino Linotype" w:cs="Tahoma"/>
          <w:bCs/>
        </w:rPr>
        <w:t>es improcedente ampliar las solicitudes de acceso a la información a través de la interposición del Recurso de Revisión</w:t>
      </w:r>
      <w:r w:rsidRPr="00331629">
        <w:rPr>
          <w:rFonts w:ascii="Palatino Linotype" w:eastAsia="Calibri" w:hAnsi="Palatino Linotype" w:cs="Tahoma"/>
          <w:bCs/>
        </w:rPr>
        <w:t>, el cual para mejor referencia se  transcribe a continuación:</w:t>
      </w:r>
    </w:p>
    <w:p w14:paraId="6413D2A5" w14:textId="77777777" w:rsidR="008A5BC5" w:rsidRDefault="008A5BC5" w:rsidP="008A5BC5">
      <w:pPr>
        <w:spacing w:before="240" w:line="360" w:lineRule="auto"/>
        <w:ind w:left="567" w:right="616"/>
        <w:contextualSpacing/>
        <w:jc w:val="both"/>
        <w:rPr>
          <w:rFonts w:ascii="Palatino Linotype" w:eastAsia="Calibri" w:hAnsi="Palatino Linotype" w:cs="Tahoma"/>
          <w:b/>
          <w:i/>
          <w:color w:val="000000"/>
          <w:sz w:val="20"/>
          <w:lang w:eastAsia="es-MX"/>
        </w:rPr>
      </w:pPr>
    </w:p>
    <w:p w14:paraId="6784EDBD" w14:textId="77777777" w:rsidR="008A5BC5" w:rsidRDefault="008A5BC5" w:rsidP="008A5BC5">
      <w:pPr>
        <w:spacing w:before="240" w:line="360" w:lineRule="auto"/>
        <w:ind w:left="567" w:right="616"/>
        <w:contextualSpacing/>
        <w:jc w:val="both"/>
        <w:rPr>
          <w:rFonts w:ascii="Palatino Linotype" w:eastAsia="Calibri" w:hAnsi="Palatino Linotype" w:cs="Tahoma"/>
          <w:i/>
          <w:color w:val="000000"/>
          <w:sz w:val="20"/>
          <w:lang w:eastAsia="es-MX"/>
        </w:rPr>
      </w:pPr>
      <w:r>
        <w:rPr>
          <w:rFonts w:ascii="Palatino Linotype" w:eastAsia="Calibri" w:hAnsi="Palatino Linotype" w:cs="Tahoma"/>
          <w:b/>
          <w:i/>
          <w:color w:val="000000"/>
          <w:sz w:val="20"/>
          <w:lang w:eastAsia="es-MX"/>
        </w:rPr>
        <w:t>“</w:t>
      </w:r>
      <w:r w:rsidRPr="008A5BC5">
        <w:rPr>
          <w:rFonts w:ascii="Palatino Linotype" w:eastAsia="Calibri" w:hAnsi="Palatino Linotype" w:cs="Tahoma"/>
          <w:b/>
          <w:i/>
          <w:color w:val="000000"/>
          <w:sz w:val="20"/>
          <w:lang w:eastAsia="es-MX"/>
        </w:rPr>
        <w:t>Es improcedente ampliar las solicitudes de acceso a información, a través de la interposición del recurso de revisión</w:t>
      </w:r>
      <w:r w:rsidRPr="008A5BC5">
        <w:rPr>
          <w:rFonts w:ascii="Palatino Linotype" w:eastAsia="Calibri" w:hAnsi="Palatino Linotype" w:cs="Tahoma"/>
          <w:i/>
          <w:color w:val="000000"/>
          <w:sz w:val="20"/>
          <w:lang w:eastAsia="es-MX"/>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65CEA603" w14:textId="77777777" w:rsidR="00DB25FE" w:rsidRDefault="00DB25FE" w:rsidP="00800EBE">
      <w:pPr>
        <w:spacing w:before="240" w:line="360" w:lineRule="auto"/>
        <w:contextualSpacing/>
        <w:jc w:val="both"/>
        <w:rPr>
          <w:rFonts w:ascii="Palatino Linotype" w:hAnsi="Palatino Linotype" w:cs="Tahoma"/>
        </w:rPr>
      </w:pPr>
      <w:r>
        <w:rPr>
          <w:rFonts w:ascii="Palatino Linotype" w:hAnsi="Palatino Linotype" w:cs="Tahoma"/>
        </w:rPr>
        <w:lastRenderedPageBreak/>
        <w:t xml:space="preserve">Además se advierte que la Ponencia Resolutora transcribió el artículo de la </w:t>
      </w:r>
      <w:r w:rsidRPr="00DB25FE">
        <w:rPr>
          <w:rFonts w:ascii="Palatino Linotype" w:hAnsi="Palatino Linotype" w:cs="Tahoma"/>
        </w:rPr>
        <w:t>Ley Orgánica Municipal del Estado de México</w:t>
      </w:r>
      <w:r>
        <w:rPr>
          <w:rFonts w:ascii="Palatino Linotype" w:hAnsi="Palatino Linotype" w:cs="Tahoma"/>
        </w:rPr>
        <w:t>, en el que se establece que las evaluaciones al Plan de Desarrollo Municipal se realizarán anualmente, como se muestra a continuación:</w:t>
      </w:r>
    </w:p>
    <w:p w14:paraId="43C3B228" w14:textId="77777777" w:rsidR="00DB25FE" w:rsidRDefault="00DB25FE" w:rsidP="00800EBE">
      <w:pPr>
        <w:spacing w:before="240" w:line="360" w:lineRule="auto"/>
        <w:contextualSpacing/>
        <w:jc w:val="both"/>
        <w:rPr>
          <w:rFonts w:ascii="Palatino Linotype" w:hAnsi="Palatino Linotype" w:cs="Tahoma"/>
        </w:rPr>
      </w:pPr>
    </w:p>
    <w:p w14:paraId="4596860B" w14:textId="77777777" w:rsidR="00DB25FE" w:rsidRPr="00DB25FE" w:rsidRDefault="00DB25FE" w:rsidP="00DB25FE">
      <w:pPr>
        <w:spacing w:before="240" w:line="360" w:lineRule="auto"/>
        <w:ind w:left="567" w:right="900"/>
        <w:contextualSpacing/>
        <w:jc w:val="both"/>
        <w:rPr>
          <w:rFonts w:ascii="Palatino Linotype" w:hAnsi="Palatino Linotype" w:cs="Tahoma"/>
          <w:i/>
          <w:sz w:val="20"/>
        </w:rPr>
      </w:pPr>
      <w:r w:rsidRPr="00DB25FE">
        <w:rPr>
          <w:rFonts w:ascii="Palatino Linotype" w:hAnsi="Palatino Linotype" w:cs="Tahoma"/>
          <w:b/>
          <w:i/>
          <w:sz w:val="20"/>
        </w:rPr>
        <w:t>Artículo 116.-</w:t>
      </w:r>
      <w:r w:rsidRPr="00DB25FE">
        <w:rPr>
          <w:rFonts w:ascii="Palatino Linotype" w:hAnsi="Palatino Linotype" w:cs="Tahoma"/>
          <w:i/>
          <w:sz w:val="20"/>
        </w:rPr>
        <w:t xml:space="preserve"> El Plan de Desarrollo Municipal deberá ser elaborado, aprobado y publicado, dentro de los primeros tres meses de la gestión municipal. Su evaluación deberá realizarse anualmente; y en caso de no hacerse se hará acreedor a las sanciones de las dependencias normativas en el ámbito de su competencia.</w:t>
      </w:r>
    </w:p>
    <w:p w14:paraId="3AA121D9" w14:textId="77777777" w:rsidR="004645C9" w:rsidRDefault="004645C9" w:rsidP="00800EBE">
      <w:pPr>
        <w:spacing w:before="240" w:line="360" w:lineRule="auto"/>
        <w:contextualSpacing/>
        <w:jc w:val="both"/>
        <w:rPr>
          <w:rFonts w:ascii="Palatino Linotype" w:hAnsi="Palatino Linotype" w:cs="Tahoma"/>
        </w:rPr>
      </w:pPr>
    </w:p>
    <w:p w14:paraId="7531BD79" w14:textId="1AEF8CDF" w:rsidR="00630554" w:rsidRDefault="00630554" w:rsidP="00630554">
      <w:pPr>
        <w:spacing w:before="240" w:line="360" w:lineRule="auto"/>
        <w:contextualSpacing/>
        <w:jc w:val="both"/>
        <w:rPr>
          <w:rFonts w:ascii="Palatino Linotype" w:hAnsi="Palatino Linotype" w:cs="Tahoma"/>
        </w:rPr>
      </w:pPr>
      <w:r>
        <w:rPr>
          <w:rFonts w:ascii="Palatino Linotype" w:hAnsi="Palatino Linotype" w:cs="Tahoma"/>
        </w:rPr>
        <w:t>De tal suerte que</w:t>
      </w:r>
      <w:r w:rsidR="00DB25FE">
        <w:rPr>
          <w:rFonts w:ascii="Palatino Linotype" w:hAnsi="Palatino Linotype" w:cs="Tahoma"/>
        </w:rPr>
        <w:t>, al veintidós de abril de dos mil veintiuno, fecha en la que el Particular ingresó su solicitud no contaba con alguna evaluación</w:t>
      </w:r>
      <w:r>
        <w:rPr>
          <w:rFonts w:ascii="Palatino Linotype" w:hAnsi="Palatino Linotype" w:cs="Tahoma"/>
        </w:rPr>
        <w:t>; sin embargo, e</w:t>
      </w:r>
      <w:r>
        <w:rPr>
          <w:rFonts w:ascii="Palatino Linotype" w:hAnsi="Palatino Linotype" w:cs="Tahoma"/>
        </w:rPr>
        <w:t xml:space="preserve">n este caso, coincido con ordenar la entrega de las evaluaciones posteriores, </w:t>
      </w:r>
      <w:r>
        <w:rPr>
          <w:rFonts w:ascii="Palatino Linotype" w:hAnsi="Palatino Linotype" w:cs="Tahoma"/>
        </w:rPr>
        <w:t>toda vez que, en apego al principio de máxima publicidad el Ayuntamiento de buena fe, concedió en su informe justificado, remitir dichos documentos al Recurrente.</w:t>
      </w:r>
    </w:p>
    <w:p w14:paraId="72FC0B6B" w14:textId="4A4F01DB" w:rsidR="00630554" w:rsidRDefault="00630554" w:rsidP="00630554">
      <w:pPr>
        <w:spacing w:before="240" w:line="360" w:lineRule="auto"/>
        <w:contextualSpacing/>
        <w:jc w:val="both"/>
        <w:rPr>
          <w:rFonts w:ascii="Palatino Linotype" w:hAnsi="Palatino Linotype" w:cs="Tahoma"/>
        </w:rPr>
      </w:pPr>
    </w:p>
    <w:p w14:paraId="529C511B" w14:textId="25B9113A" w:rsidR="003512C9" w:rsidRPr="004A08D3" w:rsidRDefault="003053C0" w:rsidP="00800EBE">
      <w:pPr>
        <w:spacing w:before="240" w:line="360" w:lineRule="auto"/>
        <w:contextualSpacing/>
        <w:jc w:val="both"/>
        <w:rPr>
          <w:rFonts w:ascii="Palatino Linotype" w:hAnsi="Palatino Linotype" w:cs="Tahoma"/>
        </w:rPr>
      </w:pPr>
      <w:r w:rsidRPr="004A08D3">
        <w:rPr>
          <w:rFonts w:ascii="Palatino Linotype" w:hAnsi="Palatino Linotype" w:cs="Tahoma"/>
        </w:rPr>
        <w:t xml:space="preserve">Así, con base en los razonamientos expuestos, se emite la presente </w:t>
      </w:r>
      <w:r w:rsidR="00AE42C2" w:rsidRPr="008A5BC5">
        <w:rPr>
          <w:rFonts w:ascii="Palatino Linotype" w:hAnsi="Palatino Linotype" w:cs="Tahoma"/>
          <w:b/>
        </w:rPr>
        <w:t>O</w:t>
      </w:r>
      <w:r w:rsidRPr="008A5BC5">
        <w:rPr>
          <w:rFonts w:ascii="Palatino Linotype" w:hAnsi="Palatino Linotype" w:cs="Tahoma"/>
          <w:b/>
        </w:rPr>
        <w:t xml:space="preserve">pinión </w:t>
      </w:r>
      <w:r w:rsidR="00AE42C2" w:rsidRPr="008A5BC5">
        <w:rPr>
          <w:rFonts w:ascii="Palatino Linotype" w:hAnsi="Palatino Linotype" w:cs="Tahoma"/>
          <w:b/>
        </w:rPr>
        <w:t>P</w:t>
      </w:r>
      <w:r w:rsidRPr="008A5BC5">
        <w:rPr>
          <w:rFonts w:ascii="Palatino Linotype" w:hAnsi="Palatino Linotype" w:cs="Tahoma"/>
          <w:b/>
        </w:rPr>
        <w:t>articular</w:t>
      </w:r>
      <w:r w:rsidRPr="004A08D3">
        <w:rPr>
          <w:rFonts w:ascii="Palatino Linotype" w:hAnsi="Palatino Linotype" w:cs="Tahoma"/>
        </w:rPr>
        <w:t>.</w:t>
      </w:r>
      <w:r w:rsidR="00630554">
        <w:rPr>
          <w:rFonts w:ascii="Palatino Linotype" w:hAnsi="Palatino Linotype" w:cs="Tahoma"/>
        </w:rPr>
        <w:t>-----------------------------------------------------------------------------------------------------------------------------------------------------------------------------------------------------------------------------------------------------</w:t>
      </w:r>
    </w:p>
    <w:p w14:paraId="51E05964" w14:textId="77777777" w:rsidR="00307BFA" w:rsidRDefault="00307BFA" w:rsidP="00800EBE">
      <w:pPr>
        <w:spacing w:before="240" w:line="360" w:lineRule="auto"/>
        <w:contextualSpacing/>
        <w:jc w:val="center"/>
        <w:rPr>
          <w:rFonts w:ascii="Palatino Linotype" w:hAnsi="Palatino Linotype" w:cs="Tahoma"/>
          <w:b/>
        </w:rPr>
      </w:pPr>
    </w:p>
    <w:p w14:paraId="26D23057" w14:textId="77777777" w:rsidR="00EE1540" w:rsidRDefault="00EE1540" w:rsidP="00800EBE">
      <w:pPr>
        <w:spacing w:before="240" w:line="360" w:lineRule="auto"/>
        <w:contextualSpacing/>
        <w:jc w:val="center"/>
        <w:rPr>
          <w:rFonts w:ascii="Palatino Linotype" w:hAnsi="Palatino Linotype" w:cs="Tahoma"/>
          <w:b/>
        </w:rPr>
      </w:pPr>
    </w:p>
    <w:p w14:paraId="6895395E" w14:textId="77777777" w:rsidR="00EE1540" w:rsidRPr="00800EBE" w:rsidRDefault="00EE1540" w:rsidP="00800EBE">
      <w:pPr>
        <w:spacing w:before="240" w:line="360" w:lineRule="auto"/>
        <w:contextualSpacing/>
        <w:jc w:val="center"/>
        <w:rPr>
          <w:rFonts w:ascii="Palatino Linotype" w:hAnsi="Palatino Linotype" w:cs="Tahoma"/>
          <w:b/>
        </w:rPr>
      </w:pPr>
    </w:p>
    <w:sectPr w:rsidR="00EE1540" w:rsidRPr="00800EBE" w:rsidSect="00DE76D1">
      <w:headerReference w:type="default" r:id="rId8"/>
      <w:pgSz w:w="12240" w:h="15840" w:code="1"/>
      <w:pgMar w:top="105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A17A" w14:textId="77777777" w:rsidR="00AC62E8" w:rsidRDefault="00AC62E8" w:rsidP="00EE29F6">
      <w:pPr>
        <w:spacing w:after="0" w:line="240" w:lineRule="auto"/>
      </w:pPr>
      <w:r>
        <w:separator/>
      </w:r>
    </w:p>
  </w:endnote>
  <w:endnote w:type="continuationSeparator" w:id="0">
    <w:p w14:paraId="649B4568" w14:textId="77777777" w:rsidR="00AC62E8" w:rsidRDefault="00AC62E8"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CFAB" w14:textId="77777777" w:rsidR="00AC62E8" w:rsidRDefault="00AC62E8" w:rsidP="00EE29F6">
      <w:pPr>
        <w:spacing w:after="0" w:line="240" w:lineRule="auto"/>
      </w:pPr>
      <w:r>
        <w:separator/>
      </w:r>
    </w:p>
  </w:footnote>
  <w:footnote w:type="continuationSeparator" w:id="0">
    <w:p w14:paraId="438A07CE" w14:textId="77777777" w:rsidR="00AC62E8" w:rsidRDefault="00AC62E8"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6667"/>
    </w:tblGrid>
    <w:tr w:rsidR="00EE29F6" w14:paraId="62E5C206" w14:textId="77777777" w:rsidTr="000248A9">
      <w:trPr>
        <w:trHeight w:val="1124"/>
      </w:trPr>
      <w:tc>
        <w:tcPr>
          <w:tcW w:w="2122" w:type="dxa"/>
          <w:vAlign w:val="bottom"/>
        </w:tcPr>
        <w:p w14:paraId="3DC86E61" w14:textId="77777777" w:rsidR="00EE29F6" w:rsidRDefault="000248A9" w:rsidP="00D7239D">
          <w:pPr>
            <w:pStyle w:val="Encabezado"/>
            <w:jc w:val="center"/>
          </w:pPr>
          <w:r>
            <w:rPr>
              <w:noProof/>
              <w:sz w:val="10"/>
              <w:szCs w:val="10"/>
              <w:lang w:val="es-MX" w:eastAsia="es-MX"/>
            </w:rPr>
            <w:drawing>
              <wp:inline distT="0" distB="0" distL="0" distR="0" wp14:anchorId="7D09191D" wp14:editId="6115571C">
                <wp:extent cx="1400175" cy="84186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3439" cy="915982"/>
                        </a:xfrm>
                        <a:prstGeom prst="rect">
                          <a:avLst/>
                        </a:prstGeom>
                      </pic:spPr>
                    </pic:pic>
                  </a:graphicData>
                </a:graphic>
              </wp:inline>
            </w:drawing>
          </w:r>
        </w:p>
      </w:tc>
      <w:tc>
        <w:tcPr>
          <w:tcW w:w="6667" w:type="dxa"/>
          <w:vMerge w:val="restart"/>
          <w:vAlign w:val="center"/>
        </w:tcPr>
        <w:p w14:paraId="4D3F4B11" w14:textId="77777777" w:rsidR="0065089E" w:rsidRDefault="0065089E" w:rsidP="000248A9">
          <w:pPr>
            <w:pStyle w:val="Encabezado"/>
            <w:spacing w:line="276" w:lineRule="auto"/>
            <w:ind w:left="1598" w:right="-108"/>
            <w:rPr>
              <w:rFonts w:ascii="Palatino Linotype" w:hAnsi="Palatino Linotype" w:cs="Tahoma"/>
              <w:b/>
            </w:rPr>
          </w:pPr>
        </w:p>
        <w:p w14:paraId="102F9E20" w14:textId="77777777" w:rsidR="000248A9" w:rsidRPr="000248A9" w:rsidRDefault="000248A9" w:rsidP="000248A9">
          <w:pPr>
            <w:pStyle w:val="Encabezado"/>
            <w:spacing w:line="276" w:lineRule="auto"/>
            <w:ind w:left="1598" w:right="-108"/>
            <w:rPr>
              <w:rFonts w:ascii="Palatino Linotype" w:hAnsi="Palatino Linotype" w:cs="Tahoma"/>
              <w:b/>
            </w:rPr>
          </w:pPr>
          <w:r w:rsidRPr="000248A9">
            <w:rPr>
              <w:rFonts w:ascii="Palatino Linotype" w:hAnsi="Palatino Linotype" w:cs="Tahoma"/>
              <w:b/>
            </w:rPr>
            <w:t>Opinión Particular</w:t>
          </w:r>
        </w:p>
        <w:p w14:paraId="0DD1E807" w14:textId="77777777" w:rsidR="000248A9" w:rsidRPr="000248A9" w:rsidRDefault="000248A9" w:rsidP="000248A9">
          <w:pPr>
            <w:pStyle w:val="Encabezado"/>
            <w:spacing w:line="276" w:lineRule="auto"/>
            <w:ind w:left="1598" w:right="-108"/>
            <w:rPr>
              <w:rFonts w:ascii="Palatino Linotype" w:hAnsi="Palatino Linotype" w:cs="Tahoma"/>
              <w:b/>
            </w:rPr>
          </w:pPr>
          <w:r w:rsidRPr="000248A9">
            <w:rPr>
              <w:rFonts w:ascii="Palatino Linotype" w:hAnsi="Palatino Linotype" w:cs="Tahoma"/>
              <w:b/>
            </w:rPr>
            <w:t xml:space="preserve">Recurso de Revisión: </w:t>
          </w:r>
          <w:r w:rsidR="00490073">
            <w:rPr>
              <w:rFonts w:ascii="Palatino Linotype" w:hAnsi="Palatino Linotype" w:cs="Tahoma"/>
              <w:b/>
            </w:rPr>
            <w:t>03183</w:t>
          </w:r>
          <w:r w:rsidRPr="000248A9">
            <w:rPr>
              <w:rFonts w:ascii="Palatino Linotype" w:hAnsi="Palatino Linotype" w:cs="Tahoma"/>
              <w:b/>
            </w:rPr>
            <w:t>/INFOEM/IP/RR/20</w:t>
          </w:r>
          <w:r w:rsidR="00490073">
            <w:rPr>
              <w:rFonts w:ascii="Palatino Linotype" w:hAnsi="Palatino Linotype" w:cs="Tahoma"/>
              <w:b/>
            </w:rPr>
            <w:t>21</w:t>
          </w:r>
          <w:r w:rsidR="009C7FF3">
            <w:rPr>
              <w:rFonts w:ascii="Palatino Linotype" w:hAnsi="Palatino Linotype" w:cs="Tahoma"/>
              <w:b/>
            </w:rPr>
            <w:t xml:space="preserve"> </w:t>
          </w:r>
        </w:p>
        <w:p w14:paraId="48BF0313" w14:textId="77777777" w:rsidR="00EE29F6" w:rsidRDefault="000248A9" w:rsidP="000248A9">
          <w:pPr>
            <w:pStyle w:val="Encabezado"/>
            <w:spacing w:line="276" w:lineRule="auto"/>
            <w:ind w:left="1598" w:right="-108"/>
            <w:jc w:val="both"/>
          </w:pPr>
          <w:r w:rsidRPr="000248A9">
            <w:rPr>
              <w:rFonts w:ascii="Palatino Linotype" w:hAnsi="Palatino Linotype" w:cs="Tahoma"/>
              <w:b/>
            </w:rPr>
            <w:t xml:space="preserve">Comisionada Ponente: </w:t>
          </w:r>
          <w:r w:rsidR="00490073" w:rsidRPr="00490073">
            <w:rPr>
              <w:rFonts w:ascii="Palatino Linotype" w:hAnsi="Palatino Linotype" w:cs="Tahoma"/>
              <w:b/>
            </w:rPr>
            <w:t>María del Rosario Mejía Ayala</w:t>
          </w:r>
        </w:p>
      </w:tc>
    </w:tr>
    <w:tr w:rsidR="00EE29F6" w14:paraId="262C576E" w14:textId="77777777" w:rsidTr="000248A9">
      <w:trPr>
        <w:trHeight w:val="293"/>
      </w:trPr>
      <w:tc>
        <w:tcPr>
          <w:tcW w:w="2122" w:type="dxa"/>
        </w:tcPr>
        <w:p w14:paraId="23513D05" w14:textId="77777777" w:rsidR="00EE29F6" w:rsidRPr="00D7239D" w:rsidRDefault="00EE29F6" w:rsidP="00EE29F6">
          <w:pPr>
            <w:pStyle w:val="Encabezado"/>
            <w:jc w:val="center"/>
            <w:rPr>
              <w:sz w:val="10"/>
              <w:szCs w:val="10"/>
            </w:rPr>
          </w:pPr>
        </w:p>
      </w:tc>
      <w:tc>
        <w:tcPr>
          <w:tcW w:w="6667" w:type="dxa"/>
          <w:vMerge/>
        </w:tcPr>
        <w:p w14:paraId="7E9E9E50" w14:textId="77777777" w:rsidR="00EE29F6" w:rsidRDefault="00EE29F6" w:rsidP="00573E22">
          <w:pPr>
            <w:pStyle w:val="Encabezado"/>
            <w:spacing w:line="276" w:lineRule="auto"/>
          </w:pPr>
        </w:p>
      </w:tc>
    </w:tr>
  </w:tbl>
  <w:p w14:paraId="0E22CDE3" w14:textId="77777777" w:rsidR="00307BFA" w:rsidRDefault="00307BFA" w:rsidP="00DE76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B78"/>
    <w:multiLevelType w:val="hybridMultilevel"/>
    <w:tmpl w:val="357AE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666CCB"/>
    <w:multiLevelType w:val="hybridMultilevel"/>
    <w:tmpl w:val="ED94E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12133"/>
    <w:rsid w:val="0001237F"/>
    <w:rsid w:val="00015770"/>
    <w:rsid w:val="000248A9"/>
    <w:rsid w:val="00037F56"/>
    <w:rsid w:val="00041DC2"/>
    <w:rsid w:val="00065711"/>
    <w:rsid w:val="00090039"/>
    <w:rsid w:val="00096C7A"/>
    <w:rsid w:val="000B0712"/>
    <w:rsid w:val="000E0364"/>
    <w:rsid w:val="000F0F85"/>
    <w:rsid w:val="000F4296"/>
    <w:rsid w:val="001066D4"/>
    <w:rsid w:val="001247A6"/>
    <w:rsid w:val="0012793F"/>
    <w:rsid w:val="0015509E"/>
    <w:rsid w:val="0016209B"/>
    <w:rsid w:val="0018391D"/>
    <w:rsid w:val="0018472D"/>
    <w:rsid w:val="001A60C1"/>
    <w:rsid w:val="001C7E1D"/>
    <w:rsid w:val="001F0E4E"/>
    <w:rsid w:val="001F1B33"/>
    <w:rsid w:val="001F354C"/>
    <w:rsid w:val="00201471"/>
    <w:rsid w:val="00227540"/>
    <w:rsid w:val="00242574"/>
    <w:rsid w:val="00243A13"/>
    <w:rsid w:val="002A1727"/>
    <w:rsid w:val="002C404F"/>
    <w:rsid w:val="00300F1A"/>
    <w:rsid w:val="00301C5D"/>
    <w:rsid w:val="003053C0"/>
    <w:rsid w:val="00307BFA"/>
    <w:rsid w:val="00342141"/>
    <w:rsid w:val="003512C9"/>
    <w:rsid w:val="00357A31"/>
    <w:rsid w:val="003948FA"/>
    <w:rsid w:val="003B7A5E"/>
    <w:rsid w:val="003C4076"/>
    <w:rsid w:val="0040139C"/>
    <w:rsid w:val="00403D22"/>
    <w:rsid w:val="00433746"/>
    <w:rsid w:val="004645C9"/>
    <w:rsid w:val="004827F8"/>
    <w:rsid w:val="00490073"/>
    <w:rsid w:val="00497157"/>
    <w:rsid w:val="004A08D3"/>
    <w:rsid w:val="004A74EE"/>
    <w:rsid w:val="004B5A64"/>
    <w:rsid w:val="004E10EC"/>
    <w:rsid w:val="004E6178"/>
    <w:rsid w:val="004E7007"/>
    <w:rsid w:val="00500A99"/>
    <w:rsid w:val="0052091F"/>
    <w:rsid w:val="00521DEF"/>
    <w:rsid w:val="00524DA5"/>
    <w:rsid w:val="00547BA0"/>
    <w:rsid w:val="0056120D"/>
    <w:rsid w:val="00566F1E"/>
    <w:rsid w:val="00573E22"/>
    <w:rsid w:val="00582CCB"/>
    <w:rsid w:val="0058340C"/>
    <w:rsid w:val="00595596"/>
    <w:rsid w:val="005A4B12"/>
    <w:rsid w:val="005A71EE"/>
    <w:rsid w:val="005B0A91"/>
    <w:rsid w:val="005E3F21"/>
    <w:rsid w:val="005F0B46"/>
    <w:rsid w:val="005F2A63"/>
    <w:rsid w:val="006120A6"/>
    <w:rsid w:val="00630554"/>
    <w:rsid w:val="00643EF7"/>
    <w:rsid w:val="00645087"/>
    <w:rsid w:val="0065089E"/>
    <w:rsid w:val="0065115D"/>
    <w:rsid w:val="006606DF"/>
    <w:rsid w:val="0066125E"/>
    <w:rsid w:val="00670CA4"/>
    <w:rsid w:val="006A1ED9"/>
    <w:rsid w:val="006B3CC7"/>
    <w:rsid w:val="006D3245"/>
    <w:rsid w:val="007045F2"/>
    <w:rsid w:val="00712196"/>
    <w:rsid w:val="0072220A"/>
    <w:rsid w:val="007347A3"/>
    <w:rsid w:val="00761F6E"/>
    <w:rsid w:val="007A2D13"/>
    <w:rsid w:val="007A36FB"/>
    <w:rsid w:val="007B743E"/>
    <w:rsid w:val="007C5EF2"/>
    <w:rsid w:val="007E00EA"/>
    <w:rsid w:val="007F7D80"/>
    <w:rsid w:val="00800EBE"/>
    <w:rsid w:val="008026B0"/>
    <w:rsid w:val="0080666A"/>
    <w:rsid w:val="00836BC2"/>
    <w:rsid w:val="00874EC6"/>
    <w:rsid w:val="00884096"/>
    <w:rsid w:val="008A3B8E"/>
    <w:rsid w:val="008A5BC5"/>
    <w:rsid w:val="008A5DB0"/>
    <w:rsid w:val="008B08C9"/>
    <w:rsid w:val="008B4C88"/>
    <w:rsid w:val="008B5925"/>
    <w:rsid w:val="008C0F11"/>
    <w:rsid w:val="008C66CE"/>
    <w:rsid w:val="008E2891"/>
    <w:rsid w:val="009256A1"/>
    <w:rsid w:val="0094089B"/>
    <w:rsid w:val="00945243"/>
    <w:rsid w:val="00982A9E"/>
    <w:rsid w:val="009943E1"/>
    <w:rsid w:val="0099518E"/>
    <w:rsid w:val="009B2C0B"/>
    <w:rsid w:val="009B7AE3"/>
    <w:rsid w:val="009C7FF3"/>
    <w:rsid w:val="009D07E2"/>
    <w:rsid w:val="009D1568"/>
    <w:rsid w:val="009D49BE"/>
    <w:rsid w:val="00A011B5"/>
    <w:rsid w:val="00A16D9E"/>
    <w:rsid w:val="00A229EC"/>
    <w:rsid w:val="00A32DF4"/>
    <w:rsid w:val="00A5061A"/>
    <w:rsid w:val="00A7059D"/>
    <w:rsid w:val="00A815FB"/>
    <w:rsid w:val="00A8675F"/>
    <w:rsid w:val="00A8719C"/>
    <w:rsid w:val="00A87924"/>
    <w:rsid w:val="00A87B63"/>
    <w:rsid w:val="00AB1FE3"/>
    <w:rsid w:val="00AB39ED"/>
    <w:rsid w:val="00AC62E8"/>
    <w:rsid w:val="00AE42C2"/>
    <w:rsid w:val="00AF3B6B"/>
    <w:rsid w:val="00B40198"/>
    <w:rsid w:val="00B41CBB"/>
    <w:rsid w:val="00B86EEA"/>
    <w:rsid w:val="00B91E9E"/>
    <w:rsid w:val="00BB6EE3"/>
    <w:rsid w:val="00BF012E"/>
    <w:rsid w:val="00C04807"/>
    <w:rsid w:val="00C13AE5"/>
    <w:rsid w:val="00C26783"/>
    <w:rsid w:val="00C3718A"/>
    <w:rsid w:val="00C44C03"/>
    <w:rsid w:val="00C57660"/>
    <w:rsid w:val="00C61EC3"/>
    <w:rsid w:val="00C75CE0"/>
    <w:rsid w:val="00CA7627"/>
    <w:rsid w:val="00CB5F8A"/>
    <w:rsid w:val="00CE50F9"/>
    <w:rsid w:val="00D028D2"/>
    <w:rsid w:val="00D40469"/>
    <w:rsid w:val="00D5460F"/>
    <w:rsid w:val="00D63FF0"/>
    <w:rsid w:val="00D7239D"/>
    <w:rsid w:val="00D80EF3"/>
    <w:rsid w:val="00DA3FB8"/>
    <w:rsid w:val="00DB25FE"/>
    <w:rsid w:val="00DC39B1"/>
    <w:rsid w:val="00DC4DA5"/>
    <w:rsid w:val="00DC55E1"/>
    <w:rsid w:val="00DD6795"/>
    <w:rsid w:val="00DE76D1"/>
    <w:rsid w:val="00E11790"/>
    <w:rsid w:val="00E15550"/>
    <w:rsid w:val="00E30ED0"/>
    <w:rsid w:val="00E33635"/>
    <w:rsid w:val="00E34559"/>
    <w:rsid w:val="00E34E76"/>
    <w:rsid w:val="00E45E8B"/>
    <w:rsid w:val="00E77AA4"/>
    <w:rsid w:val="00E82F77"/>
    <w:rsid w:val="00E83683"/>
    <w:rsid w:val="00EA11D4"/>
    <w:rsid w:val="00EC45A0"/>
    <w:rsid w:val="00ED0257"/>
    <w:rsid w:val="00EE1540"/>
    <w:rsid w:val="00EE1D50"/>
    <w:rsid w:val="00EE29F6"/>
    <w:rsid w:val="00EE6F20"/>
    <w:rsid w:val="00F11FD4"/>
    <w:rsid w:val="00F12571"/>
    <w:rsid w:val="00F165F9"/>
    <w:rsid w:val="00F31252"/>
    <w:rsid w:val="00F32B7C"/>
    <w:rsid w:val="00F60524"/>
    <w:rsid w:val="00F72364"/>
    <w:rsid w:val="00F824C1"/>
    <w:rsid w:val="00FD1849"/>
    <w:rsid w:val="00FD4B05"/>
    <w:rsid w:val="00FD6B72"/>
    <w:rsid w:val="00FE40C6"/>
    <w:rsid w:val="00FE4676"/>
    <w:rsid w:val="00FE7D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13428"/>
  <w15:docId w15:val="{38D85502-D02A-4FA1-9D77-CAE6441B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1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053C0"/>
  </w:style>
  <w:style w:type="character" w:styleId="Hipervnculo">
    <w:name w:val="Hyperlink"/>
    <w:basedOn w:val="Fuentedeprrafopredeter"/>
    <w:uiPriority w:val="99"/>
    <w:unhideWhenUsed/>
    <w:rsid w:val="003053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F9B7-9E91-4658-88F4-A26EC696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737</Words>
  <Characters>4057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Sandra Ivette Razo De La Paz</cp:lastModifiedBy>
  <cp:revision>4</cp:revision>
  <cp:lastPrinted>2019-08-19T21:47:00Z</cp:lastPrinted>
  <dcterms:created xsi:type="dcterms:W3CDTF">2021-10-08T18:28:00Z</dcterms:created>
  <dcterms:modified xsi:type="dcterms:W3CDTF">2021-10-11T18:39:00Z</dcterms:modified>
</cp:coreProperties>
</file>