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EAA" w:rsidRDefault="001A2718" w:rsidP="00305EAA">
      <w:pPr>
        <w:widowControl w:val="0"/>
        <w:spacing w:line="360" w:lineRule="auto"/>
        <w:ind w:right="-164"/>
        <w:jc w:val="both"/>
        <w:rPr>
          <w:rFonts w:ascii="Palatino Linotype" w:hAnsi="Palatino Linotype" w:cs="Arial"/>
          <w:b/>
        </w:rPr>
      </w:pPr>
      <w:r>
        <w:rPr>
          <w:rFonts w:ascii="Palatino Linotype" w:hAnsi="Palatino Linotype" w:cs="Arial"/>
          <w:b/>
        </w:rPr>
        <w:t xml:space="preserve">OPINIÓN </w:t>
      </w:r>
      <w:r w:rsidRPr="0007653D">
        <w:rPr>
          <w:rFonts w:ascii="Palatino Linotype" w:hAnsi="Palatino Linotype" w:cs="Arial"/>
          <w:b/>
        </w:rPr>
        <w:t xml:space="preserve">PARTICULAR QUE FORMULA LA COMISIONADA </w:t>
      </w:r>
      <w:r>
        <w:rPr>
          <w:rFonts w:ascii="Palatino Linotype" w:hAnsi="Palatino Linotype" w:cs="Arial"/>
          <w:b/>
        </w:rPr>
        <w:t>SHARON CRISTINA MORALES MARTÍNEZ</w:t>
      </w:r>
      <w:r w:rsidRPr="0007653D">
        <w:rPr>
          <w:rFonts w:ascii="Palatino Linotype" w:hAnsi="Palatino Linotype" w:cs="Arial"/>
          <w:b/>
        </w:rPr>
        <w:t>, EN RELACIÓN CON LA RESOLUCIÓN DICTADA POR EL PLENO DEL INSTITUTO DE TRANSPARENCIA, ACCESO A LA INFORMACIÓN PÚBLICA Y PROTECCIÓN DE DATOS PERSONALES DEL ESTAD</w:t>
      </w:r>
      <w:r>
        <w:rPr>
          <w:rFonts w:ascii="Palatino Linotype" w:hAnsi="Palatino Linotype" w:cs="Arial"/>
          <w:b/>
        </w:rPr>
        <w:t>O DE MÉXICO Y MUNICIPIOS, EN LA TRIGÉSIMA SESIÓN</w:t>
      </w:r>
      <w:r w:rsidRPr="0007653D">
        <w:rPr>
          <w:rFonts w:ascii="Palatino Linotype" w:hAnsi="Palatino Linotype" w:cs="Arial"/>
          <w:b/>
        </w:rPr>
        <w:t xml:space="preserve"> ORDINARIA DE </w:t>
      </w:r>
      <w:r>
        <w:rPr>
          <w:rFonts w:ascii="Palatino Linotype" w:hAnsi="Palatino Linotype" w:cs="Arial"/>
          <w:b/>
        </w:rPr>
        <w:t>UNO DE SEPTIEMBRE DE DOS MIL VEINTIUNO, EN EL</w:t>
      </w:r>
      <w:r w:rsidRPr="0007653D">
        <w:rPr>
          <w:rFonts w:ascii="Palatino Linotype" w:hAnsi="Palatino Linotype" w:cs="Arial"/>
          <w:b/>
        </w:rPr>
        <w:t xml:space="preserve"> RECURSO</w:t>
      </w:r>
      <w:r>
        <w:rPr>
          <w:rFonts w:ascii="Palatino Linotype" w:hAnsi="Palatino Linotype" w:cs="Arial"/>
          <w:b/>
        </w:rPr>
        <w:t xml:space="preserve"> DE REVISIÓN </w:t>
      </w:r>
      <w:r w:rsidR="00FF33B0" w:rsidRPr="00FF33B0">
        <w:rPr>
          <w:rFonts w:ascii="Palatino Linotype" w:hAnsi="Palatino Linotype" w:cs="Arial"/>
          <w:b/>
        </w:rPr>
        <w:t>03436/INFOEM/IP/RR/2021</w:t>
      </w:r>
      <w:r>
        <w:rPr>
          <w:rFonts w:ascii="Palatino Linotype" w:hAnsi="Palatino Linotype" w:cs="Arial"/>
          <w:b/>
        </w:rPr>
        <w:t>.</w:t>
      </w:r>
    </w:p>
    <w:p w:rsidR="009F58FC" w:rsidRPr="00F62EE0" w:rsidRDefault="009F58FC" w:rsidP="00305EAA">
      <w:pPr>
        <w:widowControl w:val="0"/>
        <w:spacing w:line="360" w:lineRule="auto"/>
        <w:ind w:right="-164"/>
        <w:jc w:val="both"/>
        <w:rPr>
          <w:rFonts w:ascii="Palatino Linotype" w:eastAsia="Calibri" w:hAnsi="Palatino Linotype" w:cs="Arial"/>
          <w:b/>
          <w:color w:val="000000"/>
          <w:spacing w:val="-20"/>
        </w:rPr>
      </w:pPr>
    </w:p>
    <w:p w:rsidR="00305EAA" w:rsidRDefault="00305EAA" w:rsidP="00305EAA">
      <w:pPr>
        <w:spacing w:line="360" w:lineRule="auto"/>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008E27F4">
        <w:rPr>
          <w:rFonts w:ascii="Palatino Linotype" w:hAnsi="Palatino Linotype" w:cs="Arial"/>
          <w:b/>
        </w:rPr>
        <w:t>Sharon Cristina Morales Martínez</w:t>
      </w:r>
      <w:r w:rsidRPr="00E42755">
        <w:rPr>
          <w:rFonts w:ascii="Palatino Linotype" w:hAnsi="Palatino Linotype" w:cs="Arial"/>
          <w:b/>
        </w:rPr>
        <w:t xml:space="preserve"> </w:t>
      </w:r>
      <w:r w:rsidRPr="00E42755">
        <w:rPr>
          <w:rFonts w:ascii="Palatino Linotype" w:hAnsi="Palatino Linotype" w:cs="Arial"/>
        </w:rPr>
        <w:t xml:space="preserve">emite </w:t>
      </w:r>
      <w:r w:rsidR="008E27F4">
        <w:rPr>
          <w:rFonts w:ascii="Palatino Linotype" w:hAnsi="Palatino Linotype" w:cs="Arial"/>
          <w:b/>
        </w:rPr>
        <w:t>opinión</w:t>
      </w:r>
      <w:r w:rsidRPr="00E42755">
        <w:rPr>
          <w:rFonts w:ascii="Palatino Linotype" w:hAnsi="Palatino Linotype" w:cs="Arial"/>
          <w:b/>
        </w:rPr>
        <w:t xml:space="preserve"> </w:t>
      </w:r>
      <w:r w:rsidR="008E27F4" w:rsidRPr="00E42755">
        <w:rPr>
          <w:rFonts w:ascii="Palatino Linotype" w:hAnsi="Palatino Linotype" w:cs="Arial"/>
          <w:b/>
        </w:rPr>
        <w:t xml:space="preserve">particular </w:t>
      </w:r>
      <w:r w:rsidRPr="00E42755">
        <w:rPr>
          <w:rFonts w:ascii="Palatino Linotype" w:hAnsi="Palatino Linotype" w:cs="Arial"/>
        </w:rPr>
        <w:t>respec</w:t>
      </w:r>
      <w:r>
        <w:rPr>
          <w:rFonts w:ascii="Palatino Linotype" w:hAnsi="Palatino Linotype" w:cs="Arial"/>
        </w:rPr>
        <w:t xml:space="preserve">to de la resolución dictada en </w:t>
      </w:r>
      <w:r w:rsidR="009F58FC">
        <w:rPr>
          <w:rFonts w:ascii="Palatino Linotype" w:hAnsi="Palatino Linotype" w:cs="Arial"/>
        </w:rPr>
        <w:t>el</w:t>
      </w:r>
      <w:r w:rsidRPr="00E42755">
        <w:rPr>
          <w:rFonts w:ascii="Palatino Linotype" w:hAnsi="Palatino Linotype" w:cs="Arial"/>
        </w:rPr>
        <w:t xml:space="preserve"> recurso de revisión</w:t>
      </w:r>
      <w:r>
        <w:rPr>
          <w:rFonts w:ascii="Palatino Linotype" w:hAnsi="Palatino Linotype" w:cs="Arial"/>
        </w:rPr>
        <w:t xml:space="preserve"> </w:t>
      </w:r>
      <w:r w:rsidR="00FF33B0" w:rsidRPr="00FF33B0">
        <w:rPr>
          <w:rFonts w:ascii="Palatino Linotype" w:hAnsi="Palatino Linotype" w:cs="Arial"/>
          <w:b/>
        </w:rPr>
        <w:t>03436/INFOEM/IP/RR/2021</w:t>
      </w:r>
      <w:r w:rsidRPr="00E42755">
        <w:rPr>
          <w:rFonts w:ascii="Palatino Linotype" w:hAnsi="Palatino Linotype" w:cs="Arial"/>
        </w:rPr>
        <w:t xml:space="preserve">, pronunciada por el Pleno de este Instituto ante el proyecto presentado por </w:t>
      </w:r>
      <w:r w:rsidR="00FF33B0">
        <w:rPr>
          <w:rFonts w:ascii="Palatino Linotype" w:hAnsi="Palatino Linotype" w:cs="Arial"/>
        </w:rPr>
        <w:t>el</w:t>
      </w:r>
      <w:r>
        <w:rPr>
          <w:rFonts w:ascii="Palatino Linotype" w:hAnsi="Palatino Linotype" w:cs="Arial"/>
        </w:rPr>
        <w:t xml:space="preserve"> </w:t>
      </w:r>
      <w:r w:rsidRPr="00E42755">
        <w:rPr>
          <w:rFonts w:ascii="Palatino Linotype" w:hAnsi="Palatino Linotype" w:cs="Arial"/>
        </w:rPr>
        <w:t>Comisionad</w:t>
      </w:r>
      <w:r w:rsidR="00FF33B0">
        <w:rPr>
          <w:rFonts w:ascii="Palatino Linotype" w:hAnsi="Palatino Linotype" w:cs="Arial"/>
        </w:rPr>
        <w:t>o</w:t>
      </w:r>
      <w:r>
        <w:rPr>
          <w:rFonts w:ascii="Palatino Linotype" w:hAnsi="Palatino Linotype" w:cs="Arial"/>
        </w:rPr>
        <w:t xml:space="preserve"> </w:t>
      </w:r>
      <w:r w:rsidR="00FF33B0">
        <w:rPr>
          <w:rFonts w:ascii="Palatino Linotype" w:hAnsi="Palatino Linotype" w:cs="Arial"/>
          <w:b/>
        </w:rPr>
        <w:t>Luis Gustavo Parra Noriega</w:t>
      </w:r>
      <w:r w:rsidRPr="0007653D">
        <w:rPr>
          <w:rFonts w:ascii="Palatino Linotype" w:hAnsi="Palatino Linotype" w:cs="Arial"/>
        </w:rPr>
        <w:t xml:space="preserve">, </w:t>
      </w:r>
      <w:r>
        <w:rPr>
          <w:rFonts w:ascii="Palatino Linotype" w:hAnsi="Palatino Linotype" w:cs="Arial"/>
        </w:rPr>
        <w:t>que es del tenor siguiente.</w:t>
      </w:r>
    </w:p>
    <w:p w:rsidR="00305EAA" w:rsidRPr="00E42755" w:rsidRDefault="00305EAA" w:rsidP="00305EAA">
      <w:pPr>
        <w:spacing w:line="360" w:lineRule="auto"/>
        <w:jc w:val="both"/>
        <w:rPr>
          <w:rFonts w:ascii="Palatino Linotype" w:hAnsi="Palatino Linotype" w:cs="Arial"/>
        </w:rPr>
      </w:pPr>
    </w:p>
    <w:p w:rsidR="00305EAA" w:rsidRDefault="00305EAA" w:rsidP="00305EAA">
      <w:pPr>
        <w:spacing w:line="360" w:lineRule="auto"/>
        <w:jc w:val="both"/>
        <w:rPr>
          <w:rFonts w:ascii="Palatino Linotype" w:hAnsi="Palatino Linotype"/>
        </w:rPr>
      </w:pPr>
      <w:r w:rsidRPr="00D93A88">
        <w:rPr>
          <w:rFonts w:ascii="Palatino Linotype" w:hAnsi="Palatino Linotype"/>
        </w:rPr>
        <w:t xml:space="preserve">Es </w:t>
      </w:r>
      <w:r>
        <w:rPr>
          <w:rFonts w:ascii="Palatino Linotype" w:hAnsi="Palatino Linotype"/>
        </w:rPr>
        <w:t xml:space="preserve">las causas </w:t>
      </w:r>
      <w:r w:rsidR="00FF33B0" w:rsidRPr="00D93A88">
        <w:rPr>
          <w:rFonts w:ascii="Palatino Linotype" w:hAnsi="Palatino Linotype"/>
        </w:rPr>
        <w:t>de destacar,</w:t>
      </w:r>
      <w:r w:rsidR="00FF33B0">
        <w:rPr>
          <w:rFonts w:ascii="Palatino Linotype" w:hAnsi="Palatino Linotype"/>
        </w:rPr>
        <w:t xml:space="preserve"> </w:t>
      </w:r>
      <w:r w:rsidR="00FF33B0" w:rsidRPr="00D93A88">
        <w:rPr>
          <w:rFonts w:ascii="Palatino Linotype" w:hAnsi="Palatino Linotype"/>
        </w:rPr>
        <w:t>compart</w:t>
      </w:r>
      <w:r w:rsidR="00FF33B0">
        <w:rPr>
          <w:rFonts w:ascii="Palatino Linotype" w:hAnsi="Palatino Linotype"/>
        </w:rPr>
        <w:t xml:space="preserve">o esencialmente </w:t>
      </w:r>
      <w:r w:rsidR="00325073">
        <w:rPr>
          <w:rFonts w:ascii="Palatino Linotype" w:hAnsi="Palatino Linotype"/>
        </w:rPr>
        <w:t xml:space="preserve">las causas </w:t>
      </w:r>
      <w:r>
        <w:rPr>
          <w:rFonts w:ascii="Palatino Linotype" w:hAnsi="Palatino Linotype"/>
        </w:rPr>
        <w:t>que dieron origen a</w:t>
      </w:r>
      <w:r w:rsidR="00CA7C5E">
        <w:rPr>
          <w:rFonts w:ascii="Palatino Linotype" w:hAnsi="Palatino Linotype"/>
        </w:rPr>
        <w:t>l</w:t>
      </w:r>
      <w:r>
        <w:rPr>
          <w:rFonts w:ascii="Palatino Linotype" w:hAnsi="Palatino Linotype"/>
        </w:rPr>
        <w:t xml:space="preserve"> recurso de r</w:t>
      </w:r>
      <w:r w:rsidRPr="00D93A88">
        <w:rPr>
          <w:rFonts w:ascii="Palatino Linotype" w:hAnsi="Palatino Linotype"/>
        </w:rPr>
        <w:t>evis</w:t>
      </w:r>
      <w:r>
        <w:rPr>
          <w:rFonts w:ascii="Palatino Linotype" w:hAnsi="Palatino Linotype"/>
        </w:rPr>
        <w:t>ión; empero, estimo</w:t>
      </w:r>
      <w:r w:rsidRPr="00D93A88">
        <w:rPr>
          <w:rFonts w:ascii="Palatino Linotype" w:hAnsi="Palatino Linotype"/>
        </w:rPr>
        <w:t xml:space="preserve"> necesario </w:t>
      </w:r>
      <w:r w:rsidR="008E27F4">
        <w:rPr>
          <w:rFonts w:ascii="Palatino Linotype" w:hAnsi="Palatino Linotype"/>
        </w:rPr>
        <w:t>reforzar</w:t>
      </w:r>
      <w:r w:rsidRPr="00D93A88">
        <w:rPr>
          <w:rFonts w:ascii="Palatino Linotype" w:hAnsi="Palatino Linotype"/>
        </w:rPr>
        <w:t xml:space="preserve"> algunas consideraciones de hecho y de derecho</w:t>
      </w:r>
      <w:r>
        <w:rPr>
          <w:rFonts w:ascii="Palatino Linotype" w:hAnsi="Palatino Linotype"/>
        </w:rPr>
        <w:t>, en la resolución correspondiente.</w:t>
      </w:r>
    </w:p>
    <w:p w:rsidR="009F58FC" w:rsidRDefault="009F58FC" w:rsidP="00305EAA">
      <w:pPr>
        <w:spacing w:line="360" w:lineRule="auto"/>
        <w:jc w:val="both"/>
        <w:rPr>
          <w:rFonts w:ascii="Palatino Linotype" w:hAnsi="Palatino Linotype"/>
        </w:rPr>
      </w:pPr>
    </w:p>
    <w:p w:rsidR="00305EAA" w:rsidRDefault="00305EAA" w:rsidP="00305EAA">
      <w:pPr>
        <w:spacing w:line="360" w:lineRule="auto"/>
        <w:jc w:val="both"/>
        <w:rPr>
          <w:rFonts w:ascii="Palatino Linotype" w:hAnsi="Palatino Linotype"/>
        </w:rPr>
      </w:pPr>
      <w:r>
        <w:rPr>
          <w:rFonts w:ascii="Palatino Linotype" w:hAnsi="Palatino Linotype"/>
        </w:rPr>
        <w:t>Al respecto, t</w:t>
      </w:r>
      <w:r w:rsidRPr="00D93A88">
        <w:rPr>
          <w:rFonts w:ascii="Palatino Linotype" w:hAnsi="Palatino Linotype"/>
        </w:rPr>
        <w:t>al y como quedó debidamente asentado en la resolución materia de</w:t>
      </w:r>
      <w:r w:rsidR="008E27F4">
        <w:rPr>
          <w:rFonts w:ascii="Palatino Linotype" w:hAnsi="Palatino Linotype"/>
        </w:rPr>
        <w:t xml:space="preserve"> </w:t>
      </w:r>
      <w:r w:rsidRPr="00D93A88">
        <w:rPr>
          <w:rFonts w:ascii="Palatino Linotype" w:hAnsi="Palatino Linotype"/>
        </w:rPr>
        <w:t>l</w:t>
      </w:r>
      <w:r w:rsidR="008E27F4">
        <w:rPr>
          <w:rFonts w:ascii="Palatino Linotype" w:hAnsi="Palatino Linotype"/>
        </w:rPr>
        <w:t>a</w:t>
      </w:r>
      <w:r w:rsidRPr="00D93A88">
        <w:rPr>
          <w:rFonts w:ascii="Palatino Linotype" w:hAnsi="Palatino Linotype"/>
        </w:rPr>
        <w:t xml:space="preserve"> presente </w:t>
      </w:r>
      <w:r w:rsidR="008E27F4">
        <w:rPr>
          <w:rFonts w:ascii="Palatino Linotype" w:hAnsi="Palatino Linotype"/>
        </w:rPr>
        <w:t>opinión</w:t>
      </w:r>
      <w:r w:rsidRPr="00D93A88">
        <w:rPr>
          <w:rFonts w:ascii="Palatino Linotype" w:hAnsi="Palatino Linotype"/>
        </w:rPr>
        <w:t xml:space="preserve">, </w:t>
      </w:r>
      <w:r w:rsidR="008E27F4">
        <w:rPr>
          <w:rFonts w:ascii="Palatino Linotype" w:hAnsi="Palatino Linotype"/>
        </w:rPr>
        <w:t xml:space="preserve">el </w:t>
      </w:r>
      <w:r w:rsidRPr="00D93A88">
        <w:rPr>
          <w:rFonts w:ascii="Palatino Linotype" w:hAnsi="Palatino Linotype"/>
        </w:rPr>
        <w:t xml:space="preserve">particular </w:t>
      </w:r>
      <w:r>
        <w:rPr>
          <w:rFonts w:ascii="Palatino Linotype" w:hAnsi="Palatino Linotype"/>
        </w:rPr>
        <w:t>requirió de</w:t>
      </w:r>
      <w:r w:rsidR="00FF33B0">
        <w:rPr>
          <w:rFonts w:ascii="Palatino Linotype" w:hAnsi="Palatino Linotype"/>
        </w:rPr>
        <w:t xml:space="preserve">l </w:t>
      </w:r>
      <w:r w:rsidR="00FF33B0" w:rsidRPr="00FF33B0">
        <w:rPr>
          <w:rFonts w:ascii="Palatino Linotype" w:hAnsi="Palatino Linotype"/>
        </w:rPr>
        <w:t>Sistema de Transporte Masivo y Teleférico del Estado de México</w:t>
      </w:r>
      <w:r>
        <w:rPr>
          <w:rFonts w:ascii="Palatino Linotype" w:hAnsi="Palatino Linotype"/>
          <w:b/>
        </w:rPr>
        <w:t xml:space="preserve">, </w:t>
      </w:r>
      <w:r>
        <w:rPr>
          <w:rFonts w:ascii="Palatino Linotype" w:hAnsi="Palatino Linotype"/>
        </w:rPr>
        <w:t xml:space="preserve">en lo sucesivo </w:t>
      </w:r>
      <w:r>
        <w:rPr>
          <w:rFonts w:ascii="Palatino Linotype" w:hAnsi="Palatino Linotype"/>
          <w:b/>
        </w:rPr>
        <w:t xml:space="preserve">EL SUJETO OBLIGADO, </w:t>
      </w:r>
      <w:r w:rsidR="00FF33B0">
        <w:rPr>
          <w:rFonts w:ascii="Palatino Linotype" w:hAnsi="Palatino Linotype"/>
        </w:rPr>
        <w:t xml:space="preserve">remitiera </w:t>
      </w:r>
      <w:r w:rsidR="00FF33B0" w:rsidRPr="00FF33B0">
        <w:rPr>
          <w:rFonts w:ascii="Palatino Linotype" w:hAnsi="Palatino Linotype"/>
          <w:i/>
        </w:rPr>
        <w:t>la Información relacionada a los sistemas de transporte del Estado de México. Obtener información sobre la afluencia de pasajeros por estacion por dia o en su caso por mes, para los años 2015 - 2021 de los siguientes sistemas de transporte: - Mexibus Linea 1: Ciudad Azteca - Ojo de Agua - Mexibus Linea 2: Las Américas - La Quebrada -Mexibus Linea 3: Chimalhuacán - CETRAM Pantitlán - Mexibus Linea 4: Indios Verdes - Tecamac - Mexicable: La cañana - Santa clara</w:t>
      </w:r>
      <w:r w:rsidR="00CA7C5E" w:rsidRPr="00FF33B0">
        <w:rPr>
          <w:rFonts w:ascii="Palatino Linotype" w:hAnsi="Palatino Linotype"/>
          <w:i/>
        </w:rPr>
        <w:t>.</w:t>
      </w:r>
    </w:p>
    <w:p w:rsidR="00305EAA" w:rsidRDefault="00305EAA" w:rsidP="00305EAA">
      <w:pPr>
        <w:spacing w:line="360" w:lineRule="auto"/>
        <w:jc w:val="both"/>
        <w:rPr>
          <w:rFonts w:ascii="Palatino Linotype" w:hAnsi="Palatino Linotype"/>
        </w:rPr>
      </w:pPr>
    </w:p>
    <w:p w:rsidR="00CA7C5E" w:rsidRDefault="008E27F4" w:rsidP="00305EAA">
      <w:pPr>
        <w:spacing w:line="360" w:lineRule="auto"/>
        <w:ind w:right="49"/>
        <w:jc w:val="both"/>
        <w:rPr>
          <w:rFonts w:ascii="Palatino Linotype" w:hAnsi="Palatino Linotype" w:cs="Arial"/>
        </w:rPr>
      </w:pPr>
      <w:r>
        <w:rPr>
          <w:rFonts w:ascii="Palatino Linotype" w:hAnsi="Palatino Linotype" w:cs="Arial"/>
        </w:rPr>
        <w:t>Del expediente electrónico que obra en e</w:t>
      </w:r>
      <w:r w:rsidR="00305EAA">
        <w:rPr>
          <w:rFonts w:ascii="Palatino Linotype" w:hAnsi="Palatino Linotype" w:cs="Arial"/>
        </w:rPr>
        <w:t xml:space="preserve">l </w:t>
      </w:r>
      <w:r w:rsidR="00305EAA" w:rsidRPr="00D87598">
        <w:rPr>
          <w:rFonts w:ascii="Palatino Linotype" w:hAnsi="Palatino Linotype" w:cs="Arial"/>
        </w:rPr>
        <w:t>Sistema de Acceso a la Información Mexiquens</w:t>
      </w:r>
      <w:r w:rsidR="00305EAA">
        <w:rPr>
          <w:rFonts w:ascii="Palatino Linotype" w:hAnsi="Palatino Linotype" w:cs="Arial"/>
        </w:rPr>
        <w:t xml:space="preserve">e, </w:t>
      </w:r>
      <w:r w:rsidR="00305EAA" w:rsidRPr="00674996">
        <w:rPr>
          <w:rFonts w:ascii="Palatino Linotype" w:hAnsi="Palatino Linotype" w:cs="Arial"/>
          <w:b/>
        </w:rPr>
        <w:t>SAIMEX</w:t>
      </w:r>
      <w:r w:rsidR="00305EAA">
        <w:rPr>
          <w:rFonts w:ascii="Palatino Linotype" w:hAnsi="Palatino Linotype" w:cs="Arial"/>
          <w:b/>
        </w:rPr>
        <w:t xml:space="preserve">, </w:t>
      </w:r>
      <w:r w:rsidR="00305EAA">
        <w:rPr>
          <w:rFonts w:ascii="Palatino Linotype" w:hAnsi="Palatino Linotype" w:cs="Arial"/>
        </w:rPr>
        <w:t xml:space="preserve">se advierte que </w:t>
      </w:r>
      <w:r w:rsidR="00305EAA" w:rsidRPr="00B57FE6">
        <w:rPr>
          <w:rFonts w:ascii="Palatino Linotype" w:hAnsi="Palatino Linotype" w:cs="Arial"/>
          <w:b/>
        </w:rPr>
        <w:t>EL SUJETO OBLIGADO</w:t>
      </w:r>
      <w:r w:rsidR="00305EAA" w:rsidRPr="00AD7F4F">
        <w:rPr>
          <w:rFonts w:ascii="Palatino Linotype" w:hAnsi="Palatino Linotype" w:cs="Arial"/>
        </w:rPr>
        <w:t>,</w:t>
      </w:r>
      <w:r w:rsidR="00FF33B0">
        <w:rPr>
          <w:rFonts w:ascii="Palatino Linotype" w:hAnsi="Palatino Linotype" w:cs="Arial"/>
        </w:rPr>
        <w:t xml:space="preserve"> remitió la información estadística que conforme a su dicho es con la que cuenta, siendo para la Línea 1 del 1 de enero de 2016 al 30 de mayo de 2021; para la Línea 2 del 2 de mayo de 2015 al 28 de mayo de 2021; respecto de la Línea 3 del 9 de diciembre de 2017 al 31 de mayo de 2021; referente a la Línea 4 del 1 de octubre de 2017 al 31 de mayo de 2021; y finalmente cuanto hace al Mexicable, del 1 de octubre de 2016 al 31 de mayo de 2021.</w:t>
      </w:r>
    </w:p>
    <w:p w:rsidR="00305EAA" w:rsidRDefault="00305EAA" w:rsidP="00305EAA">
      <w:pPr>
        <w:spacing w:line="360" w:lineRule="auto"/>
        <w:ind w:right="49"/>
        <w:jc w:val="both"/>
        <w:rPr>
          <w:rFonts w:ascii="Palatino Linotype" w:hAnsi="Palatino Linotype" w:cs="Arial"/>
        </w:rPr>
      </w:pPr>
    </w:p>
    <w:p w:rsidR="00476DD3" w:rsidRPr="00FF33B0" w:rsidRDefault="00476DD3" w:rsidP="00305EAA">
      <w:pPr>
        <w:spacing w:line="360" w:lineRule="auto"/>
        <w:ind w:right="49"/>
        <w:jc w:val="both"/>
        <w:rPr>
          <w:rFonts w:ascii="Palatino Linotype" w:hAnsi="Palatino Linotype" w:cs="Arial"/>
          <w:i/>
        </w:rPr>
      </w:pPr>
      <w:r>
        <w:rPr>
          <w:rFonts w:ascii="Palatino Linotype" w:hAnsi="Palatino Linotype" w:cs="Arial"/>
        </w:rPr>
        <w:t xml:space="preserve">Por lo anterior, el entonces solicitante interpuso el recurso de revisión manifestando como razones o motivos de inconformidad que </w:t>
      </w:r>
      <w:r w:rsidR="00FF33B0" w:rsidRPr="00FF33B0">
        <w:rPr>
          <w:rFonts w:ascii="Palatino Linotype" w:hAnsi="Palatino Linotype" w:cs="Arial"/>
          <w:i/>
        </w:rPr>
        <w:t>yo requiero es el dato total de pasajeros por dia para cada una de la estación de todas las lineas de Mexibus y Mexicable del 2015 a 2021</w:t>
      </w:r>
      <w:r w:rsidR="00FF33B0" w:rsidRPr="00FF33B0">
        <w:rPr>
          <w:rFonts w:ascii="Palatino Linotype" w:hAnsi="Palatino Linotype" w:cs="Arial"/>
        </w:rPr>
        <w:t>.(sic)</w:t>
      </w:r>
    </w:p>
    <w:p w:rsidR="00FF33B0" w:rsidRDefault="00FF33B0" w:rsidP="00A77728">
      <w:pPr>
        <w:spacing w:line="360" w:lineRule="auto"/>
        <w:ind w:right="49"/>
        <w:jc w:val="both"/>
        <w:rPr>
          <w:rFonts w:ascii="Palatino Linotype" w:hAnsi="Palatino Linotype" w:cs="Arial"/>
        </w:rPr>
      </w:pPr>
    </w:p>
    <w:p w:rsidR="00AA00E6" w:rsidRDefault="00305EAA" w:rsidP="00A77728">
      <w:pPr>
        <w:spacing w:line="360" w:lineRule="auto"/>
        <w:ind w:right="49"/>
        <w:jc w:val="both"/>
        <w:rPr>
          <w:rFonts w:ascii="Palatino Linotype" w:hAnsi="Palatino Linotype" w:cs="Arial"/>
        </w:rPr>
      </w:pPr>
      <w:r>
        <w:rPr>
          <w:rFonts w:ascii="Palatino Linotype" w:hAnsi="Palatino Linotype" w:cs="Arial"/>
        </w:rPr>
        <w:t xml:space="preserve">Así, la Ponencia Resolutora determinó </w:t>
      </w:r>
      <w:r w:rsidR="00476DD3" w:rsidRPr="008478AA">
        <w:rPr>
          <w:rFonts w:ascii="Palatino Linotype" w:hAnsi="Palatino Linotype" w:cs="Arial"/>
          <w:b/>
        </w:rPr>
        <w:t>modificar</w:t>
      </w:r>
      <w:r w:rsidR="00476DD3" w:rsidRPr="008478AA">
        <w:rPr>
          <w:rFonts w:ascii="Palatino Linotype" w:hAnsi="Palatino Linotype" w:cs="Arial"/>
        </w:rPr>
        <w:t xml:space="preserve"> la respuesta y ordenar </w:t>
      </w:r>
      <w:r w:rsidRPr="008478AA">
        <w:rPr>
          <w:rFonts w:ascii="Palatino Linotype" w:hAnsi="Palatino Linotype" w:cs="Arial"/>
        </w:rPr>
        <w:t>la entrega</w:t>
      </w:r>
      <w:r>
        <w:rPr>
          <w:rFonts w:ascii="Palatino Linotype" w:hAnsi="Palatino Linotype" w:cs="Arial"/>
        </w:rPr>
        <w:t xml:space="preserve"> vía SAIMEX de</w:t>
      </w:r>
      <w:r w:rsidR="00AA00E6">
        <w:rPr>
          <w:rFonts w:ascii="Palatino Linotype" w:hAnsi="Palatino Linotype" w:cs="Arial"/>
        </w:rPr>
        <w:t xml:space="preserve"> lo siguiente:</w:t>
      </w:r>
    </w:p>
    <w:p w:rsidR="001E5976" w:rsidRPr="001E5976" w:rsidRDefault="001E5976" w:rsidP="001E5976">
      <w:pPr>
        <w:pStyle w:val="Prrafodelista"/>
        <w:spacing w:line="276" w:lineRule="auto"/>
        <w:ind w:left="1069" w:right="757"/>
        <w:jc w:val="both"/>
        <w:rPr>
          <w:rFonts w:ascii="Palatino Linotype" w:hAnsi="Palatino Linotype" w:cs="Arial"/>
          <w:i/>
          <w:sz w:val="22"/>
        </w:rPr>
      </w:pPr>
      <w:r w:rsidRPr="001E5976">
        <w:rPr>
          <w:rFonts w:ascii="Palatino Linotype" w:hAnsi="Palatino Linotype" w:cs="Arial"/>
          <w:i/>
          <w:sz w:val="22"/>
        </w:rPr>
        <w:t>•</w:t>
      </w:r>
      <w:r w:rsidRPr="001E5976">
        <w:rPr>
          <w:rFonts w:ascii="Palatino Linotype" w:hAnsi="Palatino Linotype" w:cs="Arial"/>
          <w:i/>
          <w:sz w:val="22"/>
        </w:rPr>
        <w:tab/>
        <w:t>Información estadística por día sobre la afluencia de pasajeros por día de la siguiente manera:</w:t>
      </w:r>
    </w:p>
    <w:p w:rsidR="001E5976" w:rsidRPr="001E5976" w:rsidRDefault="001E5976" w:rsidP="001E5976">
      <w:pPr>
        <w:pStyle w:val="Prrafodelista"/>
        <w:spacing w:line="276" w:lineRule="auto"/>
        <w:ind w:left="1069" w:right="757"/>
        <w:jc w:val="both"/>
        <w:rPr>
          <w:rFonts w:ascii="Palatino Linotype" w:hAnsi="Palatino Linotype" w:cs="Arial"/>
          <w:i/>
          <w:sz w:val="22"/>
        </w:rPr>
      </w:pPr>
    </w:p>
    <w:p w:rsidR="001E5976" w:rsidRPr="001E5976" w:rsidRDefault="001E5976" w:rsidP="001E5976">
      <w:pPr>
        <w:pStyle w:val="Prrafodelista"/>
        <w:spacing w:line="276" w:lineRule="auto"/>
        <w:ind w:left="1069" w:right="757"/>
        <w:jc w:val="both"/>
        <w:rPr>
          <w:rFonts w:ascii="Palatino Linotype" w:hAnsi="Palatino Linotype" w:cs="Arial"/>
          <w:i/>
          <w:sz w:val="22"/>
        </w:rPr>
      </w:pPr>
      <w:r w:rsidRPr="001E5976">
        <w:rPr>
          <w:rFonts w:ascii="Palatino Linotype" w:hAnsi="Palatino Linotype" w:cs="Arial"/>
          <w:i/>
          <w:sz w:val="22"/>
        </w:rPr>
        <w:t>1.</w:t>
      </w:r>
      <w:r w:rsidRPr="001E5976">
        <w:rPr>
          <w:rFonts w:ascii="Palatino Linotype" w:hAnsi="Palatino Linotype" w:cs="Arial"/>
          <w:i/>
          <w:sz w:val="22"/>
        </w:rPr>
        <w:tab/>
        <w:t>De la Línea 1 del Mexibús la comprendida del primero de enero al treinta y uno de diciembre del dos mil quince, y del treinta y uno de mayo al dos de junio del dos mil veintiuno.</w:t>
      </w:r>
    </w:p>
    <w:p w:rsidR="001E5976" w:rsidRPr="001E5976" w:rsidRDefault="001E5976" w:rsidP="001E5976">
      <w:pPr>
        <w:pStyle w:val="Prrafodelista"/>
        <w:spacing w:line="276" w:lineRule="auto"/>
        <w:ind w:left="1069" w:right="757"/>
        <w:jc w:val="both"/>
        <w:rPr>
          <w:rFonts w:ascii="Palatino Linotype" w:hAnsi="Palatino Linotype" w:cs="Arial"/>
          <w:i/>
          <w:sz w:val="22"/>
        </w:rPr>
      </w:pPr>
      <w:r w:rsidRPr="001E5976">
        <w:rPr>
          <w:rFonts w:ascii="Palatino Linotype" w:hAnsi="Palatino Linotype" w:cs="Arial"/>
          <w:i/>
          <w:sz w:val="22"/>
        </w:rPr>
        <w:t>2.</w:t>
      </w:r>
      <w:r w:rsidRPr="001E5976">
        <w:rPr>
          <w:rFonts w:ascii="Palatino Linotype" w:hAnsi="Palatino Linotype" w:cs="Arial"/>
          <w:i/>
          <w:sz w:val="22"/>
        </w:rPr>
        <w:tab/>
        <w:t>De la línea 2 del Mexibús la información estadística comprendida en los periodos del doce de enero al primero de mayo del dos mil quince, del veintiuno al veintiséis de junio del dos mil quince y del veintinueve de mayo al dos de junio del dos mil veintiuno.</w:t>
      </w:r>
    </w:p>
    <w:p w:rsidR="001E5976" w:rsidRPr="001E5976" w:rsidRDefault="001E5976" w:rsidP="001E5976">
      <w:pPr>
        <w:pStyle w:val="Prrafodelista"/>
        <w:spacing w:line="276" w:lineRule="auto"/>
        <w:ind w:left="1069" w:right="757"/>
        <w:jc w:val="both"/>
        <w:rPr>
          <w:rFonts w:ascii="Palatino Linotype" w:hAnsi="Palatino Linotype" w:cs="Arial"/>
          <w:i/>
          <w:sz w:val="22"/>
        </w:rPr>
      </w:pPr>
      <w:r w:rsidRPr="001E5976">
        <w:rPr>
          <w:rFonts w:ascii="Palatino Linotype" w:hAnsi="Palatino Linotype" w:cs="Arial"/>
          <w:i/>
          <w:sz w:val="22"/>
        </w:rPr>
        <w:t>3.</w:t>
      </w:r>
      <w:r w:rsidRPr="001E5976">
        <w:rPr>
          <w:rFonts w:ascii="Palatino Linotype" w:hAnsi="Palatino Linotype" w:cs="Arial"/>
          <w:i/>
          <w:sz w:val="22"/>
        </w:rPr>
        <w:tab/>
        <w:t>De la Línea 3 del Mexibús la comprendida del primero de enero del dos mil quince al ocho de diciembre del dos mil diecisiete y los días primero y dos de junio del dos mil veintiuno.</w:t>
      </w:r>
    </w:p>
    <w:p w:rsidR="001E5976" w:rsidRPr="001E5976" w:rsidRDefault="001E5976" w:rsidP="001E5976">
      <w:pPr>
        <w:pStyle w:val="Prrafodelista"/>
        <w:spacing w:line="276" w:lineRule="auto"/>
        <w:ind w:left="1069" w:right="757"/>
        <w:jc w:val="both"/>
        <w:rPr>
          <w:rFonts w:ascii="Palatino Linotype" w:hAnsi="Palatino Linotype" w:cs="Arial"/>
          <w:i/>
          <w:sz w:val="22"/>
        </w:rPr>
      </w:pPr>
      <w:r w:rsidRPr="001E5976">
        <w:rPr>
          <w:rFonts w:ascii="Palatino Linotype" w:hAnsi="Palatino Linotype" w:cs="Arial"/>
          <w:i/>
          <w:sz w:val="22"/>
        </w:rPr>
        <w:t>4.</w:t>
      </w:r>
      <w:r w:rsidRPr="001E5976">
        <w:rPr>
          <w:rFonts w:ascii="Palatino Linotype" w:hAnsi="Palatino Linotype" w:cs="Arial"/>
          <w:i/>
          <w:sz w:val="22"/>
        </w:rPr>
        <w:tab/>
        <w:t xml:space="preserve">De la línea 4 del Mexibús la correspondiente a los días primero y dos de junio del dos mil veintiuno. </w:t>
      </w:r>
    </w:p>
    <w:p w:rsidR="001E5976" w:rsidRPr="001E5976" w:rsidRDefault="001E5976" w:rsidP="001E5976">
      <w:pPr>
        <w:pStyle w:val="Prrafodelista"/>
        <w:spacing w:line="276" w:lineRule="auto"/>
        <w:ind w:left="1069" w:right="757"/>
        <w:jc w:val="both"/>
        <w:rPr>
          <w:rFonts w:ascii="Palatino Linotype" w:hAnsi="Palatino Linotype" w:cs="Arial"/>
          <w:i/>
          <w:sz w:val="22"/>
        </w:rPr>
      </w:pPr>
      <w:r w:rsidRPr="001E5976">
        <w:rPr>
          <w:rFonts w:ascii="Palatino Linotype" w:hAnsi="Palatino Linotype" w:cs="Arial"/>
          <w:i/>
          <w:sz w:val="22"/>
        </w:rPr>
        <w:t>5.</w:t>
      </w:r>
      <w:r w:rsidRPr="001E5976">
        <w:rPr>
          <w:rFonts w:ascii="Palatino Linotype" w:hAnsi="Palatino Linotype" w:cs="Arial"/>
          <w:i/>
          <w:sz w:val="22"/>
        </w:rPr>
        <w:tab/>
        <w:t xml:space="preserve">De la línea del Mexicable la correspondiente a los días primero y dos de junio del dos mil veintiuno. </w:t>
      </w:r>
    </w:p>
    <w:p w:rsidR="001E5976" w:rsidRPr="001E5976" w:rsidRDefault="001E5976" w:rsidP="001E5976">
      <w:pPr>
        <w:pStyle w:val="Prrafodelista"/>
        <w:spacing w:line="276" w:lineRule="auto"/>
        <w:ind w:left="1069" w:right="757"/>
        <w:jc w:val="both"/>
        <w:rPr>
          <w:rFonts w:ascii="Palatino Linotype" w:hAnsi="Palatino Linotype" w:cs="Arial"/>
          <w:i/>
          <w:sz w:val="22"/>
        </w:rPr>
      </w:pPr>
    </w:p>
    <w:p w:rsidR="00476DD3" w:rsidRDefault="001E5976" w:rsidP="001E5976">
      <w:pPr>
        <w:pStyle w:val="Prrafodelista"/>
        <w:spacing w:line="276" w:lineRule="auto"/>
        <w:ind w:left="1069" w:right="757"/>
        <w:jc w:val="both"/>
        <w:rPr>
          <w:rFonts w:ascii="Palatino Linotype" w:hAnsi="Palatino Linotype" w:cs="Arial"/>
          <w:i/>
          <w:sz w:val="22"/>
        </w:rPr>
      </w:pPr>
      <w:r w:rsidRPr="001E5976">
        <w:rPr>
          <w:rFonts w:ascii="Palatino Linotype" w:hAnsi="Palatino Linotype" w:cs="Arial"/>
          <w:i/>
          <w:sz w:val="22"/>
        </w:rPr>
        <w:t>Sobre el numeral 4, deberá pronunciarse respecto a la fecha de inicio de operaciones de esa línea y en su caso entregar el periodo faltante de información o explicar de manera clara y precisa, la causa por la cual, no puede ser entregada información adicional a la ya entregada.</w:t>
      </w:r>
    </w:p>
    <w:p w:rsidR="001E5976" w:rsidRDefault="001E5976" w:rsidP="00A77728">
      <w:pPr>
        <w:spacing w:line="360" w:lineRule="auto"/>
        <w:ind w:right="49"/>
        <w:jc w:val="both"/>
        <w:rPr>
          <w:rFonts w:ascii="Palatino Linotype" w:hAnsi="Palatino Linotype" w:cs="Arial"/>
        </w:rPr>
      </w:pPr>
    </w:p>
    <w:p w:rsidR="00476DD3" w:rsidRDefault="00476DD3" w:rsidP="00A77728">
      <w:pPr>
        <w:spacing w:line="360" w:lineRule="auto"/>
        <w:ind w:right="49"/>
        <w:jc w:val="both"/>
        <w:rPr>
          <w:rFonts w:ascii="Palatino Linotype" w:hAnsi="Palatino Linotype" w:cs="Arial"/>
        </w:rPr>
      </w:pPr>
      <w:r>
        <w:rPr>
          <w:rFonts w:ascii="Palatino Linotype" w:hAnsi="Palatino Linotype" w:cs="Arial"/>
        </w:rPr>
        <w:t>En atención a ello</w:t>
      </w:r>
      <w:r w:rsidR="00305EAA" w:rsidRPr="004F3DBF">
        <w:rPr>
          <w:rFonts w:ascii="Palatino Linotype" w:hAnsi="Palatino Linotype" w:cs="Arial"/>
        </w:rPr>
        <w:t xml:space="preserve">, </w:t>
      </w:r>
      <w:r>
        <w:rPr>
          <w:rFonts w:ascii="Palatino Linotype" w:hAnsi="Palatino Linotype" w:cs="Arial"/>
        </w:rPr>
        <w:t>si bien coincido con la informaci</w:t>
      </w:r>
      <w:r w:rsidR="00690F69">
        <w:rPr>
          <w:rFonts w:ascii="Palatino Linotype" w:hAnsi="Palatino Linotype" w:cs="Arial"/>
        </w:rPr>
        <w:t xml:space="preserve">ón que se ordena, </w:t>
      </w:r>
      <w:r>
        <w:rPr>
          <w:rFonts w:ascii="Palatino Linotype" w:hAnsi="Palatino Linotype" w:cs="Arial"/>
        </w:rPr>
        <w:t>así como</w:t>
      </w:r>
      <w:r w:rsidR="00690F69">
        <w:rPr>
          <w:rFonts w:ascii="Palatino Linotype" w:hAnsi="Palatino Linotype" w:cs="Arial"/>
        </w:rPr>
        <w:t>, con</w:t>
      </w:r>
      <w:r>
        <w:rPr>
          <w:rFonts w:ascii="Palatino Linotype" w:hAnsi="Palatino Linotype" w:cs="Arial"/>
        </w:rPr>
        <w:t xml:space="preserve"> el análisis realizado por la Ponencia que resuelve</w:t>
      </w:r>
      <w:r w:rsidR="00690F69">
        <w:rPr>
          <w:rFonts w:ascii="Palatino Linotype" w:hAnsi="Palatino Linotype" w:cs="Arial"/>
        </w:rPr>
        <w:t>,</w:t>
      </w:r>
      <w:r w:rsidR="001E5976">
        <w:rPr>
          <w:rFonts w:ascii="Palatino Linotype" w:hAnsi="Palatino Linotype" w:cs="Arial"/>
        </w:rPr>
        <w:t xml:space="preserve"> estimo que </w:t>
      </w:r>
      <w:r w:rsidR="00690F69">
        <w:rPr>
          <w:rFonts w:ascii="Palatino Linotype" w:hAnsi="Palatino Linotype" w:cs="Arial"/>
        </w:rPr>
        <w:t>por cuanto hace al tema de archivos</w:t>
      </w:r>
      <w:r>
        <w:rPr>
          <w:rFonts w:ascii="Palatino Linotype" w:hAnsi="Palatino Linotype" w:cs="Arial"/>
        </w:rPr>
        <w:t xml:space="preserve">, </w:t>
      </w:r>
      <w:r w:rsidR="00690F69">
        <w:rPr>
          <w:rFonts w:ascii="Palatino Linotype" w:hAnsi="Palatino Linotype" w:cs="Arial"/>
        </w:rPr>
        <w:t>se debió reforzar el mismo, dada la temporalidad de resguardo del archivo en trámite y de concentración.</w:t>
      </w:r>
    </w:p>
    <w:p w:rsidR="00690F69" w:rsidRDefault="00690F69" w:rsidP="00A77728">
      <w:pPr>
        <w:spacing w:line="360" w:lineRule="auto"/>
        <w:ind w:right="49"/>
        <w:jc w:val="both"/>
        <w:rPr>
          <w:rFonts w:ascii="Palatino Linotype" w:hAnsi="Palatino Linotype" w:cs="Arial"/>
        </w:rPr>
      </w:pPr>
    </w:p>
    <w:p w:rsidR="00294F8D" w:rsidRDefault="00690F69" w:rsidP="00E62AC0">
      <w:pPr>
        <w:spacing w:line="360" w:lineRule="auto"/>
        <w:ind w:right="49"/>
        <w:jc w:val="both"/>
        <w:rPr>
          <w:rFonts w:ascii="Palatino Linotype" w:hAnsi="Palatino Linotype" w:cs="Arial"/>
        </w:rPr>
      </w:pPr>
      <w:r w:rsidRPr="001E5976">
        <w:rPr>
          <w:rFonts w:ascii="Palatino Linotype" w:hAnsi="Palatino Linotype" w:cs="Arial"/>
        </w:rPr>
        <w:t xml:space="preserve">Por lo anterior, </w:t>
      </w:r>
      <w:r w:rsidR="00294F8D" w:rsidRPr="001E5976">
        <w:rPr>
          <w:rFonts w:ascii="Palatino Linotype" w:hAnsi="Palatino Linotype" w:cs="Arial"/>
        </w:rPr>
        <w:t>para el caso de no localizar la información correspondiente a</w:t>
      </w:r>
      <w:r w:rsidR="00E62AC0" w:rsidRPr="001E5976">
        <w:rPr>
          <w:rFonts w:ascii="Palatino Linotype" w:hAnsi="Palatino Linotype" w:cs="Arial"/>
        </w:rPr>
        <w:t xml:space="preserve"> ejercicios</w:t>
      </w:r>
      <w:r w:rsidR="00E62AC0">
        <w:rPr>
          <w:rFonts w:ascii="Palatino Linotype" w:hAnsi="Palatino Linotype" w:cs="Arial"/>
        </w:rPr>
        <w:t xml:space="preserve"> anteriores</w:t>
      </w:r>
      <w:r w:rsidR="002F31D0">
        <w:rPr>
          <w:rFonts w:ascii="Palatino Linotype" w:hAnsi="Palatino Linotype" w:cs="Arial"/>
        </w:rPr>
        <w:t xml:space="preserve">, lo procedente era </w:t>
      </w:r>
      <w:r w:rsidR="002F31D0" w:rsidRPr="002F31D0">
        <w:rPr>
          <w:rFonts w:ascii="Palatino Linotype" w:hAnsi="Palatino Linotype" w:cs="Arial"/>
        </w:rPr>
        <w:t>considerarse la entrega del Acuerdo de Inexistencia</w:t>
      </w:r>
      <w:r w:rsidR="002F31D0">
        <w:rPr>
          <w:rFonts w:ascii="Palatino Linotype" w:hAnsi="Palatino Linotype" w:cs="Arial"/>
        </w:rPr>
        <w:t xml:space="preserve"> aun y cuando esta haya causado baja documental</w:t>
      </w:r>
      <w:r w:rsidR="001E5976">
        <w:rPr>
          <w:rFonts w:ascii="Palatino Linotype" w:hAnsi="Palatino Linotype" w:cs="Arial"/>
        </w:rPr>
        <w:t>, acompañándose con dicho sustento</w:t>
      </w:r>
      <w:r w:rsidR="002F31D0">
        <w:rPr>
          <w:rFonts w:ascii="Palatino Linotype" w:hAnsi="Palatino Linotype" w:cs="Arial"/>
        </w:rPr>
        <w:t>.</w:t>
      </w:r>
    </w:p>
    <w:p w:rsidR="00AA00E6" w:rsidRDefault="00AA00E6" w:rsidP="00305EAA">
      <w:pPr>
        <w:spacing w:line="360" w:lineRule="auto"/>
        <w:jc w:val="both"/>
        <w:rPr>
          <w:rFonts w:ascii="Palatino Linotype" w:hAnsi="Palatino Linotype" w:cs="Arial"/>
        </w:rPr>
      </w:pPr>
    </w:p>
    <w:p w:rsidR="00E62AC0" w:rsidRPr="00E62AC0" w:rsidRDefault="002F31D0" w:rsidP="00E62AC0">
      <w:pPr>
        <w:spacing w:line="360" w:lineRule="auto"/>
        <w:jc w:val="both"/>
        <w:rPr>
          <w:rFonts w:ascii="Palatino Linotype" w:hAnsi="Palatino Linotype" w:cs="Arial"/>
        </w:rPr>
      </w:pPr>
      <w:r>
        <w:rPr>
          <w:rFonts w:ascii="Palatino Linotype" w:hAnsi="Palatino Linotype" w:cs="Arial"/>
        </w:rPr>
        <w:t>Ello</w:t>
      </w:r>
      <w:r w:rsidR="00294F8D">
        <w:rPr>
          <w:rFonts w:ascii="Palatino Linotype" w:hAnsi="Palatino Linotype" w:cs="Arial"/>
        </w:rPr>
        <w:t xml:space="preserve"> obedece a que, </w:t>
      </w:r>
      <w:r w:rsidR="00E62AC0">
        <w:rPr>
          <w:rFonts w:ascii="Palatino Linotype" w:hAnsi="Palatino Linotype" w:cs="Arial"/>
        </w:rPr>
        <w:t xml:space="preserve">conforme a la </w:t>
      </w:r>
      <w:r w:rsidR="00E62AC0" w:rsidRPr="00E62AC0">
        <w:rPr>
          <w:rFonts w:ascii="Palatino Linotype" w:hAnsi="Palatino Linotype" w:cs="Arial"/>
        </w:rPr>
        <w:t>Ley de archivos y administración de documentos</w:t>
      </w:r>
      <w:r w:rsidR="00E62AC0">
        <w:rPr>
          <w:rFonts w:ascii="Palatino Linotype" w:hAnsi="Palatino Linotype" w:cs="Arial"/>
        </w:rPr>
        <w:t xml:space="preserve"> </w:t>
      </w:r>
      <w:r w:rsidR="00E62AC0" w:rsidRPr="00E62AC0">
        <w:rPr>
          <w:rFonts w:ascii="Palatino Linotype" w:hAnsi="Palatino Linotype" w:cs="Arial"/>
        </w:rPr>
        <w:t>del Estado de México y Municipios</w:t>
      </w:r>
      <w:r w:rsidR="009F3468">
        <w:rPr>
          <w:rFonts w:ascii="Palatino Linotype" w:hAnsi="Palatino Linotype" w:cs="Arial"/>
        </w:rPr>
        <w:t xml:space="preserve">, la </w:t>
      </w:r>
      <w:r w:rsidR="009F3468" w:rsidRPr="009F3468">
        <w:rPr>
          <w:rFonts w:ascii="Palatino Linotype" w:hAnsi="Palatino Linotype" w:cs="Arial"/>
        </w:rPr>
        <w:t>Baja Documental</w:t>
      </w:r>
      <w:r w:rsidR="009F3468">
        <w:rPr>
          <w:rFonts w:ascii="Palatino Linotype" w:hAnsi="Palatino Linotype" w:cs="Arial"/>
        </w:rPr>
        <w:t xml:space="preserve"> corresponde a</w:t>
      </w:r>
      <w:r w:rsidR="009F3468" w:rsidRPr="009F3468">
        <w:rPr>
          <w:rFonts w:ascii="Palatino Linotype" w:hAnsi="Palatino Linotype" w:cs="Arial"/>
        </w:rPr>
        <w:t xml:space="preserve"> la eliminación de aquella documentación que haya prescrito su vigencia, valores documentales y, en su caso, plazos de conservación; y que no posea valores históricos, de acuerdo con la Ley y las dis</w:t>
      </w:r>
      <w:r w:rsidR="009F3468">
        <w:rPr>
          <w:rFonts w:ascii="Palatino Linotype" w:hAnsi="Palatino Linotype" w:cs="Arial"/>
        </w:rPr>
        <w:t>posiciones jurídicas aplicables.</w:t>
      </w:r>
    </w:p>
    <w:p w:rsidR="00E62AC0" w:rsidRDefault="00E62AC0" w:rsidP="00294F8D">
      <w:pPr>
        <w:spacing w:line="360" w:lineRule="auto"/>
        <w:jc w:val="both"/>
        <w:rPr>
          <w:rFonts w:ascii="Palatino Linotype" w:hAnsi="Palatino Linotype" w:cs="Arial"/>
        </w:rPr>
      </w:pPr>
    </w:p>
    <w:p w:rsidR="00294F8D" w:rsidRPr="00294F8D" w:rsidRDefault="009F3468" w:rsidP="00294F8D">
      <w:pPr>
        <w:spacing w:line="360" w:lineRule="auto"/>
        <w:jc w:val="both"/>
        <w:rPr>
          <w:rFonts w:ascii="Palatino Linotype" w:hAnsi="Palatino Linotype" w:cs="Arial"/>
        </w:rPr>
      </w:pPr>
      <w:r>
        <w:rPr>
          <w:rFonts w:ascii="Palatino Linotype" w:hAnsi="Palatino Linotype" w:cs="Arial"/>
        </w:rPr>
        <w:t xml:space="preserve">De esta forma, tenemos que </w:t>
      </w:r>
      <w:r w:rsidR="00294F8D" w:rsidRPr="00294F8D">
        <w:rPr>
          <w:rFonts w:ascii="Palatino Linotype" w:hAnsi="Palatino Linotype" w:cs="Arial"/>
        </w:rPr>
        <w:t>conforme al artículo 12 de la Ley de Transparencia y Acceso a la Información Pública del Estado de México y Municipios se destaca que quienes generen, recopilen, administren, manejen, procesen, archiven o conserven información pública serán responsables de ésta; vinculando inminentemente al servidor público con los documentos que por el ejercicio de sus funciones obra en su poder</w:t>
      </w:r>
      <w:r w:rsidR="00C5476E">
        <w:rPr>
          <w:rFonts w:ascii="Palatino Linotype" w:hAnsi="Palatino Linotype" w:cs="Arial"/>
        </w:rPr>
        <w:t>,</w:t>
      </w:r>
      <w:r w:rsidR="00294F8D" w:rsidRPr="00294F8D">
        <w:rPr>
          <w:rFonts w:ascii="Palatino Linotype" w:hAnsi="Palatino Linotype" w:cs="Arial"/>
        </w:rPr>
        <w:t xml:space="preserve"> por lo que, impone un compromiso en su cuidado y resguardo.</w:t>
      </w:r>
    </w:p>
    <w:p w:rsidR="00294F8D" w:rsidRPr="00294F8D" w:rsidRDefault="00294F8D" w:rsidP="00294F8D">
      <w:pPr>
        <w:spacing w:line="360" w:lineRule="auto"/>
        <w:jc w:val="both"/>
        <w:rPr>
          <w:rFonts w:ascii="Palatino Linotype" w:hAnsi="Palatino Linotype" w:cs="Arial"/>
        </w:rPr>
      </w:pPr>
    </w:p>
    <w:p w:rsidR="00294F8D" w:rsidRPr="00294F8D" w:rsidRDefault="00294F8D" w:rsidP="00294F8D">
      <w:pPr>
        <w:spacing w:line="360" w:lineRule="auto"/>
        <w:jc w:val="both"/>
        <w:rPr>
          <w:rFonts w:ascii="Palatino Linotype" w:hAnsi="Palatino Linotype" w:cs="Arial"/>
        </w:rPr>
      </w:pPr>
      <w:r w:rsidRPr="00294F8D">
        <w:rPr>
          <w:rFonts w:ascii="Palatino Linotype" w:hAnsi="Palatino Linotype" w:cs="Arial"/>
        </w:rPr>
        <w:lastRenderedPageBreak/>
        <w:t>Por otra parte, tenemos lo establecido en el artículo 169, relativo a que cuando la información no se encuentre en los archivos del Sujeto Obligado, el Comité de Transparencia en consecuencia deberá proceder a la emisión de un Acuerdo de Inexistencia, debidamente fundado y motivado en el que se detallen las razones por las cuales no existe la información a través del siguiente procedimiento:</w:t>
      </w:r>
    </w:p>
    <w:p w:rsidR="00294F8D" w:rsidRPr="00294F8D" w:rsidRDefault="00294F8D" w:rsidP="00294F8D">
      <w:pPr>
        <w:spacing w:line="360" w:lineRule="auto"/>
        <w:jc w:val="both"/>
        <w:rPr>
          <w:rFonts w:ascii="Palatino Linotype" w:hAnsi="Palatino Linotype" w:cs="Arial"/>
        </w:rPr>
      </w:pPr>
    </w:p>
    <w:p w:rsidR="00294F8D" w:rsidRPr="00294F8D" w:rsidRDefault="00294F8D" w:rsidP="002F31D0">
      <w:pPr>
        <w:spacing w:line="276" w:lineRule="auto"/>
        <w:ind w:left="709" w:right="757"/>
        <w:jc w:val="both"/>
        <w:rPr>
          <w:rFonts w:ascii="Palatino Linotype" w:hAnsi="Palatino Linotype" w:cs="Arial"/>
          <w:i/>
          <w:sz w:val="22"/>
        </w:rPr>
      </w:pPr>
      <w:r w:rsidRPr="00294F8D">
        <w:rPr>
          <w:rFonts w:ascii="Palatino Linotype" w:hAnsi="Palatino Linotype" w:cs="Arial"/>
          <w:i/>
          <w:sz w:val="22"/>
        </w:rPr>
        <w:t>I. Analizará el caso y tomará las medidas necesarias para localizar la información;</w:t>
      </w:r>
    </w:p>
    <w:p w:rsidR="00294F8D" w:rsidRPr="00294F8D" w:rsidRDefault="00294F8D" w:rsidP="002F31D0">
      <w:pPr>
        <w:spacing w:line="276" w:lineRule="auto"/>
        <w:ind w:left="709" w:right="757"/>
        <w:jc w:val="both"/>
        <w:rPr>
          <w:rFonts w:ascii="Palatino Linotype" w:hAnsi="Palatino Linotype" w:cs="Arial"/>
          <w:i/>
          <w:sz w:val="22"/>
        </w:rPr>
      </w:pPr>
    </w:p>
    <w:p w:rsidR="00294F8D" w:rsidRPr="00294F8D" w:rsidRDefault="00294F8D" w:rsidP="002F31D0">
      <w:pPr>
        <w:spacing w:line="276" w:lineRule="auto"/>
        <w:ind w:left="709" w:right="757"/>
        <w:jc w:val="both"/>
        <w:rPr>
          <w:rFonts w:ascii="Palatino Linotype" w:hAnsi="Palatino Linotype" w:cs="Arial"/>
          <w:i/>
          <w:sz w:val="22"/>
        </w:rPr>
      </w:pPr>
      <w:r w:rsidRPr="00294F8D">
        <w:rPr>
          <w:rFonts w:ascii="Palatino Linotype" w:hAnsi="Palatino Linotype" w:cs="Arial"/>
          <w:i/>
          <w:sz w:val="22"/>
        </w:rPr>
        <w:t>II. Expedirá una resolución que confirme la inexistencia del documento;</w:t>
      </w:r>
    </w:p>
    <w:p w:rsidR="00294F8D" w:rsidRPr="00294F8D" w:rsidRDefault="00294F8D" w:rsidP="002F31D0">
      <w:pPr>
        <w:spacing w:line="276" w:lineRule="auto"/>
        <w:ind w:left="709" w:right="757"/>
        <w:jc w:val="both"/>
        <w:rPr>
          <w:rFonts w:ascii="Palatino Linotype" w:hAnsi="Palatino Linotype" w:cs="Arial"/>
          <w:i/>
          <w:sz w:val="22"/>
        </w:rPr>
      </w:pPr>
    </w:p>
    <w:p w:rsidR="00294F8D" w:rsidRPr="00294F8D" w:rsidRDefault="00294F8D" w:rsidP="002F31D0">
      <w:pPr>
        <w:spacing w:line="276" w:lineRule="auto"/>
        <w:ind w:left="709" w:right="757"/>
        <w:jc w:val="both"/>
        <w:rPr>
          <w:rFonts w:ascii="Palatino Linotype" w:hAnsi="Palatino Linotype" w:cs="Arial"/>
          <w:i/>
          <w:sz w:val="22"/>
        </w:rPr>
      </w:pPr>
      <w:r w:rsidRPr="00294F8D">
        <w:rPr>
          <w:rFonts w:ascii="Palatino Linotype" w:hAnsi="Palatino Linotype" w:cs="Arial"/>
          <w:i/>
          <w:sz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294F8D" w:rsidRPr="00294F8D" w:rsidRDefault="00294F8D" w:rsidP="002F31D0">
      <w:pPr>
        <w:spacing w:line="276" w:lineRule="auto"/>
        <w:ind w:left="709" w:right="757"/>
        <w:jc w:val="both"/>
        <w:rPr>
          <w:rFonts w:ascii="Palatino Linotype" w:hAnsi="Palatino Linotype" w:cs="Arial"/>
          <w:i/>
          <w:sz w:val="22"/>
        </w:rPr>
      </w:pPr>
    </w:p>
    <w:p w:rsidR="00294F8D" w:rsidRPr="00294F8D" w:rsidRDefault="00294F8D" w:rsidP="002F31D0">
      <w:pPr>
        <w:spacing w:line="276" w:lineRule="auto"/>
        <w:ind w:left="709" w:right="757"/>
        <w:jc w:val="both"/>
        <w:rPr>
          <w:rFonts w:ascii="Palatino Linotype" w:hAnsi="Palatino Linotype" w:cs="Arial"/>
          <w:i/>
          <w:sz w:val="22"/>
        </w:rPr>
      </w:pPr>
      <w:r w:rsidRPr="00294F8D">
        <w:rPr>
          <w:rFonts w:ascii="Palatino Linotype" w:hAnsi="Palatino Linotype" w:cs="Arial"/>
          <w:i/>
          <w:sz w:val="22"/>
        </w:rPr>
        <w:t>IV. Notificará al órgano interno de control o equivalente del sujeto obligado quien, en su caso, deberá iniciar el procedimiento de responsabilidad administrativa que corresponda.</w:t>
      </w:r>
    </w:p>
    <w:p w:rsidR="00294F8D" w:rsidRPr="00294F8D" w:rsidRDefault="00294F8D" w:rsidP="00294F8D">
      <w:pPr>
        <w:spacing w:line="360" w:lineRule="auto"/>
        <w:jc w:val="both"/>
        <w:rPr>
          <w:rFonts w:ascii="Palatino Linotype" w:hAnsi="Palatino Linotype" w:cs="Arial"/>
        </w:rPr>
      </w:pPr>
    </w:p>
    <w:p w:rsidR="00294F8D" w:rsidRPr="00294F8D" w:rsidRDefault="00294F8D" w:rsidP="00294F8D">
      <w:pPr>
        <w:spacing w:line="360" w:lineRule="auto"/>
        <w:jc w:val="both"/>
        <w:rPr>
          <w:rFonts w:ascii="Palatino Linotype" w:hAnsi="Palatino Linotype" w:cs="Arial"/>
        </w:rPr>
      </w:pPr>
      <w:r w:rsidRPr="00294F8D">
        <w:rPr>
          <w:rFonts w:ascii="Palatino Linotype" w:hAnsi="Palatino Linotype" w:cs="Arial"/>
        </w:rPr>
        <w:t xml:space="preserve">Una vez establecido lo anterior, conviene profundizar en el supuesto de la inexistencia de la información cuando por el paso del tiempo y en términos de la normatividad aplicable, </w:t>
      </w:r>
      <w:r w:rsidRPr="00294F8D">
        <w:rPr>
          <w:rFonts w:ascii="Palatino Linotype" w:hAnsi="Palatino Linotype" w:cs="Arial"/>
          <w:b/>
        </w:rPr>
        <w:t>EL SUJETO OBLIGADO</w:t>
      </w:r>
      <w:r w:rsidRPr="00294F8D">
        <w:rPr>
          <w:rFonts w:ascii="Palatino Linotype" w:hAnsi="Palatino Linotype" w:cs="Arial"/>
        </w:rPr>
        <w:t xml:space="preserve"> proced</w:t>
      </w:r>
      <w:r w:rsidR="00C5476E">
        <w:rPr>
          <w:rFonts w:ascii="Palatino Linotype" w:hAnsi="Palatino Linotype" w:cs="Arial"/>
        </w:rPr>
        <w:t>e</w:t>
      </w:r>
      <w:r w:rsidRPr="00294F8D">
        <w:rPr>
          <w:rFonts w:ascii="Palatino Linotype" w:hAnsi="Palatino Linotype" w:cs="Arial"/>
        </w:rPr>
        <w:t xml:space="preserve"> a la baja documental de lo requerido.</w:t>
      </w:r>
    </w:p>
    <w:p w:rsidR="00294F8D" w:rsidRPr="00294F8D" w:rsidRDefault="00294F8D" w:rsidP="00294F8D">
      <w:pPr>
        <w:spacing w:line="360" w:lineRule="auto"/>
        <w:jc w:val="both"/>
        <w:rPr>
          <w:rFonts w:ascii="Palatino Linotype" w:hAnsi="Palatino Linotype" w:cs="Arial"/>
        </w:rPr>
      </w:pPr>
    </w:p>
    <w:p w:rsidR="00294F8D" w:rsidRDefault="00294F8D" w:rsidP="00294F8D">
      <w:pPr>
        <w:spacing w:line="360" w:lineRule="auto"/>
        <w:jc w:val="both"/>
        <w:rPr>
          <w:rFonts w:ascii="Palatino Linotype" w:hAnsi="Palatino Linotype" w:cs="Arial"/>
        </w:rPr>
      </w:pPr>
      <w:r w:rsidRPr="00294F8D">
        <w:rPr>
          <w:rFonts w:ascii="Palatino Linotype" w:hAnsi="Palatino Linotype" w:cs="Arial"/>
        </w:rPr>
        <w:t xml:space="preserve">Al respecto, </w:t>
      </w:r>
      <w:r>
        <w:rPr>
          <w:rFonts w:ascii="Palatino Linotype" w:hAnsi="Palatino Linotype" w:cs="Arial"/>
        </w:rPr>
        <w:t>l</w:t>
      </w:r>
      <w:r w:rsidR="009F3468">
        <w:rPr>
          <w:rFonts w:ascii="Palatino Linotype" w:hAnsi="Palatino Linotype" w:cs="Arial"/>
        </w:rPr>
        <w:t xml:space="preserve">a citada Ley </w:t>
      </w:r>
      <w:r w:rsidR="001E5976">
        <w:rPr>
          <w:rFonts w:ascii="Palatino Linotype" w:hAnsi="Palatino Linotype" w:cs="Arial"/>
        </w:rPr>
        <w:t xml:space="preserve">General </w:t>
      </w:r>
      <w:r w:rsidR="009F3468">
        <w:rPr>
          <w:rFonts w:ascii="Palatino Linotype" w:hAnsi="Palatino Linotype" w:cs="Arial"/>
        </w:rPr>
        <w:t>de Archivos</w:t>
      </w:r>
      <w:r>
        <w:rPr>
          <w:rFonts w:ascii="Palatino Linotype" w:hAnsi="Palatino Linotype" w:cs="Arial"/>
        </w:rPr>
        <w:t xml:space="preserve"> señala los ciclos de vida de los diversos documentos en poder de los Sujetos Obligados como se advierte a continuación:</w:t>
      </w:r>
    </w:p>
    <w:p w:rsidR="00294F8D" w:rsidRDefault="00294F8D" w:rsidP="00294F8D">
      <w:pPr>
        <w:spacing w:line="360" w:lineRule="auto"/>
        <w:jc w:val="both"/>
        <w:rPr>
          <w:rFonts w:ascii="Palatino Linotype" w:hAnsi="Palatino Linotype" w:cs="Arial"/>
        </w:rPr>
      </w:pPr>
    </w:p>
    <w:p w:rsidR="00294F8D" w:rsidRDefault="009F3468" w:rsidP="002F31D0">
      <w:pPr>
        <w:spacing w:line="276" w:lineRule="auto"/>
        <w:ind w:left="709" w:right="757"/>
        <w:jc w:val="both"/>
        <w:rPr>
          <w:rFonts w:ascii="Palatino Linotype" w:hAnsi="Palatino Linotype" w:cs="Arial"/>
          <w:i/>
          <w:sz w:val="22"/>
        </w:rPr>
      </w:pPr>
      <w:r w:rsidRPr="009F3468">
        <w:rPr>
          <w:rFonts w:ascii="Palatino Linotype" w:hAnsi="Palatino Linotype" w:cs="Arial"/>
          <w:i/>
          <w:sz w:val="22"/>
        </w:rPr>
        <w:t>Artículo 4. Además de las definiciones previstas en la Ley General, para los efectos de esta Ley se entenderá por:</w:t>
      </w:r>
    </w:p>
    <w:p w:rsidR="009F3468" w:rsidRDefault="009F3468" w:rsidP="002F31D0">
      <w:pPr>
        <w:spacing w:line="276" w:lineRule="auto"/>
        <w:ind w:left="709" w:right="757"/>
        <w:jc w:val="both"/>
        <w:rPr>
          <w:rFonts w:ascii="Palatino Linotype" w:hAnsi="Palatino Linotype" w:cs="Arial"/>
          <w:i/>
          <w:sz w:val="22"/>
        </w:rPr>
      </w:pPr>
    </w:p>
    <w:p w:rsidR="00C1218F" w:rsidRDefault="009F3468" w:rsidP="002F31D0">
      <w:pPr>
        <w:spacing w:line="276" w:lineRule="auto"/>
        <w:ind w:left="709" w:right="757"/>
        <w:jc w:val="both"/>
        <w:rPr>
          <w:rFonts w:ascii="Palatino Linotype" w:hAnsi="Palatino Linotype" w:cs="Arial"/>
          <w:i/>
          <w:sz w:val="22"/>
        </w:rPr>
      </w:pPr>
      <w:r>
        <w:rPr>
          <w:rFonts w:ascii="Palatino Linotype" w:hAnsi="Palatino Linotype" w:cs="Arial"/>
          <w:i/>
          <w:sz w:val="22"/>
        </w:rPr>
        <w:t xml:space="preserve">… </w:t>
      </w:r>
      <w:r w:rsidR="00C1218F">
        <w:rPr>
          <w:rFonts w:ascii="Palatino Linotype" w:hAnsi="Palatino Linotype" w:cs="Arial"/>
          <w:i/>
          <w:sz w:val="22"/>
        </w:rPr>
        <w:t>V</w:t>
      </w:r>
      <w:r w:rsidR="00C1218F" w:rsidRPr="00C1218F">
        <w:rPr>
          <w:rFonts w:ascii="Palatino Linotype" w:hAnsi="Palatino Linotype" w:cs="Arial"/>
          <w:i/>
          <w:sz w:val="22"/>
        </w:rPr>
        <w:t>. Archivo de Concentración: Al integrado por documentos transferidos desde las áreas o unidades productoras, cuyo uso y consulta es esporádica y que permanecen en él, hasta su Disposición Documental;</w:t>
      </w:r>
    </w:p>
    <w:p w:rsidR="00C1218F" w:rsidRDefault="00C1218F" w:rsidP="002F31D0">
      <w:pPr>
        <w:spacing w:line="276" w:lineRule="auto"/>
        <w:ind w:left="709" w:right="757"/>
        <w:jc w:val="both"/>
        <w:rPr>
          <w:rFonts w:ascii="Palatino Linotype" w:hAnsi="Palatino Linotype" w:cs="Arial"/>
          <w:i/>
          <w:sz w:val="22"/>
        </w:rPr>
      </w:pPr>
    </w:p>
    <w:p w:rsidR="00C1218F" w:rsidRDefault="00C1218F" w:rsidP="002F31D0">
      <w:pPr>
        <w:spacing w:line="276" w:lineRule="auto"/>
        <w:ind w:left="709" w:right="757"/>
        <w:jc w:val="both"/>
        <w:rPr>
          <w:rFonts w:ascii="Palatino Linotype" w:hAnsi="Palatino Linotype" w:cs="Arial"/>
          <w:i/>
          <w:sz w:val="22"/>
        </w:rPr>
      </w:pPr>
      <w:r w:rsidRPr="00C1218F">
        <w:rPr>
          <w:rFonts w:ascii="Palatino Linotype" w:hAnsi="Palatino Linotype" w:cs="Arial"/>
          <w:i/>
          <w:sz w:val="22"/>
        </w:rPr>
        <w:t>VI. Archivo de Trámite: Al integrado por Documentos de Archivo de uso cotidiano y necesario para el ejercicio de las atribuciones y funciones de los Sujetos Obligados;</w:t>
      </w:r>
    </w:p>
    <w:p w:rsidR="00C1218F" w:rsidRDefault="00C1218F" w:rsidP="002F31D0">
      <w:pPr>
        <w:spacing w:line="276" w:lineRule="auto"/>
        <w:ind w:left="709" w:right="757"/>
        <w:jc w:val="both"/>
        <w:rPr>
          <w:rFonts w:ascii="Palatino Linotype" w:hAnsi="Palatino Linotype" w:cs="Arial"/>
          <w:i/>
          <w:sz w:val="22"/>
        </w:rPr>
      </w:pPr>
    </w:p>
    <w:p w:rsidR="00C1218F" w:rsidRDefault="00C1218F" w:rsidP="002F31D0">
      <w:pPr>
        <w:spacing w:line="276" w:lineRule="auto"/>
        <w:ind w:left="709" w:right="757"/>
        <w:jc w:val="both"/>
        <w:rPr>
          <w:rFonts w:ascii="Palatino Linotype" w:hAnsi="Palatino Linotype" w:cs="Arial"/>
          <w:i/>
          <w:sz w:val="22"/>
        </w:rPr>
      </w:pPr>
      <w:r>
        <w:rPr>
          <w:rFonts w:ascii="Palatino Linotype" w:hAnsi="Palatino Linotype" w:cs="Arial"/>
          <w:i/>
          <w:sz w:val="22"/>
        </w:rPr>
        <w:t>…</w:t>
      </w:r>
    </w:p>
    <w:p w:rsidR="00C1218F" w:rsidRDefault="00C1218F" w:rsidP="002F31D0">
      <w:pPr>
        <w:spacing w:line="276" w:lineRule="auto"/>
        <w:ind w:left="709" w:right="757"/>
        <w:jc w:val="both"/>
        <w:rPr>
          <w:rFonts w:ascii="Palatino Linotype" w:hAnsi="Palatino Linotype" w:cs="Arial"/>
          <w:i/>
          <w:sz w:val="22"/>
        </w:rPr>
      </w:pPr>
    </w:p>
    <w:p w:rsidR="009F3468" w:rsidRDefault="009F3468" w:rsidP="002F31D0">
      <w:pPr>
        <w:spacing w:line="276" w:lineRule="auto"/>
        <w:ind w:left="709" w:right="757"/>
        <w:jc w:val="both"/>
        <w:rPr>
          <w:rFonts w:ascii="Palatino Linotype" w:hAnsi="Palatino Linotype" w:cs="Arial"/>
          <w:i/>
          <w:sz w:val="22"/>
        </w:rPr>
      </w:pPr>
      <w:r w:rsidRPr="009F3468">
        <w:rPr>
          <w:rFonts w:ascii="Palatino Linotype" w:hAnsi="Palatino Linotype" w:cs="Arial"/>
          <w:i/>
          <w:sz w:val="22"/>
        </w:rPr>
        <w:t>XV. Ciclo Vital: A las etapas por las que atraviesan los Documentos de Archivo desde su producción o recepción hasta su Baja Documental o Transferencia a un Archivo Histórico;</w:t>
      </w:r>
      <w:r w:rsidR="00C1218F">
        <w:rPr>
          <w:rFonts w:ascii="Palatino Linotype" w:hAnsi="Palatino Linotype" w:cs="Arial"/>
          <w:i/>
          <w:sz w:val="22"/>
        </w:rPr>
        <w:t>”</w:t>
      </w:r>
    </w:p>
    <w:p w:rsidR="00294F8D" w:rsidRPr="00294F8D" w:rsidRDefault="00294F8D" w:rsidP="002F31D0">
      <w:pPr>
        <w:spacing w:line="276" w:lineRule="auto"/>
        <w:ind w:left="709" w:right="757"/>
        <w:jc w:val="both"/>
        <w:rPr>
          <w:rFonts w:ascii="Palatino Linotype" w:hAnsi="Palatino Linotype" w:cs="Arial"/>
          <w:i/>
          <w:sz w:val="22"/>
        </w:rPr>
      </w:pPr>
    </w:p>
    <w:p w:rsidR="00294F8D" w:rsidRPr="00294F8D" w:rsidRDefault="00294F8D" w:rsidP="00294F8D">
      <w:pPr>
        <w:spacing w:line="360" w:lineRule="auto"/>
        <w:jc w:val="both"/>
        <w:rPr>
          <w:rFonts w:ascii="Palatino Linotype" w:hAnsi="Palatino Linotype" w:cs="Arial"/>
        </w:rPr>
      </w:pPr>
      <w:r w:rsidRPr="00294F8D">
        <w:rPr>
          <w:rFonts w:ascii="Palatino Linotype" w:hAnsi="Palatino Linotype" w:cs="Arial"/>
        </w:rPr>
        <w:t xml:space="preserve">Por su parte, los Lineamientos para la Valoración, Selección y Baja de los Documentos, Expedientes y Series de Trámite Concluido en los Archivos del Estado de México, los cuales regulan que la valoración, selección y baja de documentos deba realizarse considerando su valor primario y secundario, la frecuencia de su uso, el espacio destinado para su conservación, su antigüedad y, principalmente, mediante la formulación de un programa de gestión de documentos en el que toda acción relacionada con la disposición documental sólo tenga lugar si se garantiza que los expedientes y series de trámite concluido ya no se requieren para fines administrativos, como garantes de un derecho, como medio de prueba o para la investigación; </w:t>
      </w:r>
      <w:r w:rsidR="002F31D0">
        <w:rPr>
          <w:rFonts w:ascii="Palatino Linotype" w:hAnsi="Palatino Linotype" w:cs="Arial"/>
        </w:rPr>
        <w:t xml:space="preserve">sustento de lo anterior, lo encontramos en los </w:t>
      </w:r>
      <w:r w:rsidR="002F31D0" w:rsidRPr="00294F8D">
        <w:rPr>
          <w:rFonts w:ascii="Palatino Linotype" w:hAnsi="Palatino Linotype" w:cs="Arial"/>
        </w:rPr>
        <w:t>artículo</w:t>
      </w:r>
      <w:r w:rsidR="002F31D0">
        <w:rPr>
          <w:rFonts w:ascii="Palatino Linotype" w:hAnsi="Palatino Linotype" w:cs="Arial"/>
        </w:rPr>
        <w:t>s</w:t>
      </w:r>
      <w:r w:rsidR="002F31D0" w:rsidRPr="00294F8D">
        <w:rPr>
          <w:rFonts w:ascii="Palatino Linotype" w:hAnsi="Palatino Linotype" w:cs="Arial"/>
        </w:rPr>
        <w:t xml:space="preserve"> 4, fracciones II, III y IX</w:t>
      </w:r>
      <w:r w:rsidR="002F31D0">
        <w:rPr>
          <w:rFonts w:ascii="Palatino Linotype" w:hAnsi="Palatino Linotype" w:cs="Arial"/>
        </w:rPr>
        <w:t xml:space="preserve">, 20 y 27, fracción I, que </w:t>
      </w:r>
      <w:r w:rsidRPr="00294F8D">
        <w:rPr>
          <w:rFonts w:ascii="Palatino Linotype" w:hAnsi="Palatino Linotype" w:cs="Arial"/>
        </w:rPr>
        <w:t xml:space="preserve">establecen </w:t>
      </w:r>
      <w:r w:rsidR="002F31D0">
        <w:rPr>
          <w:rFonts w:ascii="Palatino Linotype" w:hAnsi="Palatino Linotype" w:cs="Arial"/>
        </w:rPr>
        <w:t xml:space="preserve">lo </w:t>
      </w:r>
      <w:r w:rsidRPr="00294F8D">
        <w:rPr>
          <w:rFonts w:ascii="Palatino Linotype" w:hAnsi="Palatino Linotype" w:cs="Arial"/>
        </w:rPr>
        <w:t>siguiente:</w:t>
      </w:r>
    </w:p>
    <w:p w:rsidR="00294F8D" w:rsidRPr="00294F8D" w:rsidRDefault="00294F8D" w:rsidP="00294F8D">
      <w:pPr>
        <w:spacing w:line="360" w:lineRule="auto"/>
        <w:jc w:val="both"/>
        <w:rPr>
          <w:rFonts w:ascii="Palatino Linotype" w:hAnsi="Palatino Linotype" w:cs="Arial"/>
        </w:rPr>
      </w:pPr>
    </w:p>
    <w:p w:rsidR="00294F8D" w:rsidRPr="00DE0B4D" w:rsidRDefault="00294F8D" w:rsidP="002F31D0">
      <w:pPr>
        <w:spacing w:line="276" w:lineRule="auto"/>
        <w:ind w:left="709" w:right="757"/>
        <w:jc w:val="both"/>
        <w:rPr>
          <w:rFonts w:ascii="Palatino Linotype" w:hAnsi="Palatino Linotype" w:cs="Arial"/>
          <w:i/>
          <w:sz w:val="22"/>
        </w:rPr>
      </w:pPr>
      <w:r w:rsidRPr="00DE0B4D">
        <w:rPr>
          <w:rFonts w:ascii="Palatino Linotype" w:hAnsi="Palatino Linotype" w:cs="Arial"/>
          <w:b/>
          <w:i/>
          <w:sz w:val="22"/>
        </w:rPr>
        <w:t>II. Acta de Baja</w:t>
      </w:r>
      <w:r w:rsidRPr="00DE0B4D">
        <w:rPr>
          <w:rFonts w:ascii="Palatino Linotype" w:hAnsi="Palatino Linotype" w:cs="Arial"/>
          <w:i/>
          <w:sz w:val="22"/>
        </w:rPr>
        <w:t>: Acta de Baja Documental. Documento por el que El Comité  de Selección Documental o el titular de la Unidad Administrativa a la cual se encuentre adscrito el Archivo de Trámite, autoriza la baja de los documentos resultantes del proceso de selección preliminar aplicado a los expedientes de trámite concluido, como paso previo a su transferencia a un Archivo de Concentración.</w:t>
      </w:r>
    </w:p>
    <w:p w:rsidR="00294F8D" w:rsidRPr="00DE0B4D" w:rsidRDefault="00294F8D" w:rsidP="002F31D0">
      <w:pPr>
        <w:spacing w:line="276" w:lineRule="auto"/>
        <w:ind w:left="709" w:right="757"/>
        <w:jc w:val="both"/>
        <w:rPr>
          <w:rFonts w:ascii="Palatino Linotype" w:hAnsi="Palatino Linotype" w:cs="Arial"/>
          <w:i/>
          <w:sz w:val="22"/>
        </w:rPr>
      </w:pPr>
    </w:p>
    <w:p w:rsidR="00294F8D" w:rsidRDefault="00294F8D" w:rsidP="002F31D0">
      <w:pPr>
        <w:spacing w:line="276" w:lineRule="auto"/>
        <w:ind w:left="709" w:right="757"/>
        <w:jc w:val="both"/>
        <w:rPr>
          <w:rFonts w:ascii="Palatino Linotype" w:hAnsi="Palatino Linotype" w:cs="Arial"/>
          <w:i/>
          <w:sz w:val="22"/>
        </w:rPr>
      </w:pPr>
      <w:r w:rsidRPr="00DE0B4D">
        <w:rPr>
          <w:rFonts w:ascii="Palatino Linotype" w:hAnsi="Palatino Linotype" w:cs="Arial"/>
          <w:b/>
          <w:i/>
          <w:sz w:val="22"/>
        </w:rPr>
        <w:t>III. Acuerdo</w:t>
      </w:r>
      <w:r w:rsidRPr="00DE0B4D">
        <w:rPr>
          <w:rFonts w:ascii="Palatino Linotype" w:hAnsi="Palatino Linotype" w:cs="Arial"/>
          <w:i/>
          <w:sz w:val="22"/>
        </w:rPr>
        <w:t xml:space="preserve">: Acuerdo de Autorización de Baja Documental. Documento a través del cual la Comisión Dictaminadora de Depuración de Documentos autoriza la baja de los documentos de trámite concluido cuyo período de conservación precaucional ya prescribió en los Archivos de Concentración y que son resultantes del proceso de selección final. </w:t>
      </w:r>
    </w:p>
    <w:p w:rsidR="00DE0B4D" w:rsidRPr="00DE0B4D" w:rsidRDefault="00DE0B4D" w:rsidP="002F31D0">
      <w:pPr>
        <w:spacing w:line="276" w:lineRule="auto"/>
        <w:ind w:left="709" w:right="757"/>
        <w:jc w:val="both"/>
        <w:rPr>
          <w:rFonts w:ascii="Palatino Linotype" w:hAnsi="Palatino Linotype" w:cs="Arial"/>
          <w:i/>
          <w:sz w:val="22"/>
        </w:rPr>
      </w:pPr>
    </w:p>
    <w:p w:rsidR="00294F8D" w:rsidRPr="00DE0B4D" w:rsidRDefault="00294F8D" w:rsidP="002F31D0">
      <w:pPr>
        <w:spacing w:line="276" w:lineRule="auto"/>
        <w:ind w:left="709" w:right="757"/>
        <w:jc w:val="both"/>
        <w:rPr>
          <w:rFonts w:ascii="Palatino Linotype" w:hAnsi="Palatino Linotype" w:cs="Arial"/>
          <w:i/>
          <w:sz w:val="22"/>
        </w:rPr>
      </w:pPr>
      <w:r w:rsidRPr="00DE0B4D">
        <w:rPr>
          <w:rFonts w:ascii="Palatino Linotype" w:hAnsi="Palatino Linotype" w:cs="Arial"/>
          <w:b/>
          <w:i/>
          <w:sz w:val="22"/>
        </w:rPr>
        <w:t>IX. Baja Documental</w:t>
      </w:r>
      <w:r w:rsidRPr="00DE0B4D">
        <w:rPr>
          <w:rFonts w:ascii="Palatino Linotype" w:hAnsi="Palatino Linotype" w:cs="Arial"/>
          <w:i/>
          <w:sz w:val="22"/>
        </w:rPr>
        <w:t>: Eliminación física de la documentación que haya prescrito en sus valores administrativos, legales, fiscales o contables, y que no contenga valores históricos, conforme a la normatividad emitida por la Comisión</w:t>
      </w:r>
    </w:p>
    <w:p w:rsidR="00DE0B4D" w:rsidRPr="00DE0B4D" w:rsidRDefault="00DE0B4D" w:rsidP="002F31D0">
      <w:pPr>
        <w:spacing w:line="276" w:lineRule="auto"/>
        <w:ind w:left="709" w:right="757"/>
        <w:jc w:val="both"/>
        <w:rPr>
          <w:rFonts w:ascii="Palatino Linotype" w:hAnsi="Palatino Linotype" w:cs="Arial"/>
          <w:i/>
          <w:sz w:val="22"/>
        </w:rPr>
      </w:pPr>
    </w:p>
    <w:p w:rsidR="00DE0B4D" w:rsidRPr="00DE0B4D" w:rsidRDefault="00DE0B4D" w:rsidP="002F31D0">
      <w:pPr>
        <w:spacing w:line="276" w:lineRule="auto"/>
        <w:ind w:left="709" w:right="757"/>
        <w:jc w:val="both"/>
        <w:rPr>
          <w:rFonts w:ascii="Palatino Linotype" w:hAnsi="Palatino Linotype" w:cs="Arial"/>
          <w:i/>
          <w:sz w:val="22"/>
        </w:rPr>
      </w:pPr>
      <w:r w:rsidRPr="00DE0B4D">
        <w:rPr>
          <w:rFonts w:ascii="Palatino Linotype" w:hAnsi="Palatino Linotype" w:cs="Arial"/>
          <w:b/>
          <w:i/>
          <w:sz w:val="22"/>
        </w:rPr>
        <w:t>Artículo 20</w:t>
      </w:r>
      <w:r w:rsidRPr="00DE0B4D">
        <w:rPr>
          <w:rFonts w:ascii="Palatino Linotype" w:hAnsi="Palatino Linotype" w:cs="Arial"/>
          <w:i/>
          <w:sz w:val="22"/>
        </w:rPr>
        <w:t xml:space="preserve">.- Los expedientes de trámite concluido y los desclasificados se mantendrán íntegros por un periodo de </w:t>
      </w:r>
      <w:r w:rsidRPr="00DE0B4D">
        <w:rPr>
          <w:rFonts w:ascii="Palatino Linotype" w:hAnsi="Palatino Linotype" w:cs="Arial"/>
          <w:b/>
          <w:i/>
          <w:sz w:val="22"/>
        </w:rPr>
        <w:t>dos años en los Archivos de Trámite</w:t>
      </w:r>
      <w:r w:rsidRPr="00DE0B4D">
        <w:rPr>
          <w:rFonts w:ascii="Palatino Linotype" w:hAnsi="Palatino Linotype" w:cs="Arial"/>
          <w:i/>
          <w:sz w:val="22"/>
        </w:rPr>
        <w:t xml:space="preserve"> de las Unidades Administrativas. Cumplido este plazo se podrá proceder a su selección preliminar y transferencia al Archivo de Concentración. </w:t>
      </w:r>
    </w:p>
    <w:p w:rsidR="00DE0B4D" w:rsidRPr="00DE0B4D" w:rsidRDefault="00DE0B4D" w:rsidP="002F31D0">
      <w:pPr>
        <w:spacing w:line="276" w:lineRule="auto"/>
        <w:ind w:left="709" w:right="757"/>
        <w:jc w:val="both"/>
        <w:rPr>
          <w:rFonts w:ascii="Palatino Linotype" w:hAnsi="Palatino Linotype" w:cs="Arial"/>
          <w:i/>
          <w:sz w:val="22"/>
        </w:rPr>
      </w:pPr>
    </w:p>
    <w:p w:rsidR="00DE0B4D" w:rsidRPr="00DE0B4D" w:rsidRDefault="00DE0B4D" w:rsidP="002F31D0">
      <w:pPr>
        <w:spacing w:line="276" w:lineRule="auto"/>
        <w:ind w:left="709" w:right="757"/>
        <w:jc w:val="both"/>
        <w:rPr>
          <w:rFonts w:ascii="Palatino Linotype" w:hAnsi="Palatino Linotype" w:cs="Arial"/>
          <w:i/>
          <w:sz w:val="22"/>
        </w:rPr>
      </w:pPr>
      <w:r w:rsidRPr="00DE0B4D">
        <w:rPr>
          <w:rFonts w:ascii="Palatino Linotype" w:hAnsi="Palatino Linotype" w:cs="Arial"/>
          <w:i/>
          <w:sz w:val="22"/>
        </w:rPr>
        <w:t>El período señalado se computará a partir del día siguiente a la fecha del documento con el cual se dé por concluido et asunto que motivó ta integración de los expedientes.</w:t>
      </w:r>
    </w:p>
    <w:p w:rsidR="00294F8D" w:rsidRPr="00DE0B4D" w:rsidRDefault="00294F8D" w:rsidP="002F31D0">
      <w:pPr>
        <w:spacing w:line="276" w:lineRule="auto"/>
        <w:ind w:left="709" w:right="757"/>
        <w:jc w:val="both"/>
        <w:rPr>
          <w:rFonts w:ascii="Palatino Linotype" w:hAnsi="Palatino Linotype" w:cs="Arial"/>
          <w:i/>
          <w:sz w:val="22"/>
        </w:rPr>
      </w:pPr>
    </w:p>
    <w:p w:rsidR="00DE0B4D" w:rsidRPr="00DE0B4D" w:rsidRDefault="00DE0B4D" w:rsidP="002F31D0">
      <w:pPr>
        <w:spacing w:line="276" w:lineRule="auto"/>
        <w:ind w:left="709" w:right="757"/>
        <w:jc w:val="both"/>
        <w:rPr>
          <w:rFonts w:ascii="Palatino Linotype" w:hAnsi="Palatino Linotype" w:cs="Arial"/>
          <w:i/>
          <w:sz w:val="22"/>
        </w:rPr>
      </w:pPr>
      <w:r w:rsidRPr="00DE0B4D">
        <w:rPr>
          <w:rFonts w:ascii="Palatino Linotype" w:hAnsi="Palatino Linotype" w:cs="Arial"/>
          <w:b/>
          <w:i/>
          <w:sz w:val="22"/>
        </w:rPr>
        <w:t>Artículo 27</w:t>
      </w:r>
      <w:r w:rsidRPr="00DE0B4D">
        <w:rPr>
          <w:rFonts w:ascii="Palatino Linotype" w:hAnsi="Palatino Linotype" w:cs="Arial"/>
          <w:i/>
          <w:sz w:val="22"/>
        </w:rPr>
        <w:t xml:space="preserve">.- Las Unidades Administrativas al realizar la transferencia de los expedientes de trámite concluido, señalarán en el Inventario correspondiente los plazos de conservación precauciona! de éstos </w:t>
      </w:r>
      <w:r w:rsidRPr="00DE0B4D">
        <w:rPr>
          <w:rFonts w:ascii="Palatino Linotype" w:hAnsi="Palatino Linotype" w:cs="Arial"/>
          <w:b/>
          <w:i/>
          <w:sz w:val="22"/>
        </w:rPr>
        <w:t>en el Archivo de Concentración</w:t>
      </w:r>
      <w:r w:rsidRPr="00DE0B4D">
        <w:rPr>
          <w:rFonts w:ascii="Palatino Linotype" w:hAnsi="Palatino Linotype" w:cs="Arial"/>
          <w:i/>
          <w:sz w:val="22"/>
        </w:rPr>
        <w:t xml:space="preserve">. Para determinar el plazo de conservación precauciona! deberán considerar el marco legal o administrativo bajo el cual se produjeron o recibieron los documentos y los siguientes periodos: </w:t>
      </w:r>
    </w:p>
    <w:p w:rsidR="00DE0B4D" w:rsidRPr="00DE0B4D" w:rsidRDefault="00DE0B4D" w:rsidP="002F31D0">
      <w:pPr>
        <w:spacing w:line="276" w:lineRule="auto"/>
        <w:ind w:left="709" w:right="757"/>
        <w:jc w:val="both"/>
        <w:rPr>
          <w:rFonts w:ascii="Palatino Linotype" w:hAnsi="Palatino Linotype" w:cs="Arial"/>
          <w:i/>
          <w:sz w:val="22"/>
        </w:rPr>
      </w:pPr>
    </w:p>
    <w:p w:rsidR="00DE0B4D" w:rsidRPr="00DE0B4D" w:rsidRDefault="00DE0B4D" w:rsidP="002F31D0">
      <w:pPr>
        <w:spacing w:line="276" w:lineRule="auto"/>
        <w:ind w:left="709" w:right="757"/>
        <w:jc w:val="both"/>
        <w:rPr>
          <w:rFonts w:ascii="Palatino Linotype" w:hAnsi="Palatino Linotype" w:cs="Arial"/>
          <w:i/>
          <w:sz w:val="22"/>
        </w:rPr>
      </w:pPr>
      <w:r w:rsidRPr="00DE0B4D">
        <w:rPr>
          <w:rFonts w:ascii="Palatino Linotype" w:hAnsi="Palatino Linotype" w:cs="Arial"/>
          <w:b/>
          <w:i/>
          <w:sz w:val="22"/>
        </w:rPr>
        <w:t>I.</w:t>
      </w:r>
      <w:r w:rsidRPr="00DE0B4D">
        <w:rPr>
          <w:rFonts w:ascii="Palatino Linotype" w:hAnsi="Palatino Linotype" w:cs="Arial"/>
          <w:i/>
          <w:sz w:val="22"/>
        </w:rPr>
        <w:t xml:space="preserve"> </w:t>
      </w:r>
      <w:r w:rsidRPr="00DE0B4D">
        <w:rPr>
          <w:rFonts w:ascii="Palatino Linotype" w:hAnsi="Palatino Linotype" w:cs="Arial"/>
          <w:b/>
          <w:i/>
          <w:sz w:val="22"/>
        </w:rPr>
        <w:t>6 años para expedientes con información administrativa</w:t>
      </w:r>
      <w:r w:rsidRPr="00DE0B4D">
        <w:rPr>
          <w:rFonts w:ascii="Palatino Linotype" w:hAnsi="Palatino Linotype" w:cs="Arial"/>
          <w:i/>
          <w:sz w:val="22"/>
        </w:rPr>
        <w:t>;</w:t>
      </w:r>
    </w:p>
    <w:p w:rsidR="00DE0B4D" w:rsidRPr="00294F8D" w:rsidRDefault="00DE0B4D" w:rsidP="00294F8D">
      <w:pPr>
        <w:spacing w:line="360" w:lineRule="auto"/>
        <w:jc w:val="both"/>
        <w:rPr>
          <w:rFonts w:ascii="Palatino Linotype" w:hAnsi="Palatino Linotype" w:cs="Arial"/>
        </w:rPr>
      </w:pPr>
    </w:p>
    <w:p w:rsidR="00294F8D" w:rsidRPr="00294F8D" w:rsidRDefault="00294F8D" w:rsidP="00294F8D">
      <w:pPr>
        <w:spacing w:line="360" w:lineRule="auto"/>
        <w:jc w:val="both"/>
        <w:rPr>
          <w:rFonts w:ascii="Palatino Linotype" w:hAnsi="Palatino Linotype" w:cs="Arial"/>
        </w:rPr>
      </w:pPr>
      <w:r w:rsidRPr="00294F8D">
        <w:rPr>
          <w:rFonts w:ascii="Palatino Linotype" w:hAnsi="Palatino Linotype" w:cs="Arial"/>
        </w:rPr>
        <w:t xml:space="preserve">En este sentido, tenemos que los documentos requeridos a través de </w:t>
      </w:r>
      <w:r w:rsidR="00DE0B4D">
        <w:rPr>
          <w:rFonts w:ascii="Palatino Linotype" w:hAnsi="Palatino Linotype" w:cs="Arial"/>
        </w:rPr>
        <w:t>la</w:t>
      </w:r>
      <w:r w:rsidRPr="00294F8D">
        <w:rPr>
          <w:rFonts w:ascii="Palatino Linotype" w:hAnsi="Palatino Linotype" w:cs="Arial"/>
        </w:rPr>
        <w:t xml:space="preserve"> solicitud de acceso a la información pública según las normas y catálogos de vigencia </w:t>
      </w:r>
      <w:r w:rsidR="007A0E34">
        <w:rPr>
          <w:rFonts w:ascii="Palatino Linotype" w:hAnsi="Palatino Linotype" w:cs="Arial"/>
        </w:rPr>
        <w:t xml:space="preserve">pudieron haber </w:t>
      </w:r>
      <w:r w:rsidR="00DE0B4D">
        <w:rPr>
          <w:rFonts w:ascii="Palatino Linotype" w:hAnsi="Palatino Linotype" w:cs="Arial"/>
        </w:rPr>
        <w:t>a</w:t>
      </w:r>
      <w:r w:rsidRPr="00294F8D">
        <w:rPr>
          <w:rFonts w:ascii="Palatino Linotype" w:hAnsi="Palatino Linotype" w:cs="Arial"/>
        </w:rPr>
        <w:t>gota</w:t>
      </w:r>
      <w:r w:rsidR="007A0E34">
        <w:rPr>
          <w:rFonts w:ascii="Palatino Linotype" w:hAnsi="Palatino Linotype" w:cs="Arial"/>
        </w:rPr>
        <w:t>do</w:t>
      </w:r>
      <w:r w:rsidRPr="00294F8D">
        <w:rPr>
          <w:rFonts w:ascii="Palatino Linotype" w:hAnsi="Palatino Linotype" w:cs="Arial"/>
        </w:rPr>
        <w:t xml:space="preserve"> su vida administrativa útil y no se consider</w:t>
      </w:r>
      <w:r w:rsidR="007A0E34">
        <w:rPr>
          <w:rFonts w:ascii="Palatino Linotype" w:hAnsi="Palatino Linotype" w:cs="Arial"/>
        </w:rPr>
        <w:t>e</w:t>
      </w:r>
      <w:r w:rsidRPr="00294F8D">
        <w:rPr>
          <w:rFonts w:ascii="Palatino Linotype" w:hAnsi="Palatino Linotype" w:cs="Arial"/>
        </w:rPr>
        <w:t xml:space="preserve">n de importancia para formar parte del Archivo Histórico, </w:t>
      </w:r>
      <w:r w:rsidR="007A0E34">
        <w:rPr>
          <w:rFonts w:ascii="Palatino Linotype" w:hAnsi="Palatino Linotype" w:cs="Arial"/>
        </w:rPr>
        <w:t>por lo que se pudo proceder a su</w:t>
      </w:r>
      <w:r w:rsidRPr="00294F8D">
        <w:rPr>
          <w:rFonts w:ascii="Palatino Linotype" w:hAnsi="Palatino Linotype" w:cs="Arial"/>
        </w:rPr>
        <w:t xml:space="preserve"> baja y </w:t>
      </w:r>
      <w:r w:rsidR="007A0E34">
        <w:rPr>
          <w:rFonts w:ascii="Palatino Linotype" w:hAnsi="Palatino Linotype" w:cs="Arial"/>
        </w:rPr>
        <w:t>pasar</w:t>
      </w:r>
      <w:r w:rsidRPr="00294F8D">
        <w:rPr>
          <w:rFonts w:ascii="Palatino Linotype" w:hAnsi="Palatino Linotype" w:cs="Arial"/>
        </w:rPr>
        <w:t xml:space="preserve"> a disposición de las autoridades competentes para los efectos procedentes; sin embargo, dichos efectos por sí no colman el derecho de acceso a la información de los ciudadanos.</w:t>
      </w:r>
    </w:p>
    <w:p w:rsidR="00294F8D" w:rsidRPr="00294F8D" w:rsidRDefault="00294F8D" w:rsidP="00294F8D">
      <w:pPr>
        <w:spacing w:line="360" w:lineRule="auto"/>
        <w:jc w:val="both"/>
        <w:rPr>
          <w:rFonts w:ascii="Palatino Linotype" w:hAnsi="Palatino Linotype" w:cs="Arial"/>
        </w:rPr>
      </w:pPr>
    </w:p>
    <w:p w:rsidR="00294F8D" w:rsidRPr="00294F8D" w:rsidRDefault="00294F8D" w:rsidP="00294F8D">
      <w:pPr>
        <w:spacing w:line="360" w:lineRule="auto"/>
        <w:jc w:val="both"/>
        <w:rPr>
          <w:rFonts w:ascii="Palatino Linotype" w:hAnsi="Palatino Linotype" w:cs="Arial"/>
        </w:rPr>
      </w:pPr>
      <w:r w:rsidRPr="00294F8D">
        <w:rPr>
          <w:rFonts w:ascii="Palatino Linotype" w:hAnsi="Palatino Linotype" w:cs="Arial"/>
        </w:rPr>
        <w:t xml:space="preserve">Es decir, </w:t>
      </w:r>
      <w:r w:rsidR="001E5976">
        <w:rPr>
          <w:rFonts w:ascii="Palatino Linotype" w:hAnsi="Palatino Linotype" w:cs="Arial"/>
        </w:rPr>
        <w:t xml:space="preserve">toda vez que se entregó la información de manera incompleta y dado a que el SUJETO OBLIGADO refirió </w:t>
      </w:r>
      <w:r w:rsidR="00325073">
        <w:rPr>
          <w:rFonts w:ascii="Palatino Linotype" w:hAnsi="Palatino Linotype" w:cs="Arial"/>
        </w:rPr>
        <w:t xml:space="preserve">que </w:t>
      </w:r>
      <w:bookmarkStart w:id="0" w:name="_GoBack"/>
      <w:bookmarkEnd w:id="0"/>
      <w:r w:rsidR="001E5976">
        <w:rPr>
          <w:rFonts w:ascii="Palatino Linotype" w:hAnsi="Palatino Linotype" w:cs="Arial"/>
        </w:rPr>
        <w:t>la información con la que cuenta</w:t>
      </w:r>
      <w:r w:rsidR="007A0E34">
        <w:rPr>
          <w:rFonts w:ascii="Palatino Linotype" w:hAnsi="Palatino Linotype" w:cs="Arial"/>
        </w:rPr>
        <w:t xml:space="preserve">, se debió considerar </w:t>
      </w:r>
      <w:r w:rsidRPr="00294F8D">
        <w:rPr>
          <w:rFonts w:ascii="Palatino Linotype" w:hAnsi="Palatino Linotype" w:cs="Arial"/>
        </w:rPr>
        <w:t xml:space="preserve">la baja de los documentos, </w:t>
      </w:r>
      <w:r w:rsidR="007A0E34">
        <w:rPr>
          <w:rFonts w:ascii="Palatino Linotype" w:hAnsi="Palatino Linotype" w:cs="Arial"/>
        </w:rPr>
        <w:t xml:space="preserve">sin que baste </w:t>
      </w:r>
      <w:r w:rsidRPr="00294F8D">
        <w:rPr>
          <w:rFonts w:ascii="Palatino Linotype" w:hAnsi="Palatino Linotype" w:cs="Arial"/>
        </w:rPr>
        <w:t>con informar o hacer entrega al ciudadano del acta de baja, pues ésta solo hace constancia de la autorización de la baja de los documentos resultantes del proceso de selección preliminar aplicado a los expedientes de trámite concluido, más no así lo dispuesto por el artículo 16</w:t>
      </w:r>
      <w:r w:rsidR="007A0E34">
        <w:rPr>
          <w:rFonts w:ascii="Palatino Linotype" w:hAnsi="Palatino Linotype" w:cs="Arial"/>
        </w:rPr>
        <w:t>9 y 170 de la Ley de la materia, que correspondería al debido Acuerdo de Inexistencia.</w:t>
      </w:r>
    </w:p>
    <w:p w:rsidR="00294F8D" w:rsidRPr="00294F8D" w:rsidRDefault="00294F8D" w:rsidP="00294F8D">
      <w:pPr>
        <w:spacing w:line="360" w:lineRule="auto"/>
        <w:jc w:val="both"/>
        <w:rPr>
          <w:rFonts w:ascii="Palatino Linotype" w:hAnsi="Palatino Linotype" w:cs="Arial"/>
        </w:rPr>
      </w:pPr>
    </w:p>
    <w:p w:rsidR="00294F8D" w:rsidRPr="00294F8D" w:rsidRDefault="00294F8D" w:rsidP="00294F8D">
      <w:pPr>
        <w:spacing w:line="360" w:lineRule="auto"/>
        <w:jc w:val="both"/>
        <w:rPr>
          <w:rFonts w:ascii="Palatino Linotype" w:hAnsi="Palatino Linotype" w:cs="Arial"/>
        </w:rPr>
      </w:pPr>
      <w:r w:rsidRPr="00294F8D">
        <w:rPr>
          <w:rFonts w:ascii="Palatino Linotype" w:hAnsi="Palatino Linotype" w:cs="Arial"/>
        </w:rPr>
        <w:t>Lo anterior es así, ya que el Acuerdo de Inexistencia por parte del Comité de Transparencia da certeza de las motivos o razones por las cuales no se localizó la información y del proceso realizado para localizar la misma</w:t>
      </w:r>
      <w:r w:rsidR="00C5476E">
        <w:rPr>
          <w:rFonts w:ascii="Palatino Linotype" w:hAnsi="Palatino Linotype" w:cs="Arial"/>
        </w:rPr>
        <w:t>,</w:t>
      </w:r>
      <w:r w:rsidRPr="00294F8D">
        <w:rPr>
          <w:rFonts w:ascii="Palatino Linotype" w:hAnsi="Palatino Linotype" w:cs="Arial"/>
        </w:rPr>
        <w:t xml:space="preserve"> acreditando en un primer momento la búsqueda exhaustiva y razonable de la información en las áreas administrativas, lo cual se acredita con los oficios emitidos y sus respuestas por parte de los Servidores Público</w:t>
      </w:r>
      <w:r w:rsidR="00C5476E">
        <w:rPr>
          <w:rFonts w:ascii="Palatino Linotype" w:hAnsi="Palatino Linotype" w:cs="Arial"/>
        </w:rPr>
        <w:t>s de las áreas correspondientes.</w:t>
      </w:r>
    </w:p>
    <w:p w:rsidR="00294F8D" w:rsidRPr="00294F8D" w:rsidRDefault="00294F8D" w:rsidP="00294F8D">
      <w:pPr>
        <w:spacing w:line="360" w:lineRule="auto"/>
        <w:jc w:val="both"/>
        <w:rPr>
          <w:rFonts w:ascii="Palatino Linotype" w:hAnsi="Palatino Linotype" w:cs="Arial"/>
        </w:rPr>
      </w:pPr>
    </w:p>
    <w:p w:rsidR="00294F8D" w:rsidRPr="00294F8D" w:rsidRDefault="00294F8D" w:rsidP="00294F8D">
      <w:pPr>
        <w:spacing w:line="360" w:lineRule="auto"/>
        <w:jc w:val="both"/>
        <w:rPr>
          <w:rFonts w:ascii="Palatino Linotype" w:hAnsi="Palatino Linotype" w:cs="Arial"/>
        </w:rPr>
      </w:pPr>
      <w:r w:rsidRPr="00294F8D">
        <w:rPr>
          <w:rFonts w:ascii="Palatino Linotype" w:hAnsi="Palatino Linotype" w:cs="Arial"/>
        </w:rPr>
        <w:t xml:space="preserve">Por lo que, </w:t>
      </w:r>
      <w:r w:rsidR="00DE0B4D">
        <w:rPr>
          <w:rFonts w:ascii="Palatino Linotype" w:hAnsi="Palatino Linotype" w:cs="Arial"/>
        </w:rPr>
        <w:t>en caso de</w:t>
      </w:r>
      <w:r w:rsidR="00C5476E">
        <w:rPr>
          <w:rFonts w:ascii="Palatino Linotype" w:hAnsi="Palatino Linotype" w:cs="Arial"/>
        </w:rPr>
        <w:t xml:space="preserve"> que la información </w:t>
      </w:r>
      <w:r w:rsidRPr="00294F8D">
        <w:rPr>
          <w:rFonts w:ascii="Palatino Linotype" w:hAnsi="Palatino Linotype" w:cs="Arial"/>
        </w:rPr>
        <w:t>no obr</w:t>
      </w:r>
      <w:r w:rsidR="00C5476E">
        <w:rPr>
          <w:rFonts w:ascii="Palatino Linotype" w:hAnsi="Palatino Linotype" w:cs="Arial"/>
        </w:rPr>
        <w:t>e</w:t>
      </w:r>
      <w:r w:rsidRPr="00294F8D">
        <w:rPr>
          <w:rFonts w:ascii="Palatino Linotype" w:hAnsi="Palatino Linotype" w:cs="Arial"/>
        </w:rPr>
        <w:t xml:space="preserve"> en los archivos del </w:t>
      </w:r>
      <w:r w:rsidR="00DE0B4D" w:rsidRPr="00DE0B4D">
        <w:rPr>
          <w:rFonts w:ascii="Palatino Linotype" w:hAnsi="Palatino Linotype" w:cs="Arial"/>
          <w:b/>
        </w:rPr>
        <w:t>SUJETO OBLIGADO</w:t>
      </w:r>
      <w:r w:rsidR="00DE0B4D" w:rsidRPr="00294F8D">
        <w:rPr>
          <w:rFonts w:ascii="Palatino Linotype" w:hAnsi="Palatino Linotype" w:cs="Arial"/>
        </w:rPr>
        <w:t xml:space="preserve"> </w:t>
      </w:r>
      <w:r w:rsidRPr="00294F8D">
        <w:rPr>
          <w:rFonts w:ascii="Palatino Linotype" w:hAnsi="Palatino Linotype" w:cs="Arial"/>
        </w:rPr>
        <w:t xml:space="preserve">se </w:t>
      </w:r>
      <w:r w:rsidR="007A0E34">
        <w:rPr>
          <w:rFonts w:ascii="Palatino Linotype" w:hAnsi="Palatino Linotype" w:cs="Arial"/>
        </w:rPr>
        <w:t xml:space="preserve">puede </w:t>
      </w:r>
      <w:r w:rsidRPr="00294F8D">
        <w:rPr>
          <w:rFonts w:ascii="Palatino Linotype" w:hAnsi="Palatino Linotype" w:cs="Arial"/>
        </w:rPr>
        <w:t>acredita</w:t>
      </w:r>
      <w:r w:rsidR="007A0E34">
        <w:rPr>
          <w:rFonts w:ascii="Palatino Linotype" w:hAnsi="Palatino Linotype" w:cs="Arial"/>
        </w:rPr>
        <w:t>r</w:t>
      </w:r>
      <w:r w:rsidRPr="00294F8D">
        <w:rPr>
          <w:rFonts w:ascii="Palatino Linotype" w:hAnsi="Palatino Linotype" w:cs="Arial"/>
        </w:rPr>
        <w:t xml:space="preserve"> el destino de la misma, y para el caso que nos ocupa determinar si ésta se procedió a su envío al archivo histórico o a su baja permanente; documentando las circunstancias de tiempo, modo y lugar que precedieron a la inexistencia de la información, situación que se sustenta con la referencia e integración de la debida Acta de Baja Documental, ello a fin de otorgar certeza jurídica al particular en términos de la fracción I del diverso 9 de la Ley de Transparencia y Acceso a la Información Pública del Estado de México y Municipios.</w:t>
      </w:r>
    </w:p>
    <w:p w:rsidR="00294F8D" w:rsidRPr="00294F8D" w:rsidRDefault="00294F8D" w:rsidP="00294F8D">
      <w:pPr>
        <w:spacing w:line="360" w:lineRule="auto"/>
        <w:jc w:val="both"/>
        <w:rPr>
          <w:rFonts w:ascii="Palatino Linotype" w:hAnsi="Palatino Linotype" w:cs="Arial"/>
        </w:rPr>
      </w:pPr>
    </w:p>
    <w:p w:rsidR="00294F8D" w:rsidRPr="00294F8D" w:rsidRDefault="00294F8D" w:rsidP="00294F8D">
      <w:pPr>
        <w:spacing w:line="360" w:lineRule="auto"/>
        <w:jc w:val="both"/>
        <w:rPr>
          <w:rFonts w:ascii="Palatino Linotype" w:hAnsi="Palatino Linotype" w:cs="Arial"/>
        </w:rPr>
      </w:pPr>
      <w:r w:rsidRPr="00294F8D">
        <w:rPr>
          <w:rFonts w:ascii="Palatino Linotype" w:hAnsi="Palatino Linotype" w:cs="Arial"/>
        </w:rPr>
        <w:t>Sirve de apoyo a lo anterior por analogía el criterio 14-09 que emite el Instituto Nacional de Transparencia, Acceso a la Información y Protección de Datos Personales que a la letra dice:</w:t>
      </w:r>
    </w:p>
    <w:p w:rsidR="00294F8D" w:rsidRPr="00294F8D" w:rsidRDefault="00294F8D" w:rsidP="00294F8D">
      <w:pPr>
        <w:spacing w:line="360" w:lineRule="auto"/>
        <w:jc w:val="both"/>
        <w:rPr>
          <w:rFonts w:ascii="Palatino Linotype" w:hAnsi="Palatino Linotype" w:cs="Arial"/>
        </w:rPr>
      </w:pPr>
    </w:p>
    <w:p w:rsidR="00294F8D" w:rsidRPr="00DE0B4D" w:rsidRDefault="00294F8D" w:rsidP="002F31D0">
      <w:pPr>
        <w:spacing w:line="276" w:lineRule="auto"/>
        <w:ind w:left="709" w:right="757"/>
        <w:jc w:val="both"/>
        <w:rPr>
          <w:rFonts w:ascii="Palatino Linotype" w:hAnsi="Palatino Linotype" w:cs="Arial"/>
          <w:i/>
          <w:sz w:val="22"/>
        </w:rPr>
      </w:pPr>
      <w:r w:rsidRPr="00DE0B4D">
        <w:rPr>
          <w:rFonts w:ascii="Palatino Linotype" w:hAnsi="Palatino Linotype" w:cs="Arial"/>
          <w:b/>
          <w:i/>
          <w:sz w:val="22"/>
        </w:rPr>
        <w:t>Baja documental</w:t>
      </w:r>
      <w:r w:rsidRPr="00DE0B4D">
        <w:rPr>
          <w:rFonts w:ascii="Palatino Linotype" w:hAnsi="Palatino Linotype" w:cs="Arial"/>
          <w:i/>
          <w:sz w:val="22"/>
        </w:rPr>
        <w:t>. Las dependencias y entidades deben proporcionar a los particulares el documento que acredite dicha situación. De conformidad con lo previsto en los artículos 24 y 46 de la Ley Federal de Transparencia y Acceso a la Información Pública Gubernamental 70, fracción V y 78, fracción III de su Reglamento, las dependencias y entidades deberán expedir una resolución que comunique a los solicitantes la inexistencia de la información requerida, en caso de que ésta no sea localizada en los archivos de la dependencia o entidad de que se trate después de una búsqueda exhaustiva. En este supuesto, las dependencias y entidades deberán acompañar a la resolución por la que se confirma la declaración de inexistencia, el acta de baja documental, esto es, el documento mediante la cual se acredita la legal destrucción de la información solicitada, en todos aquellos casos en los que la normatividad en materia archivística prevea que la misma debe existir.</w:t>
      </w:r>
    </w:p>
    <w:p w:rsidR="00294F8D" w:rsidRPr="00DE0B4D" w:rsidRDefault="00294F8D" w:rsidP="002F31D0">
      <w:pPr>
        <w:spacing w:line="276" w:lineRule="auto"/>
        <w:ind w:left="709" w:right="757"/>
        <w:jc w:val="both"/>
        <w:rPr>
          <w:rFonts w:ascii="Palatino Linotype" w:hAnsi="Palatino Linotype" w:cs="Arial"/>
          <w:i/>
          <w:sz w:val="22"/>
        </w:rPr>
      </w:pPr>
    </w:p>
    <w:p w:rsidR="00294F8D" w:rsidRPr="00DE0B4D" w:rsidRDefault="00294F8D" w:rsidP="002F31D0">
      <w:pPr>
        <w:spacing w:line="276" w:lineRule="auto"/>
        <w:ind w:left="709" w:right="757"/>
        <w:jc w:val="both"/>
        <w:rPr>
          <w:rFonts w:ascii="Palatino Linotype" w:hAnsi="Palatino Linotype" w:cs="Arial"/>
          <w:i/>
          <w:sz w:val="22"/>
        </w:rPr>
      </w:pPr>
      <w:r w:rsidRPr="00DE0B4D">
        <w:rPr>
          <w:rFonts w:ascii="Palatino Linotype" w:hAnsi="Palatino Linotype" w:cs="Arial"/>
          <w:i/>
          <w:sz w:val="22"/>
        </w:rPr>
        <w:t>Expedientes:</w:t>
      </w:r>
    </w:p>
    <w:p w:rsidR="00294F8D" w:rsidRPr="00DE0B4D" w:rsidRDefault="00294F8D" w:rsidP="002F31D0">
      <w:pPr>
        <w:spacing w:line="276" w:lineRule="auto"/>
        <w:ind w:left="709" w:right="757"/>
        <w:jc w:val="both"/>
        <w:rPr>
          <w:rFonts w:ascii="Palatino Linotype" w:hAnsi="Palatino Linotype" w:cs="Arial"/>
          <w:i/>
          <w:sz w:val="22"/>
        </w:rPr>
      </w:pPr>
      <w:r w:rsidRPr="00DE0B4D">
        <w:rPr>
          <w:rFonts w:ascii="Palatino Linotype" w:hAnsi="Palatino Linotype" w:cs="Arial"/>
          <w:i/>
          <w:sz w:val="22"/>
        </w:rPr>
        <w:t>4650/07 Instituto de Seguridad y Servicios Sociales de los Trabajadores del</w:t>
      </w:r>
    </w:p>
    <w:p w:rsidR="00294F8D" w:rsidRPr="00DE0B4D" w:rsidRDefault="00294F8D" w:rsidP="002F31D0">
      <w:pPr>
        <w:spacing w:line="276" w:lineRule="auto"/>
        <w:ind w:left="709" w:right="757"/>
        <w:jc w:val="both"/>
        <w:rPr>
          <w:rFonts w:ascii="Palatino Linotype" w:hAnsi="Palatino Linotype" w:cs="Arial"/>
          <w:i/>
          <w:sz w:val="22"/>
        </w:rPr>
      </w:pPr>
      <w:r w:rsidRPr="00DE0B4D">
        <w:rPr>
          <w:rFonts w:ascii="Palatino Linotype" w:hAnsi="Palatino Linotype" w:cs="Arial"/>
          <w:i/>
          <w:sz w:val="22"/>
        </w:rPr>
        <w:t>Estado – Alonso Lujambio Irazábal</w:t>
      </w:r>
    </w:p>
    <w:p w:rsidR="00294F8D" w:rsidRPr="00DE0B4D" w:rsidRDefault="00294F8D" w:rsidP="002F31D0">
      <w:pPr>
        <w:spacing w:line="276" w:lineRule="auto"/>
        <w:ind w:left="709" w:right="757"/>
        <w:jc w:val="both"/>
        <w:rPr>
          <w:rFonts w:ascii="Palatino Linotype" w:hAnsi="Palatino Linotype" w:cs="Arial"/>
          <w:i/>
          <w:sz w:val="22"/>
        </w:rPr>
      </w:pPr>
      <w:r w:rsidRPr="00DE0B4D">
        <w:rPr>
          <w:rFonts w:ascii="Palatino Linotype" w:hAnsi="Palatino Linotype" w:cs="Arial"/>
          <w:i/>
          <w:sz w:val="22"/>
        </w:rPr>
        <w:t>0908/08 Instituto Mexicano del Seguro Social – Alonso Lujambio Irazábal</w:t>
      </w:r>
    </w:p>
    <w:p w:rsidR="00294F8D" w:rsidRPr="00DE0B4D" w:rsidRDefault="00294F8D" w:rsidP="002F31D0">
      <w:pPr>
        <w:spacing w:line="276" w:lineRule="auto"/>
        <w:ind w:left="709" w:right="757"/>
        <w:jc w:val="both"/>
        <w:rPr>
          <w:rFonts w:ascii="Palatino Linotype" w:hAnsi="Palatino Linotype" w:cs="Arial"/>
          <w:i/>
          <w:sz w:val="22"/>
        </w:rPr>
      </w:pPr>
      <w:r w:rsidRPr="00DE0B4D">
        <w:rPr>
          <w:rFonts w:ascii="Palatino Linotype" w:hAnsi="Palatino Linotype" w:cs="Arial"/>
          <w:i/>
          <w:sz w:val="22"/>
        </w:rPr>
        <w:t>4961/08 Instituto Mexicano del Seguro Social – Alonso Gómez-Robledo V.</w:t>
      </w:r>
    </w:p>
    <w:p w:rsidR="00294F8D" w:rsidRPr="00DE0B4D" w:rsidRDefault="00294F8D" w:rsidP="002F31D0">
      <w:pPr>
        <w:spacing w:line="276" w:lineRule="auto"/>
        <w:ind w:left="709" w:right="757"/>
        <w:jc w:val="both"/>
        <w:rPr>
          <w:rFonts w:ascii="Palatino Linotype" w:hAnsi="Palatino Linotype" w:cs="Arial"/>
          <w:i/>
          <w:sz w:val="22"/>
        </w:rPr>
      </w:pPr>
      <w:r w:rsidRPr="00DE0B4D">
        <w:rPr>
          <w:rFonts w:ascii="Palatino Linotype" w:hAnsi="Palatino Linotype" w:cs="Arial"/>
          <w:i/>
          <w:sz w:val="22"/>
        </w:rPr>
        <w:t>0820/09  Secretaría de Agricultura, Ganadería, Desarrollo Rural, Pesca y</w:t>
      </w:r>
    </w:p>
    <w:p w:rsidR="00294F8D" w:rsidRPr="00DE0B4D" w:rsidRDefault="00294F8D" w:rsidP="002F31D0">
      <w:pPr>
        <w:spacing w:line="276" w:lineRule="auto"/>
        <w:ind w:left="709" w:right="757"/>
        <w:jc w:val="both"/>
        <w:rPr>
          <w:rFonts w:ascii="Palatino Linotype" w:hAnsi="Palatino Linotype" w:cs="Arial"/>
          <w:i/>
          <w:sz w:val="22"/>
        </w:rPr>
      </w:pPr>
      <w:r w:rsidRPr="00DE0B4D">
        <w:rPr>
          <w:rFonts w:ascii="Palatino Linotype" w:hAnsi="Palatino Linotype" w:cs="Arial"/>
          <w:i/>
          <w:sz w:val="22"/>
        </w:rPr>
        <w:t>Alimentación – Jacqueline Peschard Mariscal</w:t>
      </w:r>
    </w:p>
    <w:p w:rsidR="00294F8D" w:rsidRPr="00DE0B4D" w:rsidRDefault="00294F8D" w:rsidP="002F31D0">
      <w:pPr>
        <w:spacing w:line="276" w:lineRule="auto"/>
        <w:ind w:left="709" w:right="757"/>
        <w:jc w:val="both"/>
        <w:rPr>
          <w:rFonts w:ascii="Palatino Linotype" w:hAnsi="Palatino Linotype" w:cs="Arial"/>
          <w:i/>
          <w:sz w:val="22"/>
        </w:rPr>
      </w:pPr>
      <w:r w:rsidRPr="00DE0B4D">
        <w:rPr>
          <w:rFonts w:ascii="Palatino Linotype" w:hAnsi="Palatino Linotype" w:cs="Arial"/>
          <w:i/>
          <w:sz w:val="22"/>
        </w:rPr>
        <w:t>3928/09 Administración Federal de Servicios Educativos en el Distrito Federal –</w:t>
      </w:r>
    </w:p>
    <w:p w:rsidR="00294F8D" w:rsidRPr="00DE0B4D" w:rsidRDefault="00294F8D" w:rsidP="002F31D0">
      <w:pPr>
        <w:spacing w:line="276" w:lineRule="auto"/>
        <w:ind w:left="709" w:right="757"/>
        <w:jc w:val="both"/>
        <w:rPr>
          <w:rFonts w:ascii="Palatino Linotype" w:hAnsi="Palatino Linotype" w:cs="Arial"/>
          <w:i/>
          <w:sz w:val="22"/>
        </w:rPr>
      </w:pPr>
      <w:r w:rsidRPr="00DE0B4D">
        <w:rPr>
          <w:rFonts w:ascii="Palatino Linotype" w:hAnsi="Palatino Linotype" w:cs="Arial"/>
          <w:i/>
          <w:sz w:val="22"/>
        </w:rPr>
        <w:t>María Marván Laborde</w:t>
      </w:r>
    </w:p>
    <w:p w:rsidR="00A77728" w:rsidRDefault="00294F8D" w:rsidP="00305EAA">
      <w:pPr>
        <w:spacing w:line="360" w:lineRule="auto"/>
        <w:jc w:val="both"/>
        <w:rPr>
          <w:rFonts w:ascii="Palatino Linotype" w:hAnsi="Palatino Linotype" w:cs="Arial"/>
        </w:rPr>
      </w:pPr>
      <w:r>
        <w:rPr>
          <w:rFonts w:ascii="Palatino Linotype" w:hAnsi="Palatino Linotype" w:cs="Arial"/>
        </w:rPr>
        <w:t xml:space="preserve"> </w:t>
      </w:r>
    </w:p>
    <w:p w:rsidR="00305EAA" w:rsidRDefault="00305EAA" w:rsidP="00305EAA">
      <w:pPr>
        <w:spacing w:line="360" w:lineRule="auto"/>
        <w:jc w:val="both"/>
        <w:rPr>
          <w:rFonts w:ascii="Palatino Linotype" w:hAnsi="Palatino Linotype" w:cs="Arial"/>
        </w:rPr>
      </w:pPr>
      <w:r>
        <w:rPr>
          <w:rFonts w:ascii="Palatino Linotype" w:hAnsi="Palatino Linotype" w:cs="Arial"/>
        </w:rPr>
        <w:t xml:space="preserve">De todo lo expuesto, </w:t>
      </w:r>
      <w:r w:rsidR="007A0E34">
        <w:rPr>
          <w:rFonts w:ascii="Palatino Linotype" w:hAnsi="Palatino Linotype" w:cs="Arial"/>
        </w:rPr>
        <w:t>emito</w:t>
      </w:r>
      <w:r w:rsidRPr="000A6958">
        <w:rPr>
          <w:rFonts w:ascii="Palatino Linotype" w:hAnsi="Palatino Linotype" w:cs="Arial"/>
        </w:rPr>
        <w:t xml:space="preserve"> </w:t>
      </w:r>
      <w:r w:rsidR="007A0E34">
        <w:rPr>
          <w:rFonts w:ascii="Palatino Linotype" w:hAnsi="Palatino Linotype" w:cs="Arial"/>
          <w:b/>
        </w:rPr>
        <w:t>OPINION</w:t>
      </w:r>
      <w:r w:rsidRPr="000A6958">
        <w:rPr>
          <w:rFonts w:ascii="Palatino Linotype" w:hAnsi="Palatino Linotype" w:cs="Arial"/>
          <w:b/>
        </w:rPr>
        <w:t xml:space="preserve"> PARTICULAR</w:t>
      </w:r>
      <w:r>
        <w:rPr>
          <w:rFonts w:ascii="Palatino Linotype" w:hAnsi="Palatino Linotype" w:cs="Arial"/>
        </w:rPr>
        <w:t xml:space="preserve">, pues </w:t>
      </w:r>
      <w:r w:rsidR="007A0E34">
        <w:rPr>
          <w:rFonts w:ascii="Palatino Linotype" w:hAnsi="Palatino Linotype" w:cs="Arial"/>
        </w:rPr>
        <w:t>insisto</w:t>
      </w:r>
      <w:r>
        <w:rPr>
          <w:rFonts w:ascii="Palatino Linotype" w:hAnsi="Palatino Linotype" w:cs="Arial"/>
        </w:rPr>
        <w:t xml:space="preserve"> que lo procedente en</w:t>
      </w:r>
      <w:r w:rsidR="007A0E34">
        <w:rPr>
          <w:rFonts w:ascii="Palatino Linotype" w:hAnsi="Palatino Linotype" w:cs="Arial"/>
        </w:rPr>
        <w:t xml:space="preserve"> relación con la información </w:t>
      </w:r>
      <w:r>
        <w:rPr>
          <w:rFonts w:ascii="Palatino Linotype" w:hAnsi="Palatino Linotype" w:cs="Arial"/>
        </w:rPr>
        <w:t xml:space="preserve">que se ordena </w:t>
      </w:r>
      <w:r w:rsidR="007A0E34">
        <w:rPr>
          <w:rFonts w:ascii="Palatino Linotype" w:hAnsi="Palatino Linotype" w:cs="Arial"/>
        </w:rPr>
        <w:t>su</w:t>
      </w:r>
      <w:r>
        <w:rPr>
          <w:rFonts w:ascii="Palatino Linotype" w:hAnsi="Palatino Linotype" w:cs="Arial"/>
        </w:rPr>
        <w:t xml:space="preserve"> entrega en el Resolutivo SEGUNDO</w:t>
      </w:r>
      <w:r w:rsidR="007A0E34">
        <w:rPr>
          <w:rFonts w:ascii="Palatino Linotype" w:hAnsi="Palatino Linotype" w:cs="Arial"/>
        </w:rPr>
        <w:t xml:space="preserve"> se debió contemplar </w:t>
      </w:r>
      <w:r w:rsidR="00DE0B4D">
        <w:rPr>
          <w:rFonts w:ascii="Palatino Linotype" w:hAnsi="Palatino Linotype" w:cs="Arial"/>
        </w:rPr>
        <w:t>la entrega del Acuerdo de Inexistencia en razón de los argumentos expuestos con anterioridad</w:t>
      </w:r>
      <w:r w:rsidR="00E05E7E">
        <w:rPr>
          <w:rFonts w:ascii="Palatino Linotype" w:hAnsi="Palatino Linotype" w:cs="Arial"/>
        </w:rPr>
        <w:t xml:space="preserve">; es decir, que dicho acuerdo se sustente con el acta de baja documental para el caso de que se hayan actualizado dichas hipótesis jurídicas, </w:t>
      </w:r>
      <w:r w:rsidR="007A0E34">
        <w:rPr>
          <w:rFonts w:ascii="Palatino Linotype" w:hAnsi="Palatino Linotype" w:cs="Arial"/>
        </w:rPr>
        <w:t xml:space="preserve">a fin de que no se entregue en su caso solo </w:t>
      </w:r>
      <w:r w:rsidR="00E05E7E">
        <w:rPr>
          <w:rFonts w:ascii="Palatino Linotype" w:hAnsi="Palatino Linotype" w:cs="Arial"/>
        </w:rPr>
        <w:t>el Acta de Baja Documental</w:t>
      </w:r>
      <w:r>
        <w:rPr>
          <w:rFonts w:ascii="Palatino Linotype" w:hAnsi="Palatino Linotype" w:cs="Arial"/>
        </w:rPr>
        <w:t>, ello en atención a los principios de máxima publicidad, exhaustividad y congruencia.</w:t>
      </w:r>
    </w:p>
    <w:p w:rsidR="007A0E34" w:rsidRDefault="007A0E34" w:rsidP="00DE0B4D">
      <w:pPr>
        <w:jc w:val="both"/>
        <w:rPr>
          <w:rFonts w:ascii="Palatino Linotype" w:eastAsia="Calibri" w:hAnsi="Palatino Linotype" w:cs="Arial"/>
          <w:color w:val="000000" w:themeColor="text1"/>
          <w:sz w:val="18"/>
          <w:szCs w:val="18"/>
        </w:rPr>
      </w:pPr>
    </w:p>
    <w:p w:rsidR="001E5976" w:rsidRDefault="008478AA" w:rsidP="00DE0B4D">
      <w:pPr>
        <w:jc w:val="both"/>
        <w:rPr>
          <w:rFonts w:ascii="Palatino Linotype" w:eastAsia="Calibri" w:hAnsi="Palatino Linotype" w:cs="Arial"/>
          <w:color w:val="000000" w:themeColor="text1"/>
          <w:sz w:val="18"/>
          <w:szCs w:val="18"/>
        </w:rPr>
      </w:pPr>
      <w:r>
        <w:rPr>
          <w:rFonts w:ascii="Palatino Linotype" w:eastAsia="Calibri" w:hAnsi="Palatino Linotype" w:cs="Arial"/>
          <w:color w:val="000000" w:themeColor="text1"/>
          <w:sz w:val="18"/>
          <w:szCs w:val="18"/>
        </w:rPr>
        <w:t>BLA</w:t>
      </w:r>
    </w:p>
    <w:p w:rsidR="001E5976" w:rsidRDefault="001E5976">
      <w:pPr>
        <w:spacing w:after="160" w:line="259" w:lineRule="auto"/>
        <w:rPr>
          <w:rFonts w:ascii="Palatino Linotype" w:eastAsia="Calibri" w:hAnsi="Palatino Linotype" w:cs="Arial"/>
          <w:color w:val="000000" w:themeColor="text1"/>
          <w:sz w:val="18"/>
          <w:szCs w:val="18"/>
        </w:rPr>
      </w:pPr>
      <w:r>
        <w:rPr>
          <w:rFonts w:ascii="Palatino Linotype" w:eastAsia="Calibri" w:hAnsi="Palatino Linotype" w:cs="Arial"/>
          <w:color w:val="000000" w:themeColor="text1"/>
          <w:sz w:val="18"/>
          <w:szCs w:val="18"/>
        </w:rPr>
        <w:br w:type="page"/>
      </w:r>
    </w:p>
    <w:p w:rsidR="00A517EA" w:rsidRPr="00E05E7E" w:rsidRDefault="00A517EA" w:rsidP="00DE0B4D">
      <w:pPr>
        <w:jc w:val="both"/>
        <w:rPr>
          <w:rFonts w:ascii="Palatino Linotype" w:eastAsia="Calibri" w:hAnsi="Palatino Linotype" w:cs="Arial"/>
          <w:color w:val="000000" w:themeColor="text1"/>
          <w:sz w:val="20"/>
          <w:szCs w:val="20"/>
        </w:rPr>
      </w:pPr>
    </w:p>
    <w:sectPr w:rsidR="00A517EA" w:rsidRPr="00E05E7E" w:rsidSect="00E52822">
      <w:headerReference w:type="default" r:id="rId8"/>
      <w:footerReference w:type="default" r:id="rId9"/>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4AC" w:rsidRDefault="005204AC" w:rsidP="00DB3A83">
      <w:r>
        <w:separator/>
      </w:r>
    </w:p>
  </w:endnote>
  <w:endnote w:type="continuationSeparator" w:id="0">
    <w:p w:rsidR="005204AC" w:rsidRDefault="005204AC" w:rsidP="00D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325073" w:rsidP="003056D9">
    <w:pPr>
      <w:pStyle w:val="Piedepgina"/>
      <w:tabs>
        <w:tab w:val="clear" w:pos="4252"/>
        <w:tab w:val="left" w:pos="4228"/>
      </w:tabs>
      <w:rPr>
        <w:rFonts w:ascii="Palatino Linotype" w:hAnsi="Palatino Linotype" w:cs="Arial"/>
        <w:b/>
        <w:bCs/>
        <w:sz w:val="20"/>
        <w:szCs w:val="20"/>
      </w:rPr>
    </w:pPr>
  </w:p>
  <w:p w:rsidR="003056D9" w:rsidRDefault="00325073" w:rsidP="003056D9">
    <w:pPr>
      <w:pStyle w:val="Piedepgina"/>
      <w:tabs>
        <w:tab w:val="clear" w:pos="4252"/>
        <w:tab w:val="left" w:pos="4228"/>
      </w:tabs>
      <w:rPr>
        <w:rFonts w:ascii="Palatino Linotype" w:hAnsi="Palatino Linotype" w:cs="Arial"/>
        <w:b/>
        <w:bCs/>
        <w:sz w:val="20"/>
        <w:szCs w:val="20"/>
      </w:rPr>
    </w:pPr>
  </w:p>
  <w:p w:rsidR="003056D9" w:rsidRDefault="00325073" w:rsidP="003056D9">
    <w:pPr>
      <w:pStyle w:val="Piedepgina"/>
      <w:tabs>
        <w:tab w:val="clear" w:pos="4252"/>
        <w:tab w:val="left" w:pos="4228"/>
      </w:tabs>
      <w:rPr>
        <w:rFonts w:ascii="Palatino Linotype" w:hAnsi="Palatino Linotype" w:cs="Arial"/>
        <w:b/>
        <w:bCs/>
        <w:sz w:val="20"/>
        <w:szCs w:val="20"/>
      </w:rPr>
    </w:pPr>
  </w:p>
  <w:p w:rsidR="00455CB3" w:rsidRDefault="00325073" w:rsidP="000E2B1A">
    <w:pPr>
      <w:pStyle w:val="Piedepgina"/>
      <w:rPr>
        <w:rFonts w:ascii="Palatino Linotype" w:hAnsi="Palatino Linotype" w:cs="Arial"/>
        <w:b/>
        <w:bCs/>
        <w:sz w:val="20"/>
        <w:szCs w:val="20"/>
      </w:rPr>
    </w:pPr>
  </w:p>
  <w:p w:rsidR="003056D9" w:rsidRPr="00F12350" w:rsidRDefault="00B756D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25073">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25073">
      <w:rPr>
        <w:rFonts w:ascii="Palatino Linotype" w:hAnsi="Palatino Linotype" w:cs="Arial"/>
        <w:b/>
        <w:bCs/>
        <w:noProof/>
        <w:sz w:val="20"/>
        <w:szCs w:val="20"/>
      </w:rPr>
      <w:t>11</w:t>
    </w:r>
    <w:r w:rsidRPr="00F12350">
      <w:rPr>
        <w:rFonts w:ascii="Palatino Linotype" w:hAnsi="Palatino Linotype" w:cs="Arial"/>
        <w:b/>
        <w:bCs/>
        <w:sz w:val="20"/>
        <w:szCs w:val="20"/>
      </w:rPr>
      <w:fldChar w:fldCharType="end"/>
    </w:r>
  </w:p>
  <w:p w:rsidR="006F30F8" w:rsidRDefault="00325073"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4AC" w:rsidRDefault="005204AC" w:rsidP="00DB3A83">
      <w:r>
        <w:separator/>
      </w:r>
    </w:p>
  </w:footnote>
  <w:footnote w:type="continuationSeparator" w:id="0">
    <w:p w:rsidR="005204AC" w:rsidRDefault="005204AC" w:rsidP="00DB3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8E27F4"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7216" behindDoc="1" locked="0" layoutInCell="1" allowOverlap="1" wp14:anchorId="25C8A7DC" wp14:editId="1DDC7B0A">
          <wp:simplePos x="0" y="0"/>
          <wp:positionH relativeFrom="page">
            <wp:align>center</wp:align>
          </wp:positionH>
          <wp:positionV relativeFrom="paragraph">
            <wp:posOffset>-309880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sdt>
      <w:sdtPr>
        <w:id w:val="-1498417712"/>
        <w:docPartObj>
          <w:docPartGallery w:val="Watermarks"/>
          <w:docPartUnique/>
        </w:docPartObj>
      </w:sdtPr>
      <w:sdtEndPr/>
      <w:sdtContent/>
    </w:sdt>
  </w:p>
  <w:p w:rsidR="00125D2F" w:rsidRDefault="00325073" w:rsidP="0034309A">
    <w:pPr>
      <w:pStyle w:val="Encabezado"/>
      <w:tabs>
        <w:tab w:val="clear" w:pos="4252"/>
        <w:tab w:val="clear" w:pos="8504"/>
        <w:tab w:val="left" w:pos="2326"/>
      </w:tabs>
      <w:jc w:val="right"/>
      <w:rPr>
        <w:rFonts w:ascii="Palatino Linotype" w:hAnsi="Palatino Linotype" w:cs="Arial"/>
        <w:sz w:val="20"/>
        <w:szCs w:val="20"/>
      </w:rPr>
    </w:pPr>
  </w:p>
  <w:p w:rsidR="00125D2F" w:rsidRDefault="00325073" w:rsidP="0034309A">
    <w:pPr>
      <w:pStyle w:val="Encabezado"/>
      <w:tabs>
        <w:tab w:val="clear" w:pos="4252"/>
        <w:tab w:val="clear" w:pos="8504"/>
        <w:tab w:val="left" w:pos="2326"/>
      </w:tabs>
      <w:jc w:val="right"/>
      <w:rPr>
        <w:rFonts w:ascii="Palatino Linotype" w:hAnsi="Palatino Linotype" w:cs="Arial"/>
        <w:sz w:val="20"/>
        <w:szCs w:val="20"/>
      </w:rPr>
    </w:pPr>
  </w:p>
  <w:p w:rsidR="0034309A" w:rsidRDefault="008E27F4" w:rsidP="00E52822">
    <w:pPr>
      <w:pStyle w:val="Encabezado"/>
      <w:tabs>
        <w:tab w:val="clear" w:pos="4252"/>
        <w:tab w:val="clear" w:pos="8504"/>
        <w:tab w:val="left" w:pos="2326"/>
      </w:tabs>
      <w:ind w:right="-235"/>
      <w:jc w:val="right"/>
      <w:rPr>
        <w:rFonts w:ascii="Palatino Linotype" w:hAnsi="Palatino Linotype"/>
      </w:rPr>
    </w:pPr>
    <w:r>
      <w:rPr>
        <w:rFonts w:ascii="Palatino Linotype" w:hAnsi="Palatino Linotype" w:cs="Arial"/>
        <w:sz w:val="20"/>
        <w:szCs w:val="20"/>
      </w:rPr>
      <w:t>OPINIÓN</w:t>
    </w:r>
    <w:r w:rsidR="00B756DB" w:rsidRPr="006F01F2">
      <w:rPr>
        <w:rFonts w:ascii="Palatino Linotype" w:hAnsi="Palatino Linotype" w:cs="Arial"/>
        <w:sz w:val="20"/>
        <w:szCs w:val="20"/>
      </w:rPr>
      <w:t xml:space="preserve"> PARTICULAR</w:t>
    </w:r>
  </w:p>
  <w:p w:rsidR="00305EAA" w:rsidRDefault="00B756DB" w:rsidP="00E52822">
    <w:pPr>
      <w:pStyle w:val="Encabezado"/>
      <w:tabs>
        <w:tab w:val="clear" w:pos="4252"/>
        <w:tab w:val="clear" w:pos="8504"/>
        <w:tab w:val="left" w:pos="2326"/>
      </w:tabs>
      <w:ind w:right="-235"/>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FF33B0" w:rsidRPr="00FF33B0">
      <w:rPr>
        <w:rFonts w:ascii="Palatino Linotype" w:hAnsi="Palatino Linotype" w:cs="Arial"/>
        <w:sz w:val="20"/>
        <w:szCs w:val="20"/>
      </w:rPr>
      <w:t>03436/INFOEM/IP/RR/2021</w:t>
    </w:r>
  </w:p>
  <w:p w:rsidR="00125D2F" w:rsidRDefault="00325073" w:rsidP="0034309A">
    <w:pPr>
      <w:pStyle w:val="Encabezado"/>
      <w:tabs>
        <w:tab w:val="clear" w:pos="4252"/>
        <w:tab w:val="clear" w:pos="8504"/>
        <w:tab w:val="left" w:pos="2326"/>
      </w:tabs>
      <w:jc w:val="right"/>
      <w:rPr>
        <w:rFonts w:ascii="Palatino Linotype" w:hAnsi="Palatino Linotype" w:cs="Arial"/>
        <w:sz w:val="20"/>
        <w:szCs w:val="20"/>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139455" o:spid="_x0000_s2049" type="#_x0000_t136" style="position:absolute;left:0;text-align:left;margin-left:0;margin-top:0;width:500.25pt;height:59.25pt;rotation:315;z-index:-251658240;mso-position-horizontal:center;mso-position-horizontal-relative:margin;mso-position-vertical:center;mso-position-vertical-relative:margin" o:allowincell="f" fillcolor="#5a5a5a [2109]" stroked="f">
          <v:fill opacity=".5"/>
          <v:textpath style="font-family:&quot;Palatino Linotype&quot;;font-size:44pt" string="OPINIÓ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C54F0"/>
    <w:multiLevelType w:val="hybridMultilevel"/>
    <w:tmpl w:val="657E03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F483CDC"/>
    <w:multiLevelType w:val="hybridMultilevel"/>
    <w:tmpl w:val="11901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nsid w:val="2A996416"/>
    <w:multiLevelType w:val="hybridMultilevel"/>
    <w:tmpl w:val="D09EDC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BF017E5"/>
    <w:multiLevelType w:val="hybridMultilevel"/>
    <w:tmpl w:val="D4426CA8"/>
    <w:lvl w:ilvl="0" w:tplc="A0F6A224">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0262303"/>
    <w:multiLevelType w:val="hybridMultilevel"/>
    <w:tmpl w:val="A8A0784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nsid w:val="507A26BD"/>
    <w:multiLevelType w:val="hybridMultilevel"/>
    <w:tmpl w:val="B7C0F970"/>
    <w:lvl w:ilvl="0" w:tplc="080A0017">
      <w:start w:val="1"/>
      <w:numFmt w:val="lowerLetter"/>
      <w:lvlText w:val="%1)"/>
      <w:lvlJc w:val="left"/>
      <w:pPr>
        <w:ind w:left="1429"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nsid w:val="50C26843"/>
    <w:multiLevelType w:val="hybridMultilevel"/>
    <w:tmpl w:val="70A26E00"/>
    <w:lvl w:ilvl="0" w:tplc="C6680E1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nsid w:val="5E6643E4"/>
    <w:multiLevelType w:val="hybridMultilevel"/>
    <w:tmpl w:val="A922E9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5CB5E62"/>
    <w:multiLevelType w:val="hybridMultilevel"/>
    <w:tmpl w:val="C874ABC2"/>
    <w:lvl w:ilvl="0" w:tplc="2884948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3"/>
  </w:num>
  <w:num w:numId="2">
    <w:abstractNumId w:val="1"/>
  </w:num>
  <w:num w:numId="3">
    <w:abstractNumId w:val="9"/>
  </w:num>
  <w:num w:numId="4">
    <w:abstractNumId w:val="8"/>
  </w:num>
  <w:num w:numId="5">
    <w:abstractNumId w:val="4"/>
  </w:num>
  <w:num w:numId="6">
    <w:abstractNumId w:val="5"/>
  </w:num>
  <w:num w:numId="7">
    <w:abstractNumId w:val="6"/>
  </w:num>
  <w:num w:numId="8">
    <w:abstractNumId w:val="0"/>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EA"/>
    <w:rsid w:val="00043682"/>
    <w:rsid w:val="000E2EB0"/>
    <w:rsid w:val="000F0C55"/>
    <w:rsid w:val="001562BE"/>
    <w:rsid w:val="001A270D"/>
    <w:rsid w:val="001A2718"/>
    <w:rsid w:val="001B74FA"/>
    <w:rsid w:val="001E5976"/>
    <w:rsid w:val="00216380"/>
    <w:rsid w:val="00254372"/>
    <w:rsid w:val="00260EA1"/>
    <w:rsid w:val="002670A2"/>
    <w:rsid w:val="002801A6"/>
    <w:rsid w:val="00294F8D"/>
    <w:rsid w:val="00296C85"/>
    <w:rsid w:val="002F31D0"/>
    <w:rsid w:val="00303EAE"/>
    <w:rsid w:val="00305EAA"/>
    <w:rsid w:val="00324EBE"/>
    <w:rsid w:val="00325073"/>
    <w:rsid w:val="003A1A07"/>
    <w:rsid w:val="003C2F6A"/>
    <w:rsid w:val="00437359"/>
    <w:rsid w:val="00470841"/>
    <w:rsid w:val="00476DD3"/>
    <w:rsid w:val="004B5C25"/>
    <w:rsid w:val="004F3344"/>
    <w:rsid w:val="005204AC"/>
    <w:rsid w:val="0053148C"/>
    <w:rsid w:val="005A4D7F"/>
    <w:rsid w:val="00654FE9"/>
    <w:rsid w:val="006801D4"/>
    <w:rsid w:val="00690F69"/>
    <w:rsid w:val="0069488F"/>
    <w:rsid w:val="006B0D54"/>
    <w:rsid w:val="006B30CD"/>
    <w:rsid w:val="006C3908"/>
    <w:rsid w:val="006C63F2"/>
    <w:rsid w:val="006C6A31"/>
    <w:rsid w:val="006C7D0A"/>
    <w:rsid w:val="006D731E"/>
    <w:rsid w:val="00705C02"/>
    <w:rsid w:val="007321C1"/>
    <w:rsid w:val="0079358E"/>
    <w:rsid w:val="007A0E34"/>
    <w:rsid w:val="007C7A0C"/>
    <w:rsid w:val="00811B0B"/>
    <w:rsid w:val="008478AA"/>
    <w:rsid w:val="00862F43"/>
    <w:rsid w:val="00864D3F"/>
    <w:rsid w:val="00891A08"/>
    <w:rsid w:val="008A35FA"/>
    <w:rsid w:val="008B0732"/>
    <w:rsid w:val="008E27F4"/>
    <w:rsid w:val="00912FC3"/>
    <w:rsid w:val="00913E69"/>
    <w:rsid w:val="00936768"/>
    <w:rsid w:val="00990B93"/>
    <w:rsid w:val="009F0C59"/>
    <w:rsid w:val="009F3468"/>
    <w:rsid w:val="009F58FC"/>
    <w:rsid w:val="00A12991"/>
    <w:rsid w:val="00A2795F"/>
    <w:rsid w:val="00A517EA"/>
    <w:rsid w:val="00A77728"/>
    <w:rsid w:val="00A96975"/>
    <w:rsid w:val="00AA00E6"/>
    <w:rsid w:val="00AC7D0A"/>
    <w:rsid w:val="00B70A63"/>
    <w:rsid w:val="00B756DB"/>
    <w:rsid w:val="00B860BF"/>
    <w:rsid w:val="00BD484C"/>
    <w:rsid w:val="00BD561B"/>
    <w:rsid w:val="00BE5B25"/>
    <w:rsid w:val="00BF777E"/>
    <w:rsid w:val="00C057B6"/>
    <w:rsid w:val="00C1218F"/>
    <w:rsid w:val="00C5476E"/>
    <w:rsid w:val="00CA7C5E"/>
    <w:rsid w:val="00CD7D24"/>
    <w:rsid w:val="00CE0D21"/>
    <w:rsid w:val="00CF70C6"/>
    <w:rsid w:val="00D064C2"/>
    <w:rsid w:val="00D35F72"/>
    <w:rsid w:val="00D55E6A"/>
    <w:rsid w:val="00D724F4"/>
    <w:rsid w:val="00D81F77"/>
    <w:rsid w:val="00DA61F0"/>
    <w:rsid w:val="00DB3A83"/>
    <w:rsid w:val="00DD5275"/>
    <w:rsid w:val="00DE0B4D"/>
    <w:rsid w:val="00E05E7E"/>
    <w:rsid w:val="00E1418E"/>
    <w:rsid w:val="00E14BE6"/>
    <w:rsid w:val="00E46292"/>
    <w:rsid w:val="00E52822"/>
    <w:rsid w:val="00E62AC0"/>
    <w:rsid w:val="00E720C0"/>
    <w:rsid w:val="00EB427A"/>
    <w:rsid w:val="00F054F8"/>
    <w:rsid w:val="00F10238"/>
    <w:rsid w:val="00F51821"/>
    <w:rsid w:val="00F579EE"/>
    <w:rsid w:val="00F64CC1"/>
    <w:rsid w:val="00F91A7F"/>
    <w:rsid w:val="00FA0BF5"/>
    <w:rsid w:val="00FA5F51"/>
    <w:rsid w:val="00FF33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AE6438D-8DAE-48E3-A5CD-CCC477D3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7E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17EA"/>
    <w:rPr>
      <w:rFonts w:eastAsiaTheme="minorEastAsia"/>
      <w:sz w:val="24"/>
      <w:szCs w:val="24"/>
      <w:lang w:val="es-ES_tradnl" w:eastAsia="es-ES"/>
    </w:rPr>
  </w:style>
  <w:style w:type="paragraph" w:styleId="Piedepgina">
    <w:name w:val="footer"/>
    <w:basedOn w:val="Normal"/>
    <w:link w:val="Piedepgina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17EA"/>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DD52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275"/>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860B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1F77"/>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6C6A31"/>
    <w:rPr>
      <w:sz w:val="20"/>
      <w:szCs w:val="20"/>
    </w:rPr>
  </w:style>
  <w:style w:type="character" w:customStyle="1" w:styleId="TextonotapieCar">
    <w:name w:val="Texto nota pie Car"/>
    <w:basedOn w:val="Fuentedeprrafopredeter"/>
    <w:link w:val="Textonotapie"/>
    <w:uiPriority w:val="99"/>
    <w:semiHidden/>
    <w:rsid w:val="006C6A31"/>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6C6A31"/>
    <w:rPr>
      <w:vertAlign w:val="superscript"/>
    </w:rPr>
  </w:style>
  <w:style w:type="paragraph" w:styleId="Textoindependiente2">
    <w:name w:val="Body Text 2"/>
    <w:basedOn w:val="Normal"/>
    <w:link w:val="Textoindependiente2Car"/>
    <w:uiPriority w:val="99"/>
    <w:unhideWhenUsed/>
    <w:rsid w:val="001562BE"/>
    <w:pPr>
      <w:spacing w:after="120" w:line="480" w:lineRule="auto"/>
    </w:pPr>
  </w:style>
  <w:style w:type="character" w:customStyle="1" w:styleId="Textoindependiente2Car">
    <w:name w:val="Texto independiente 2 Car"/>
    <w:basedOn w:val="Fuentedeprrafopredeter"/>
    <w:link w:val="Textoindependiente2"/>
    <w:uiPriority w:val="99"/>
    <w:rsid w:val="001562BE"/>
    <w:rPr>
      <w:rFonts w:ascii="Times New Roman" w:eastAsia="Times New Roman" w:hAnsi="Times New Roman" w:cs="Times New Roman"/>
      <w:sz w:val="24"/>
      <w:szCs w:val="24"/>
      <w:lang w:eastAsia="es-ES"/>
    </w:rPr>
  </w:style>
  <w:style w:type="paragraph" w:customStyle="1" w:styleId="j">
    <w:name w:val="j"/>
    <w:basedOn w:val="Normal"/>
    <w:rsid w:val="00305EAA"/>
    <w:pPr>
      <w:spacing w:before="100" w:beforeAutospacing="1" w:after="100" w:afterAutospacing="1"/>
    </w:pPr>
    <w:rPr>
      <w:lang w:eastAsia="es-MX"/>
    </w:rPr>
  </w:style>
  <w:style w:type="character" w:customStyle="1" w:styleId="nacep">
    <w:name w:val="n_acep"/>
    <w:basedOn w:val="Fuentedeprrafopredeter"/>
    <w:rsid w:val="00305EAA"/>
  </w:style>
  <w:style w:type="character" w:customStyle="1" w:styleId="u">
    <w:name w:val="u"/>
    <w:basedOn w:val="Fuentedeprrafopredeter"/>
    <w:rsid w:val="00305EAA"/>
  </w:style>
  <w:style w:type="character" w:styleId="Hipervnculo">
    <w:name w:val="Hyperlink"/>
    <w:basedOn w:val="Fuentedeprrafopredeter"/>
    <w:uiPriority w:val="99"/>
    <w:semiHidden/>
    <w:unhideWhenUsed/>
    <w:rsid w:val="00305EAA"/>
    <w:rPr>
      <w:color w:val="0563C1" w:themeColor="hyperlink"/>
      <w:u w:val="single"/>
    </w:rPr>
  </w:style>
  <w:style w:type="table" w:styleId="Tablaconcuadrcula">
    <w:name w:val="Table Grid"/>
    <w:basedOn w:val="Tablanormal"/>
    <w:uiPriority w:val="39"/>
    <w:rsid w:val="00305E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08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12A4E-1343-4B6E-8D2B-40D9BB392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2399</Words>
  <Characters>12548</Characters>
  <Application>Microsoft Office Word</Application>
  <DocSecurity>0</DocSecurity>
  <Lines>836</Lines>
  <Paragraphs>210</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14737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cp:lastModifiedBy>
  <cp:revision>3</cp:revision>
  <cp:lastPrinted>2021-09-06T19:32:00Z</cp:lastPrinted>
  <dcterms:created xsi:type="dcterms:W3CDTF">2021-09-06T19:31:00Z</dcterms:created>
  <dcterms:modified xsi:type="dcterms:W3CDTF">2021-09-06T20:31:00Z</dcterms:modified>
</cp:coreProperties>
</file>