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5FF08" w14:textId="0F89F7B9" w:rsidR="000B2A76" w:rsidRPr="0017463B" w:rsidRDefault="000B2A76" w:rsidP="000B2A76">
      <w:pPr>
        <w:spacing w:before="240" w:after="240" w:line="360" w:lineRule="auto"/>
        <w:jc w:val="both"/>
        <w:rPr>
          <w:rFonts w:ascii="Palatino Linotype" w:hAnsi="Palatino Linotype"/>
          <w:b/>
          <w:sz w:val="24"/>
          <w:szCs w:val="24"/>
        </w:rPr>
      </w:pPr>
      <w:r w:rsidRPr="0017463B">
        <w:rPr>
          <w:rFonts w:ascii="Palatino Linotype" w:hAnsi="Palatino Linotype"/>
          <w:b/>
          <w:sz w:val="24"/>
          <w:szCs w:val="24"/>
        </w:rPr>
        <w:t xml:space="preserve">OPINIÓN PARTICULAR QUE FORMULA LA COMISIONADA GUADALUPE RAMÍREZ PEÑA, EN RELACIÓN CON LA RESOLUCIÓN DICTADA POR EL PLENO DEL INSTITUTO DE TRANSPARENCIA, ACCESO A LA INFORMACIÓN PÚBLICA Y PROTECCIÓN DE DATOS PERSONALES DEL ESTADO DE MÉXICO Y MUNICIPIOS, EN LA </w:t>
      </w:r>
      <w:r w:rsidR="00567452">
        <w:rPr>
          <w:rFonts w:ascii="Palatino Linotype" w:hAnsi="Palatino Linotype"/>
          <w:b/>
          <w:sz w:val="24"/>
          <w:szCs w:val="24"/>
        </w:rPr>
        <w:t xml:space="preserve">TRIGÉSIMA </w:t>
      </w:r>
      <w:r w:rsidRPr="0017463B">
        <w:rPr>
          <w:rFonts w:ascii="Palatino Linotype" w:hAnsi="Palatino Linotype"/>
          <w:b/>
          <w:sz w:val="24"/>
          <w:szCs w:val="24"/>
        </w:rPr>
        <w:t xml:space="preserve">SESIÓN ORDINARIA DEL </w:t>
      </w:r>
      <w:r w:rsidR="00567452">
        <w:rPr>
          <w:rFonts w:ascii="Palatino Linotype" w:hAnsi="Palatino Linotype"/>
          <w:b/>
          <w:sz w:val="24"/>
          <w:szCs w:val="24"/>
        </w:rPr>
        <w:t xml:space="preserve">VEINTICUATRO </w:t>
      </w:r>
      <w:r w:rsidR="00FC5E97" w:rsidRPr="0017463B">
        <w:rPr>
          <w:rFonts w:ascii="Palatino Linotype" w:hAnsi="Palatino Linotype"/>
          <w:b/>
          <w:sz w:val="24"/>
          <w:szCs w:val="24"/>
        </w:rPr>
        <w:t xml:space="preserve">DE AGOSTO </w:t>
      </w:r>
      <w:r w:rsidR="00560B7A">
        <w:rPr>
          <w:rFonts w:ascii="Palatino Linotype" w:hAnsi="Palatino Linotype"/>
          <w:b/>
          <w:sz w:val="24"/>
          <w:szCs w:val="24"/>
        </w:rPr>
        <w:t xml:space="preserve">DE DOS MIL VEINTIDÓS, EN </w:t>
      </w:r>
      <w:r w:rsidRPr="0017463B">
        <w:rPr>
          <w:rFonts w:ascii="Palatino Linotype" w:hAnsi="Palatino Linotype"/>
          <w:b/>
          <w:sz w:val="24"/>
          <w:szCs w:val="24"/>
        </w:rPr>
        <w:t>L</w:t>
      </w:r>
      <w:r w:rsidR="00560B7A">
        <w:rPr>
          <w:rFonts w:ascii="Palatino Linotype" w:hAnsi="Palatino Linotype"/>
          <w:b/>
          <w:sz w:val="24"/>
          <w:szCs w:val="24"/>
        </w:rPr>
        <w:t>OS</w:t>
      </w:r>
      <w:r w:rsidRPr="0017463B">
        <w:rPr>
          <w:rFonts w:ascii="Palatino Linotype" w:hAnsi="Palatino Linotype"/>
          <w:b/>
          <w:sz w:val="24"/>
          <w:szCs w:val="24"/>
        </w:rPr>
        <w:t xml:space="preserve"> RECURSO</w:t>
      </w:r>
      <w:r w:rsidR="00560B7A">
        <w:rPr>
          <w:rFonts w:ascii="Palatino Linotype" w:hAnsi="Palatino Linotype"/>
          <w:b/>
          <w:sz w:val="24"/>
          <w:szCs w:val="24"/>
        </w:rPr>
        <w:t>S</w:t>
      </w:r>
      <w:r w:rsidRPr="0017463B">
        <w:rPr>
          <w:rFonts w:ascii="Palatino Linotype" w:hAnsi="Palatino Linotype"/>
          <w:b/>
          <w:sz w:val="24"/>
          <w:szCs w:val="24"/>
        </w:rPr>
        <w:t xml:space="preserve"> DE REVISIÓN 0</w:t>
      </w:r>
      <w:r w:rsidR="00FC5E97" w:rsidRPr="0017463B">
        <w:rPr>
          <w:rFonts w:ascii="Palatino Linotype" w:hAnsi="Palatino Linotype"/>
          <w:b/>
          <w:sz w:val="24"/>
          <w:szCs w:val="24"/>
        </w:rPr>
        <w:t>5</w:t>
      </w:r>
      <w:r w:rsidR="00567452">
        <w:rPr>
          <w:rFonts w:ascii="Palatino Linotype" w:hAnsi="Palatino Linotype"/>
          <w:b/>
          <w:sz w:val="24"/>
          <w:szCs w:val="24"/>
        </w:rPr>
        <w:t>57</w:t>
      </w:r>
      <w:r w:rsidR="00FC5E97" w:rsidRPr="0017463B">
        <w:rPr>
          <w:rFonts w:ascii="Palatino Linotype" w:hAnsi="Palatino Linotype"/>
          <w:b/>
          <w:sz w:val="24"/>
          <w:szCs w:val="24"/>
        </w:rPr>
        <w:t>1</w:t>
      </w:r>
      <w:r w:rsidRPr="0017463B">
        <w:rPr>
          <w:rFonts w:ascii="Palatino Linotype" w:hAnsi="Palatino Linotype"/>
          <w:b/>
          <w:sz w:val="24"/>
          <w:szCs w:val="24"/>
        </w:rPr>
        <w:t>/INFOEM/IP/RR/2022</w:t>
      </w:r>
      <w:r w:rsidR="00560B7A">
        <w:rPr>
          <w:rFonts w:ascii="Palatino Linotype" w:hAnsi="Palatino Linotype"/>
          <w:b/>
          <w:sz w:val="24"/>
          <w:szCs w:val="24"/>
        </w:rPr>
        <w:t xml:space="preserve"> Y </w:t>
      </w:r>
      <w:r w:rsidR="00560B7A" w:rsidRPr="00560B7A">
        <w:rPr>
          <w:rFonts w:ascii="Palatino Linotype" w:hAnsi="Palatino Linotype"/>
          <w:b/>
          <w:sz w:val="24"/>
          <w:szCs w:val="24"/>
        </w:rPr>
        <w:t>05572/INFOEM/IP/RR/2022</w:t>
      </w:r>
      <w:r w:rsidR="00560B7A">
        <w:rPr>
          <w:rFonts w:ascii="Palatino Linotype" w:hAnsi="Palatino Linotype"/>
          <w:b/>
          <w:sz w:val="24"/>
          <w:szCs w:val="24"/>
        </w:rPr>
        <w:t>, ACUMULADOS</w:t>
      </w:r>
      <w:r w:rsidRPr="0017463B">
        <w:rPr>
          <w:rFonts w:ascii="Palatino Linotype" w:hAnsi="Palatino Linotype"/>
          <w:b/>
          <w:sz w:val="24"/>
          <w:szCs w:val="24"/>
        </w:rPr>
        <w:t>.</w:t>
      </w:r>
    </w:p>
    <w:p w14:paraId="6EB580D6" w14:textId="6E9375AC" w:rsidR="000B2A76" w:rsidRPr="0017463B" w:rsidRDefault="000B2A76" w:rsidP="000B2A76">
      <w:pPr>
        <w:spacing w:before="240" w:after="240" w:line="360" w:lineRule="auto"/>
        <w:jc w:val="both"/>
        <w:rPr>
          <w:rFonts w:ascii="Palatino Linotype" w:hAnsi="Palatino Linotype"/>
          <w:sz w:val="24"/>
          <w:szCs w:val="24"/>
        </w:rPr>
      </w:pPr>
      <w:r w:rsidRPr="0017463B">
        <w:rPr>
          <w:rFonts w:ascii="Palatino Linotype" w:hAnsi="Palatino Linotype"/>
          <w:sz w:val="24"/>
          <w:szCs w:val="24"/>
        </w:rPr>
        <w:t xml:space="preserve">El pleno del Instituto de Transparencia, Acceso a la Información Pública y Protección de Datos Personales del Estado de México y Municipios, aprobó por </w:t>
      </w:r>
      <w:r w:rsidR="00F510B7" w:rsidRPr="0017463B">
        <w:rPr>
          <w:rFonts w:ascii="Palatino Linotype" w:hAnsi="Palatino Linotype"/>
          <w:sz w:val="24"/>
          <w:szCs w:val="24"/>
        </w:rPr>
        <w:t>unanimidad</w:t>
      </w:r>
      <w:r w:rsidR="00D36CD9" w:rsidRPr="0017463B">
        <w:rPr>
          <w:rFonts w:ascii="Palatino Linotype" w:hAnsi="Palatino Linotype"/>
          <w:sz w:val="24"/>
          <w:szCs w:val="24"/>
        </w:rPr>
        <w:t xml:space="preserve"> </w:t>
      </w:r>
      <w:r w:rsidRPr="0017463B">
        <w:rPr>
          <w:rFonts w:ascii="Palatino Linotype" w:hAnsi="Palatino Linotype"/>
          <w:sz w:val="24"/>
          <w:szCs w:val="24"/>
        </w:rPr>
        <w:t>de</w:t>
      </w:r>
      <w:r w:rsidR="00560B7A">
        <w:rPr>
          <w:rFonts w:ascii="Palatino Linotype" w:hAnsi="Palatino Linotype"/>
          <w:sz w:val="24"/>
          <w:szCs w:val="24"/>
        </w:rPr>
        <w:t xml:space="preserve"> votos, la resolución relativa </w:t>
      </w:r>
      <w:r w:rsidRPr="0017463B">
        <w:rPr>
          <w:rFonts w:ascii="Palatino Linotype" w:hAnsi="Palatino Linotype"/>
          <w:sz w:val="24"/>
          <w:szCs w:val="24"/>
        </w:rPr>
        <w:t>l</w:t>
      </w:r>
      <w:r w:rsidR="00560B7A">
        <w:rPr>
          <w:rFonts w:ascii="Palatino Linotype" w:hAnsi="Palatino Linotype"/>
          <w:sz w:val="24"/>
          <w:szCs w:val="24"/>
        </w:rPr>
        <w:t>os</w:t>
      </w:r>
      <w:r w:rsidRPr="0017463B">
        <w:rPr>
          <w:rFonts w:ascii="Palatino Linotype" w:hAnsi="Palatino Linotype"/>
          <w:sz w:val="24"/>
          <w:szCs w:val="24"/>
        </w:rPr>
        <w:t xml:space="preserve"> recurso</w:t>
      </w:r>
      <w:r w:rsidR="00560B7A">
        <w:rPr>
          <w:rFonts w:ascii="Palatino Linotype" w:hAnsi="Palatino Linotype"/>
          <w:sz w:val="24"/>
          <w:szCs w:val="24"/>
        </w:rPr>
        <w:t>s</w:t>
      </w:r>
      <w:r w:rsidRPr="0017463B">
        <w:rPr>
          <w:rFonts w:ascii="Palatino Linotype" w:hAnsi="Palatino Linotype"/>
          <w:sz w:val="24"/>
          <w:szCs w:val="24"/>
        </w:rPr>
        <w:t xml:space="preserve"> de revisión </w:t>
      </w:r>
      <w:r w:rsidR="004B71F3" w:rsidRPr="0017463B">
        <w:rPr>
          <w:rFonts w:ascii="Palatino Linotype" w:hAnsi="Palatino Linotype"/>
          <w:b/>
          <w:sz w:val="24"/>
          <w:szCs w:val="24"/>
        </w:rPr>
        <w:t>0</w:t>
      </w:r>
      <w:r w:rsidR="00FC5E97" w:rsidRPr="0017463B">
        <w:rPr>
          <w:rFonts w:ascii="Palatino Linotype" w:hAnsi="Palatino Linotype"/>
          <w:b/>
          <w:sz w:val="24"/>
          <w:szCs w:val="24"/>
        </w:rPr>
        <w:t>5</w:t>
      </w:r>
      <w:r w:rsidR="00567452">
        <w:rPr>
          <w:rFonts w:ascii="Palatino Linotype" w:hAnsi="Palatino Linotype"/>
          <w:b/>
          <w:sz w:val="24"/>
          <w:szCs w:val="24"/>
        </w:rPr>
        <w:t>57</w:t>
      </w:r>
      <w:r w:rsidR="00FC5E97" w:rsidRPr="0017463B">
        <w:rPr>
          <w:rFonts w:ascii="Palatino Linotype" w:hAnsi="Palatino Linotype"/>
          <w:b/>
          <w:sz w:val="24"/>
          <w:szCs w:val="24"/>
        </w:rPr>
        <w:t>1</w:t>
      </w:r>
      <w:r w:rsidRPr="0017463B">
        <w:rPr>
          <w:rFonts w:ascii="Palatino Linotype" w:hAnsi="Palatino Linotype"/>
          <w:b/>
          <w:sz w:val="24"/>
          <w:szCs w:val="24"/>
        </w:rPr>
        <w:t>/INFOEM/IP/RR/2022</w:t>
      </w:r>
      <w:r w:rsidR="00560B7A">
        <w:rPr>
          <w:rFonts w:ascii="Palatino Linotype" w:hAnsi="Palatino Linotype"/>
          <w:b/>
          <w:sz w:val="24"/>
          <w:szCs w:val="24"/>
        </w:rPr>
        <w:t xml:space="preserve"> </w:t>
      </w:r>
      <w:r w:rsidR="00560B7A">
        <w:rPr>
          <w:rFonts w:ascii="Palatino Linotype" w:hAnsi="Palatino Linotype"/>
          <w:sz w:val="24"/>
          <w:szCs w:val="24"/>
        </w:rPr>
        <w:t xml:space="preserve">y </w:t>
      </w:r>
      <w:r w:rsidR="00560B7A" w:rsidRPr="00560B7A">
        <w:rPr>
          <w:rFonts w:ascii="Palatino Linotype" w:hAnsi="Palatino Linotype"/>
          <w:b/>
          <w:sz w:val="24"/>
          <w:szCs w:val="24"/>
        </w:rPr>
        <w:t>0557</w:t>
      </w:r>
      <w:r w:rsidR="00560B7A">
        <w:rPr>
          <w:rFonts w:ascii="Palatino Linotype" w:hAnsi="Palatino Linotype"/>
          <w:b/>
          <w:sz w:val="24"/>
          <w:szCs w:val="24"/>
        </w:rPr>
        <w:t>2</w:t>
      </w:r>
      <w:r w:rsidR="00560B7A" w:rsidRPr="00560B7A">
        <w:rPr>
          <w:rFonts w:ascii="Palatino Linotype" w:hAnsi="Palatino Linotype"/>
          <w:b/>
          <w:sz w:val="24"/>
          <w:szCs w:val="24"/>
        </w:rPr>
        <w:t>/INFOEM/IP/RR/2022</w:t>
      </w:r>
      <w:r w:rsidR="00560B7A">
        <w:rPr>
          <w:rFonts w:ascii="Palatino Linotype" w:hAnsi="Palatino Linotype"/>
          <w:b/>
          <w:sz w:val="24"/>
          <w:szCs w:val="24"/>
        </w:rPr>
        <w:t xml:space="preserve">, acumulados, </w:t>
      </w:r>
      <w:r w:rsidRPr="0017463B">
        <w:rPr>
          <w:rFonts w:ascii="Palatino Linotype" w:hAnsi="Palatino Linotype"/>
          <w:sz w:val="24"/>
          <w:szCs w:val="24"/>
        </w:rPr>
        <w:t xml:space="preserve">presentada por el Comisionado Luis Gustavo Parra Noriega, respecto de la cual, la suscrita formula </w:t>
      </w:r>
      <w:r w:rsidRPr="0017463B">
        <w:rPr>
          <w:rFonts w:ascii="Palatino Linotype" w:hAnsi="Palatino Linotype"/>
          <w:b/>
          <w:sz w:val="24"/>
          <w:szCs w:val="24"/>
        </w:rPr>
        <w:t>OPINIÓN  PARTICULAR</w:t>
      </w:r>
      <w:r w:rsidRPr="0017463B">
        <w:rPr>
          <w:rFonts w:ascii="Palatino Linotype" w:hAnsi="Palatino Linotype"/>
          <w:sz w:val="24"/>
          <w:szCs w:val="24"/>
        </w:rPr>
        <w:t>,  con fundamento en el artículo 14 fracción XI del Reglamento Interior del Instituto de Transparencia, Acceso a la Información Pública y Protección de Datos Personales del Estado de México y Municipios.</w:t>
      </w:r>
    </w:p>
    <w:p w14:paraId="441C9504" w14:textId="4F4FEB3A" w:rsidR="000B2A76" w:rsidRPr="0017463B" w:rsidRDefault="000B2A76" w:rsidP="000B2A76">
      <w:pPr>
        <w:spacing w:before="240" w:after="240" w:line="360" w:lineRule="auto"/>
        <w:jc w:val="both"/>
        <w:rPr>
          <w:rFonts w:ascii="Palatino Linotype" w:hAnsi="Palatino Linotype"/>
          <w:sz w:val="24"/>
          <w:szCs w:val="24"/>
        </w:rPr>
      </w:pPr>
      <w:r w:rsidRPr="0017463B">
        <w:rPr>
          <w:rFonts w:ascii="Palatino Linotype" w:hAnsi="Palatino Linotype"/>
          <w:sz w:val="24"/>
          <w:szCs w:val="24"/>
        </w:rPr>
        <w:t xml:space="preserve">La que suscribe, comparte en esencia el sentido del estudio realizado en la resolución emitida por el Comisionado Ponente; sin embargo, resulta necesario destacar que la prueba de daño que se desarrolla en el proyecto de resolución que nos ocupa, debió ser realizada por el </w:t>
      </w:r>
      <w:r w:rsidRPr="0017463B">
        <w:rPr>
          <w:rFonts w:ascii="Palatino Linotype" w:hAnsi="Palatino Linotype"/>
          <w:b/>
          <w:bCs/>
          <w:sz w:val="24"/>
          <w:szCs w:val="24"/>
        </w:rPr>
        <w:t>Sujeto Obligado</w:t>
      </w:r>
      <w:r w:rsidRPr="0017463B">
        <w:rPr>
          <w:rFonts w:ascii="Palatino Linotype" w:hAnsi="Palatino Linotype"/>
          <w:sz w:val="24"/>
          <w:szCs w:val="24"/>
        </w:rPr>
        <w:t>.</w:t>
      </w:r>
    </w:p>
    <w:p w14:paraId="6F5A4B61" w14:textId="2F0353B9" w:rsidR="00A7025C" w:rsidRDefault="000B2A76" w:rsidP="004B71F3">
      <w:pPr>
        <w:spacing w:before="240" w:after="240" w:line="360" w:lineRule="auto"/>
        <w:jc w:val="both"/>
        <w:rPr>
          <w:rFonts w:ascii="Palatino Linotype" w:hAnsi="Palatino Linotype"/>
          <w:sz w:val="24"/>
          <w:szCs w:val="24"/>
        </w:rPr>
      </w:pPr>
      <w:r w:rsidRPr="0017463B">
        <w:rPr>
          <w:rFonts w:ascii="Palatino Linotype" w:hAnsi="Palatino Linotype"/>
          <w:sz w:val="24"/>
          <w:szCs w:val="24"/>
        </w:rPr>
        <w:lastRenderedPageBreak/>
        <w:t>En el caso concreto</w:t>
      </w:r>
      <w:r w:rsidR="00FC5E97" w:rsidRPr="0017463B">
        <w:rPr>
          <w:rFonts w:ascii="Palatino Linotype" w:hAnsi="Palatino Linotype"/>
          <w:sz w:val="24"/>
          <w:szCs w:val="24"/>
        </w:rPr>
        <w:t>, la parte</w:t>
      </w:r>
      <w:r w:rsidRPr="0017463B">
        <w:rPr>
          <w:rFonts w:ascii="Palatino Linotype" w:hAnsi="Palatino Linotype"/>
          <w:sz w:val="24"/>
          <w:szCs w:val="24"/>
        </w:rPr>
        <w:t xml:space="preserve"> </w:t>
      </w:r>
      <w:r w:rsidRPr="0017463B">
        <w:rPr>
          <w:rFonts w:ascii="Palatino Linotype" w:hAnsi="Palatino Linotype"/>
          <w:b/>
          <w:bCs/>
          <w:sz w:val="24"/>
          <w:szCs w:val="24"/>
        </w:rPr>
        <w:t>Recurrente</w:t>
      </w:r>
      <w:r w:rsidRPr="0017463B">
        <w:rPr>
          <w:rFonts w:ascii="Palatino Linotype" w:hAnsi="Palatino Linotype"/>
          <w:sz w:val="24"/>
          <w:szCs w:val="24"/>
        </w:rPr>
        <w:t xml:space="preserve"> requirió al </w:t>
      </w:r>
      <w:r w:rsidR="004B71F3" w:rsidRPr="0017463B">
        <w:rPr>
          <w:rFonts w:ascii="Palatino Linotype" w:hAnsi="Palatino Linotype"/>
          <w:bCs/>
          <w:sz w:val="24"/>
          <w:szCs w:val="24"/>
        </w:rPr>
        <w:t>Ayuntamiento de</w:t>
      </w:r>
      <w:r w:rsidR="00567452">
        <w:rPr>
          <w:rFonts w:ascii="Palatino Linotype" w:hAnsi="Palatino Linotype"/>
          <w:bCs/>
          <w:sz w:val="24"/>
          <w:szCs w:val="24"/>
        </w:rPr>
        <w:t xml:space="preserve"> Toluca</w:t>
      </w:r>
      <w:r w:rsidRPr="0017463B">
        <w:rPr>
          <w:rFonts w:ascii="Palatino Linotype" w:hAnsi="Palatino Linotype"/>
          <w:sz w:val="24"/>
          <w:szCs w:val="24"/>
        </w:rPr>
        <w:t>,</w:t>
      </w:r>
      <w:r w:rsidR="009F0FA7" w:rsidRPr="0017463B">
        <w:rPr>
          <w:rFonts w:ascii="Palatino Linotype" w:hAnsi="Palatino Linotype"/>
          <w:sz w:val="24"/>
          <w:szCs w:val="24"/>
        </w:rPr>
        <w:t xml:space="preserve"> hiciera entrega de </w:t>
      </w:r>
      <w:r w:rsidR="00560B7A">
        <w:rPr>
          <w:rFonts w:ascii="Palatino Linotype" w:hAnsi="Palatino Linotype"/>
          <w:sz w:val="24"/>
          <w:szCs w:val="24"/>
        </w:rPr>
        <w:t>lo siguiente:</w:t>
      </w:r>
    </w:p>
    <w:p w14:paraId="063B8B74" w14:textId="0D905777" w:rsidR="00560B7A" w:rsidRPr="00560B7A" w:rsidRDefault="00560B7A" w:rsidP="00560B7A">
      <w:pPr>
        <w:spacing w:before="120" w:after="120" w:line="360" w:lineRule="auto"/>
        <w:ind w:left="284"/>
        <w:jc w:val="both"/>
        <w:rPr>
          <w:rFonts w:ascii="Palatino Linotype" w:hAnsi="Palatino Linotype"/>
          <w:sz w:val="24"/>
          <w:szCs w:val="24"/>
        </w:rPr>
      </w:pPr>
      <w:r w:rsidRPr="00560B7A">
        <w:rPr>
          <w:rFonts w:ascii="Palatino Linotype" w:hAnsi="Palatino Linotype"/>
          <w:sz w:val="24"/>
          <w:szCs w:val="24"/>
        </w:rPr>
        <w:t>1.</w:t>
      </w:r>
      <w:r>
        <w:rPr>
          <w:rFonts w:ascii="Palatino Linotype" w:hAnsi="Palatino Linotype"/>
          <w:sz w:val="24"/>
          <w:szCs w:val="24"/>
        </w:rPr>
        <w:t xml:space="preserve"> </w:t>
      </w:r>
      <w:r w:rsidRPr="00560B7A">
        <w:rPr>
          <w:rFonts w:ascii="Palatino Linotype" w:hAnsi="Palatino Linotype"/>
          <w:sz w:val="24"/>
          <w:szCs w:val="24"/>
        </w:rPr>
        <w:t xml:space="preserve">Listado de servidores públicos de base, confianza y sindicalizados categorías y salarios de las siguientes dependencias:  </w:t>
      </w:r>
    </w:p>
    <w:p w14:paraId="35618DE0" w14:textId="77777777" w:rsidR="00560B7A" w:rsidRPr="00560B7A" w:rsidRDefault="00560B7A" w:rsidP="00560B7A">
      <w:pPr>
        <w:tabs>
          <w:tab w:val="left" w:pos="1134"/>
        </w:tabs>
        <w:spacing w:before="120" w:after="120" w:line="360" w:lineRule="auto"/>
        <w:ind w:left="851"/>
        <w:jc w:val="both"/>
        <w:rPr>
          <w:rFonts w:ascii="Palatino Linotype" w:hAnsi="Palatino Linotype"/>
          <w:sz w:val="24"/>
          <w:szCs w:val="24"/>
        </w:rPr>
      </w:pPr>
      <w:r w:rsidRPr="00560B7A">
        <w:rPr>
          <w:rFonts w:ascii="Palatino Linotype" w:hAnsi="Palatino Linotype"/>
          <w:sz w:val="24"/>
          <w:szCs w:val="24"/>
        </w:rPr>
        <w:t>a)</w:t>
      </w:r>
      <w:r w:rsidRPr="00560B7A">
        <w:rPr>
          <w:rFonts w:ascii="Palatino Linotype" w:hAnsi="Palatino Linotype"/>
          <w:sz w:val="24"/>
          <w:szCs w:val="24"/>
        </w:rPr>
        <w:tab/>
        <w:t>Presidencia Municipal;</w:t>
      </w:r>
    </w:p>
    <w:p w14:paraId="7A8C8EB5" w14:textId="77777777" w:rsidR="00560B7A" w:rsidRPr="00560B7A" w:rsidRDefault="00560B7A" w:rsidP="00560B7A">
      <w:pPr>
        <w:tabs>
          <w:tab w:val="left" w:pos="1134"/>
        </w:tabs>
        <w:spacing w:before="120" w:after="120" w:line="360" w:lineRule="auto"/>
        <w:ind w:left="851"/>
        <w:jc w:val="both"/>
        <w:rPr>
          <w:rFonts w:ascii="Palatino Linotype" w:hAnsi="Palatino Linotype"/>
          <w:sz w:val="24"/>
          <w:szCs w:val="24"/>
        </w:rPr>
      </w:pPr>
      <w:r w:rsidRPr="00560B7A">
        <w:rPr>
          <w:rFonts w:ascii="Palatino Linotype" w:hAnsi="Palatino Linotype"/>
          <w:sz w:val="24"/>
          <w:szCs w:val="24"/>
        </w:rPr>
        <w:t>b)</w:t>
      </w:r>
      <w:r w:rsidRPr="00560B7A">
        <w:rPr>
          <w:rFonts w:ascii="Palatino Linotype" w:hAnsi="Palatino Linotype"/>
          <w:sz w:val="24"/>
          <w:szCs w:val="24"/>
        </w:rPr>
        <w:tab/>
        <w:t>Sindicaturas;</w:t>
      </w:r>
    </w:p>
    <w:p w14:paraId="7D4BA8C4" w14:textId="77777777" w:rsidR="00560B7A" w:rsidRPr="00560B7A" w:rsidRDefault="00560B7A" w:rsidP="00560B7A">
      <w:pPr>
        <w:tabs>
          <w:tab w:val="left" w:pos="1134"/>
        </w:tabs>
        <w:spacing w:before="120" w:after="120" w:line="360" w:lineRule="auto"/>
        <w:ind w:left="851"/>
        <w:jc w:val="both"/>
        <w:rPr>
          <w:rFonts w:ascii="Palatino Linotype" w:hAnsi="Palatino Linotype"/>
          <w:sz w:val="24"/>
          <w:szCs w:val="24"/>
        </w:rPr>
      </w:pPr>
      <w:r w:rsidRPr="00560B7A">
        <w:rPr>
          <w:rFonts w:ascii="Palatino Linotype" w:hAnsi="Palatino Linotype"/>
          <w:sz w:val="24"/>
          <w:szCs w:val="24"/>
        </w:rPr>
        <w:t>c)</w:t>
      </w:r>
      <w:r w:rsidRPr="00560B7A">
        <w:rPr>
          <w:rFonts w:ascii="Palatino Linotype" w:hAnsi="Palatino Linotype"/>
          <w:sz w:val="24"/>
          <w:szCs w:val="24"/>
        </w:rPr>
        <w:tab/>
        <w:t>Regidurías;</w:t>
      </w:r>
    </w:p>
    <w:p w14:paraId="5A966083" w14:textId="77777777" w:rsidR="00560B7A" w:rsidRPr="00560B7A" w:rsidRDefault="00560B7A" w:rsidP="00560B7A">
      <w:pPr>
        <w:tabs>
          <w:tab w:val="left" w:pos="1134"/>
        </w:tabs>
        <w:spacing w:before="120" w:after="120" w:line="360" w:lineRule="auto"/>
        <w:ind w:left="851"/>
        <w:jc w:val="both"/>
        <w:rPr>
          <w:rFonts w:ascii="Palatino Linotype" w:hAnsi="Palatino Linotype"/>
          <w:sz w:val="24"/>
          <w:szCs w:val="24"/>
        </w:rPr>
      </w:pPr>
      <w:r w:rsidRPr="00560B7A">
        <w:rPr>
          <w:rFonts w:ascii="Palatino Linotype" w:hAnsi="Palatino Linotype"/>
          <w:sz w:val="24"/>
          <w:szCs w:val="24"/>
        </w:rPr>
        <w:t>d)</w:t>
      </w:r>
      <w:r w:rsidRPr="00560B7A">
        <w:rPr>
          <w:rFonts w:ascii="Palatino Linotype" w:hAnsi="Palatino Linotype"/>
          <w:sz w:val="24"/>
          <w:szCs w:val="24"/>
        </w:rPr>
        <w:tab/>
        <w:t>Secretaría del Ayuntamiento y;</w:t>
      </w:r>
    </w:p>
    <w:p w14:paraId="2DAFBA46" w14:textId="1B387CDD" w:rsidR="00560B7A" w:rsidRDefault="00560B7A" w:rsidP="00560B7A">
      <w:pPr>
        <w:tabs>
          <w:tab w:val="left" w:pos="1134"/>
        </w:tabs>
        <w:spacing w:before="120" w:after="120" w:line="360" w:lineRule="auto"/>
        <w:ind w:left="851"/>
        <w:jc w:val="both"/>
        <w:rPr>
          <w:rFonts w:ascii="Palatino Linotype" w:hAnsi="Palatino Linotype"/>
          <w:sz w:val="24"/>
          <w:szCs w:val="24"/>
        </w:rPr>
      </w:pPr>
      <w:r w:rsidRPr="00560B7A">
        <w:rPr>
          <w:rFonts w:ascii="Palatino Linotype" w:hAnsi="Palatino Linotype"/>
          <w:sz w:val="24"/>
          <w:szCs w:val="24"/>
        </w:rPr>
        <w:t>e)</w:t>
      </w:r>
      <w:r w:rsidRPr="00560B7A">
        <w:rPr>
          <w:rFonts w:ascii="Palatino Linotype" w:hAnsi="Palatino Linotype"/>
          <w:sz w:val="24"/>
          <w:szCs w:val="24"/>
        </w:rPr>
        <w:tab/>
        <w:t>Dirección de Seguridad Pública</w:t>
      </w:r>
      <w:r>
        <w:rPr>
          <w:rFonts w:ascii="Palatino Linotype" w:hAnsi="Palatino Linotype"/>
          <w:sz w:val="24"/>
          <w:szCs w:val="24"/>
        </w:rPr>
        <w:t>.</w:t>
      </w:r>
    </w:p>
    <w:p w14:paraId="757817DD" w14:textId="2EFB5412" w:rsidR="00560B7A" w:rsidRDefault="00560B7A" w:rsidP="00560B7A">
      <w:pPr>
        <w:spacing w:before="120" w:after="120" w:line="360" w:lineRule="auto"/>
        <w:ind w:left="284"/>
        <w:jc w:val="both"/>
        <w:rPr>
          <w:rFonts w:ascii="Palatino Linotype" w:hAnsi="Palatino Linotype"/>
          <w:sz w:val="24"/>
          <w:szCs w:val="24"/>
        </w:rPr>
      </w:pPr>
      <w:r w:rsidRPr="00560B7A">
        <w:rPr>
          <w:rFonts w:ascii="Palatino Linotype" w:hAnsi="Palatino Linotype"/>
          <w:sz w:val="24"/>
          <w:szCs w:val="24"/>
        </w:rPr>
        <w:t xml:space="preserve">2. Listado de servidores públicos de base, confianza y sindicalizados categorías y salarios, de las siguientes dependencias:  </w:t>
      </w:r>
    </w:p>
    <w:p w14:paraId="7B269825" w14:textId="77777777" w:rsidR="00560B7A" w:rsidRPr="00560B7A" w:rsidRDefault="00560B7A" w:rsidP="00560B7A">
      <w:pPr>
        <w:tabs>
          <w:tab w:val="left" w:pos="1276"/>
        </w:tabs>
        <w:spacing w:before="120" w:after="120" w:line="360" w:lineRule="auto"/>
        <w:ind w:left="851"/>
        <w:jc w:val="both"/>
        <w:rPr>
          <w:rFonts w:ascii="Palatino Linotype" w:hAnsi="Palatino Linotype"/>
          <w:sz w:val="24"/>
          <w:szCs w:val="24"/>
        </w:rPr>
      </w:pPr>
      <w:r w:rsidRPr="00560B7A">
        <w:rPr>
          <w:rFonts w:ascii="Palatino Linotype" w:hAnsi="Palatino Linotype"/>
          <w:sz w:val="24"/>
          <w:szCs w:val="24"/>
        </w:rPr>
        <w:t>a)</w:t>
      </w:r>
      <w:r w:rsidRPr="00560B7A">
        <w:rPr>
          <w:rFonts w:ascii="Palatino Linotype" w:hAnsi="Palatino Linotype"/>
          <w:sz w:val="24"/>
          <w:szCs w:val="24"/>
        </w:rPr>
        <w:tab/>
        <w:t>Coordinación de Asesores;</w:t>
      </w:r>
    </w:p>
    <w:p w14:paraId="12A7B51C" w14:textId="77777777" w:rsidR="00560B7A" w:rsidRPr="00560B7A" w:rsidRDefault="00560B7A" w:rsidP="00560B7A">
      <w:pPr>
        <w:tabs>
          <w:tab w:val="left" w:pos="1276"/>
        </w:tabs>
        <w:spacing w:before="120" w:after="120" w:line="360" w:lineRule="auto"/>
        <w:ind w:left="851"/>
        <w:jc w:val="both"/>
        <w:rPr>
          <w:rFonts w:ascii="Palatino Linotype" w:hAnsi="Palatino Linotype"/>
          <w:sz w:val="24"/>
          <w:szCs w:val="24"/>
        </w:rPr>
      </w:pPr>
      <w:r w:rsidRPr="00560B7A">
        <w:rPr>
          <w:rFonts w:ascii="Palatino Linotype" w:hAnsi="Palatino Linotype"/>
          <w:sz w:val="24"/>
          <w:szCs w:val="24"/>
        </w:rPr>
        <w:t>b)</w:t>
      </w:r>
      <w:r w:rsidRPr="00560B7A">
        <w:rPr>
          <w:rFonts w:ascii="Palatino Linotype" w:hAnsi="Palatino Linotype"/>
          <w:sz w:val="24"/>
          <w:szCs w:val="24"/>
        </w:rPr>
        <w:tab/>
        <w:t>Mejora Regulatoria;</w:t>
      </w:r>
    </w:p>
    <w:p w14:paraId="46DBBBC7" w14:textId="77777777" w:rsidR="00560B7A" w:rsidRPr="00560B7A" w:rsidRDefault="00560B7A" w:rsidP="00560B7A">
      <w:pPr>
        <w:tabs>
          <w:tab w:val="left" w:pos="1276"/>
        </w:tabs>
        <w:spacing w:before="120" w:after="120" w:line="360" w:lineRule="auto"/>
        <w:ind w:left="851"/>
        <w:jc w:val="both"/>
        <w:rPr>
          <w:rFonts w:ascii="Palatino Linotype" w:hAnsi="Palatino Linotype"/>
          <w:sz w:val="24"/>
          <w:szCs w:val="24"/>
        </w:rPr>
      </w:pPr>
      <w:r w:rsidRPr="00560B7A">
        <w:rPr>
          <w:rFonts w:ascii="Palatino Linotype" w:hAnsi="Palatino Linotype"/>
          <w:sz w:val="24"/>
          <w:szCs w:val="24"/>
        </w:rPr>
        <w:t>c)</w:t>
      </w:r>
      <w:r w:rsidRPr="00560B7A">
        <w:rPr>
          <w:rFonts w:ascii="Palatino Linotype" w:hAnsi="Palatino Linotype"/>
          <w:sz w:val="24"/>
          <w:szCs w:val="24"/>
        </w:rPr>
        <w:tab/>
        <w:t>Gabinete;</w:t>
      </w:r>
    </w:p>
    <w:p w14:paraId="76BF9B81" w14:textId="77777777" w:rsidR="00560B7A" w:rsidRPr="00560B7A" w:rsidRDefault="00560B7A" w:rsidP="00560B7A">
      <w:pPr>
        <w:tabs>
          <w:tab w:val="left" w:pos="1276"/>
        </w:tabs>
        <w:spacing w:before="120" w:after="120" w:line="360" w:lineRule="auto"/>
        <w:ind w:left="851"/>
        <w:jc w:val="both"/>
        <w:rPr>
          <w:rFonts w:ascii="Palatino Linotype" w:hAnsi="Palatino Linotype"/>
          <w:sz w:val="24"/>
          <w:szCs w:val="24"/>
        </w:rPr>
      </w:pPr>
      <w:r w:rsidRPr="00560B7A">
        <w:rPr>
          <w:rFonts w:ascii="Palatino Linotype" w:hAnsi="Palatino Linotype"/>
          <w:sz w:val="24"/>
          <w:szCs w:val="24"/>
        </w:rPr>
        <w:t>d)</w:t>
      </w:r>
      <w:r w:rsidRPr="00560B7A">
        <w:rPr>
          <w:rFonts w:ascii="Palatino Linotype" w:hAnsi="Palatino Linotype"/>
          <w:sz w:val="24"/>
          <w:szCs w:val="24"/>
        </w:rPr>
        <w:tab/>
        <w:t>Servicios Públicos;</w:t>
      </w:r>
    </w:p>
    <w:p w14:paraId="2FBD9861" w14:textId="77777777" w:rsidR="00560B7A" w:rsidRPr="00560B7A" w:rsidRDefault="00560B7A" w:rsidP="00560B7A">
      <w:pPr>
        <w:tabs>
          <w:tab w:val="left" w:pos="1276"/>
        </w:tabs>
        <w:spacing w:before="120" w:after="120" w:line="360" w:lineRule="auto"/>
        <w:ind w:left="851"/>
        <w:jc w:val="both"/>
        <w:rPr>
          <w:rFonts w:ascii="Palatino Linotype" w:hAnsi="Palatino Linotype"/>
          <w:sz w:val="24"/>
          <w:szCs w:val="24"/>
        </w:rPr>
      </w:pPr>
      <w:r w:rsidRPr="00560B7A">
        <w:rPr>
          <w:rFonts w:ascii="Palatino Linotype" w:hAnsi="Palatino Linotype"/>
          <w:sz w:val="24"/>
          <w:szCs w:val="24"/>
        </w:rPr>
        <w:t>e)</w:t>
      </w:r>
      <w:r w:rsidRPr="00560B7A">
        <w:rPr>
          <w:rFonts w:ascii="Palatino Linotype" w:hAnsi="Palatino Linotype"/>
          <w:sz w:val="24"/>
          <w:szCs w:val="24"/>
        </w:rPr>
        <w:tab/>
        <w:t>Administración;</w:t>
      </w:r>
    </w:p>
    <w:p w14:paraId="178B861A" w14:textId="77777777" w:rsidR="00560B7A" w:rsidRPr="00560B7A" w:rsidRDefault="00560B7A" w:rsidP="00560B7A">
      <w:pPr>
        <w:tabs>
          <w:tab w:val="left" w:pos="1276"/>
        </w:tabs>
        <w:spacing w:before="120" w:after="120" w:line="360" w:lineRule="auto"/>
        <w:ind w:left="851"/>
        <w:jc w:val="both"/>
        <w:rPr>
          <w:rFonts w:ascii="Palatino Linotype" w:hAnsi="Palatino Linotype"/>
          <w:sz w:val="24"/>
          <w:szCs w:val="24"/>
        </w:rPr>
      </w:pPr>
      <w:r w:rsidRPr="00560B7A">
        <w:rPr>
          <w:rFonts w:ascii="Palatino Linotype" w:hAnsi="Palatino Linotype"/>
          <w:sz w:val="24"/>
          <w:szCs w:val="24"/>
        </w:rPr>
        <w:t>f)</w:t>
      </w:r>
      <w:r w:rsidRPr="00560B7A">
        <w:rPr>
          <w:rFonts w:ascii="Palatino Linotype" w:hAnsi="Palatino Linotype"/>
          <w:sz w:val="24"/>
          <w:szCs w:val="24"/>
        </w:rPr>
        <w:tab/>
        <w:t>Instituto Municipal de la Mujer;</w:t>
      </w:r>
    </w:p>
    <w:p w14:paraId="5EA44426" w14:textId="77777777" w:rsidR="00560B7A" w:rsidRPr="00560B7A" w:rsidRDefault="00560B7A" w:rsidP="00560B7A">
      <w:pPr>
        <w:tabs>
          <w:tab w:val="left" w:pos="1276"/>
        </w:tabs>
        <w:spacing w:before="120" w:after="120" w:line="360" w:lineRule="auto"/>
        <w:ind w:left="851"/>
        <w:jc w:val="both"/>
        <w:rPr>
          <w:rFonts w:ascii="Palatino Linotype" w:hAnsi="Palatino Linotype"/>
          <w:sz w:val="24"/>
          <w:szCs w:val="24"/>
        </w:rPr>
      </w:pPr>
      <w:r w:rsidRPr="00560B7A">
        <w:rPr>
          <w:rFonts w:ascii="Palatino Linotype" w:hAnsi="Palatino Linotype"/>
          <w:sz w:val="24"/>
          <w:szCs w:val="24"/>
        </w:rPr>
        <w:t>g)</w:t>
      </w:r>
      <w:r w:rsidRPr="00560B7A">
        <w:rPr>
          <w:rFonts w:ascii="Palatino Linotype" w:hAnsi="Palatino Linotype"/>
          <w:sz w:val="24"/>
          <w:szCs w:val="24"/>
        </w:rPr>
        <w:tab/>
        <w:t>Bienestar Social y;</w:t>
      </w:r>
    </w:p>
    <w:p w14:paraId="716FCC34" w14:textId="5ED74231" w:rsidR="00560B7A" w:rsidRDefault="00560B7A" w:rsidP="00560B7A">
      <w:pPr>
        <w:tabs>
          <w:tab w:val="left" w:pos="1276"/>
        </w:tabs>
        <w:spacing w:before="120" w:after="120" w:line="360" w:lineRule="auto"/>
        <w:ind w:left="851"/>
        <w:jc w:val="both"/>
        <w:rPr>
          <w:rFonts w:ascii="Palatino Linotype" w:hAnsi="Palatino Linotype"/>
          <w:sz w:val="24"/>
          <w:szCs w:val="24"/>
        </w:rPr>
      </w:pPr>
      <w:r w:rsidRPr="00560B7A">
        <w:rPr>
          <w:rFonts w:ascii="Palatino Linotype" w:hAnsi="Palatino Linotype"/>
          <w:sz w:val="24"/>
          <w:szCs w:val="24"/>
        </w:rPr>
        <w:lastRenderedPageBreak/>
        <w:t>h)</w:t>
      </w:r>
      <w:r w:rsidRPr="00560B7A">
        <w:rPr>
          <w:rFonts w:ascii="Palatino Linotype" w:hAnsi="Palatino Linotype"/>
          <w:sz w:val="24"/>
          <w:szCs w:val="24"/>
        </w:rPr>
        <w:tab/>
        <w:t>Medio Ambiente.</w:t>
      </w:r>
    </w:p>
    <w:p w14:paraId="2ED7C366" w14:textId="33E3EE08" w:rsidR="004B71F3" w:rsidRPr="00560B7A" w:rsidRDefault="00081965" w:rsidP="00560B7A">
      <w:pPr>
        <w:spacing w:before="120" w:after="120" w:line="360" w:lineRule="auto"/>
        <w:jc w:val="both"/>
        <w:rPr>
          <w:rFonts w:ascii="Palatino Linotype" w:eastAsia="Calibri" w:hAnsi="Palatino Linotype" w:cs="Times New Roman"/>
          <w:sz w:val="24"/>
          <w:szCs w:val="24"/>
        </w:rPr>
      </w:pPr>
      <w:bookmarkStart w:id="0" w:name="_Hlk105611386"/>
      <w:r w:rsidRPr="00560B7A">
        <w:rPr>
          <w:rFonts w:ascii="Palatino Linotype" w:hAnsi="Palatino Linotype"/>
          <w:sz w:val="24"/>
          <w:szCs w:val="24"/>
        </w:rPr>
        <w:t xml:space="preserve">El </w:t>
      </w:r>
      <w:r w:rsidRPr="00560B7A">
        <w:rPr>
          <w:rFonts w:ascii="Palatino Linotype" w:hAnsi="Palatino Linotype"/>
          <w:b/>
          <w:bCs/>
          <w:sz w:val="24"/>
          <w:szCs w:val="24"/>
        </w:rPr>
        <w:t>Sujeto Obligado</w:t>
      </w:r>
      <w:bookmarkEnd w:id="0"/>
      <w:r w:rsidR="00560B7A" w:rsidRPr="00560B7A">
        <w:rPr>
          <w:rFonts w:ascii="Palatino Linotype" w:hAnsi="Palatino Linotype"/>
          <w:sz w:val="24"/>
          <w:szCs w:val="24"/>
        </w:rPr>
        <w:t xml:space="preserve">, en respuesta a las </w:t>
      </w:r>
      <w:r w:rsidR="00560B7A" w:rsidRPr="00560B7A">
        <w:rPr>
          <w:rFonts w:ascii="Palatino Linotype" w:eastAsia="Calibri" w:hAnsi="Palatino Linotype" w:cs="Times New Roman"/>
          <w:sz w:val="24"/>
          <w:szCs w:val="24"/>
        </w:rPr>
        <w:t xml:space="preserve">solicitudes de acceso a la información pública, remitió </w:t>
      </w:r>
      <w:r w:rsidR="00D07D24" w:rsidRPr="00560B7A">
        <w:rPr>
          <w:rFonts w:ascii="Palatino Linotype" w:eastAsia="Calibri" w:hAnsi="Palatino Linotype" w:cs="Times New Roman"/>
          <w:sz w:val="24"/>
          <w:szCs w:val="24"/>
        </w:rPr>
        <w:t>a través del Sistema de Acceso a la Información Mexiquense</w:t>
      </w:r>
      <w:r w:rsidR="00560B7A" w:rsidRPr="00560B7A">
        <w:rPr>
          <w:rFonts w:ascii="Palatino Linotype" w:eastAsia="Calibri" w:hAnsi="Palatino Linotype" w:cs="Times New Roman"/>
          <w:sz w:val="24"/>
          <w:szCs w:val="24"/>
        </w:rPr>
        <w:t xml:space="preserve">, </w:t>
      </w:r>
      <w:r w:rsidR="00D07D24" w:rsidRPr="00560B7A">
        <w:rPr>
          <w:rFonts w:ascii="Palatino Linotype" w:eastAsia="Calibri" w:hAnsi="Palatino Linotype" w:cs="Times New Roman"/>
          <w:sz w:val="24"/>
          <w:szCs w:val="24"/>
        </w:rPr>
        <w:t>SAIMEX,</w:t>
      </w:r>
      <w:r w:rsidR="00560B7A" w:rsidRPr="00560B7A">
        <w:rPr>
          <w:rFonts w:ascii="Palatino Linotype" w:eastAsia="Calibri" w:hAnsi="Palatino Linotype" w:cs="Times New Roman"/>
          <w:sz w:val="24"/>
          <w:szCs w:val="24"/>
        </w:rPr>
        <w:t xml:space="preserve"> lo siguiente</w:t>
      </w:r>
      <w:r w:rsidR="004B71F3" w:rsidRPr="00560B7A">
        <w:rPr>
          <w:rFonts w:ascii="Palatino Linotype" w:eastAsia="Calibri" w:hAnsi="Palatino Linotype" w:cs="Times New Roman"/>
          <w:sz w:val="24"/>
          <w:szCs w:val="24"/>
        </w:rPr>
        <w:t>:</w:t>
      </w:r>
    </w:p>
    <w:p w14:paraId="211BA425" w14:textId="77777777" w:rsidR="00560B7A" w:rsidRPr="00560B7A" w:rsidRDefault="00560B7A" w:rsidP="00560B7A">
      <w:pPr>
        <w:autoSpaceDE w:val="0"/>
        <w:autoSpaceDN w:val="0"/>
        <w:adjustRightInd w:val="0"/>
        <w:spacing w:line="360" w:lineRule="auto"/>
        <w:ind w:left="284" w:right="-28"/>
        <w:jc w:val="both"/>
        <w:rPr>
          <w:rFonts w:ascii="Palatino Linotype" w:eastAsia="Calibri" w:hAnsi="Palatino Linotype" w:cs="Times New Roman"/>
          <w:bCs/>
          <w:sz w:val="24"/>
          <w:szCs w:val="24"/>
        </w:rPr>
      </w:pPr>
      <w:r w:rsidRPr="00560B7A">
        <w:rPr>
          <w:rFonts w:ascii="Palatino Linotype" w:eastAsia="Calibri" w:hAnsi="Palatino Linotype" w:cs="Times New Roman"/>
          <w:bCs/>
          <w:sz w:val="24"/>
          <w:szCs w:val="24"/>
        </w:rPr>
        <w:t>i) Listado de servidores públicos adscritos a las Regidurías, la Sindicatura, la Presidencia Municipal y la Secretaría del Ayuntamiento, desglosado por categoría, dirección y salario;</w:t>
      </w:r>
    </w:p>
    <w:p w14:paraId="4A2F7D46" w14:textId="6947ED7B" w:rsidR="00560B7A" w:rsidRPr="00560B7A" w:rsidRDefault="00560B7A" w:rsidP="00560B7A">
      <w:pPr>
        <w:autoSpaceDE w:val="0"/>
        <w:autoSpaceDN w:val="0"/>
        <w:adjustRightInd w:val="0"/>
        <w:spacing w:line="360" w:lineRule="auto"/>
        <w:ind w:left="284" w:right="-28"/>
        <w:jc w:val="both"/>
        <w:rPr>
          <w:rFonts w:ascii="Palatino Linotype" w:eastAsia="Calibri" w:hAnsi="Palatino Linotype" w:cs="Times New Roman"/>
          <w:bCs/>
          <w:sz w:val="24"/>
          <w:szCs w:val="24"/>
        </w:rPr>
      </w:pPr>
      <w:proofErr w:type="spellStart"/>
      <w:r w:rsidRPr="00560B7A">
        <w:rPr>
          <w:rFonts w:ascii="Palatino Linotype" w:eastAsia="Calibri" w:hAnsi="Palatino Linotype" w:cs="Times New Roman"/>
          <w:bCs/>
          <w:sz w:val="24"/>
          <w:szCs w:val="24"/>
        </w:rPr>
        <w:t>ii</w:t>
      </w:r>
      <w:proofErr w:type="spellEnd"/>
      <w:r w:rsidRPr="00560B7A">
        <w:rPr>
          <w:rFonts w:ascii="Palatino Linotype" w:eastAsia="Calibri" w:hAnsi="Palatino Linotype" w:cs="Times New Roman"/>
          <w:bCs/>
          <w:sz w:val="24"/>
          <w:szCs w:val="24"/>
        </w:rPr>
        <w:t>) Acta de la Centésima Septuagésima Sexta Sesión Extraordinaria, suscrita por el Comité de Transparencia, por medio del cual clasifica la información de la Dirección de Seguridad Pública.</w:t>
      </w:r>
    </w:p>
    <w:p w14:paraId="0429B826" w14:textId="0AB11133" w:rsidR="00560B7A" w:rsidRPr="00560B7A" w:rsidRDefault="00560B7A" w:rsidP="00560B7A">
      <w:pPr>
        <w:autoSpaceDE w:val="0"/>
        <w:autoSpaceDN w:val="0"/>
        <w:adjustRightInd w:val="0"/>
        <w:spacing w:line="360" w:lineRule="auto"/>
        <w:ind w:left="284" w:right="-28"/>
        <w:jc w:val="both"/>
        <w:rPr>
          <w:rFonts w:ascii="Palatino Linotype" w:eastAsia="Calibri" w:hAnsi="Palatino Linotype" w:cs="Times New Roman"/>
          <w:bCs/>
          <w:sz w:val="24"/>
          <w:szCs w:val="24"/>
        </w:rPr>
      </w:pPr>
      <w:proofErr w:type="spellStart"/>
      <w:r w:rsidRPr="00560B7A">
        <w:rPr>
          <w:rFonts w:ascii="Palatino Linotype" w:eastAsia="Calibri" w:hAnsi="Palatino Linotype" w:cs="Times New Roman"/>
          <w:bCs/>
          <w:sz w:val="24"/>
          <w:szCs w:val="24"/>
        </w:rPr>
        <w:t>iii</w:t>
      </w:r>
      <w:proofErr w:type="spellEnd"/>
      <w:r w:rsidRPr="00560B7A">
        <w:rPr>
          <w:rFonts w:ascii="Palatino Linotype" w:eastAsia="Calibri" w:hAnsi="Palatino Linotype" w:cs="Times New Roman"/>
          <w:bCs/>
          <w:sz w:val="24"/>
          <w:szCs w:val="24"/>
        </w:rPr>
        <w:t>) Listado de servidores públicos adscritos al Instituto Municipal de la Mujer, con nombre, categoría y sueldo.</w:t>
      </w:r>
    </w:p>
    <w:p w14:paraId="076E6FB0" w14:textId="51C64482" w:rsidR="00560B7A" w:rsidRPr="00560B7A" w:rsidRDefault="00560B7A" w:rsidP="00560B7A">
      <w:pPr>
        <w:autoSpaceDE w:val="0"/>
        <w:autoSpaceDN w:val="0"/>
        <w:adjustRightInd w:val="0"/>
        <w:spacing w:line="360" w:lineRule="auto"/>
        <w:ind w:left="284" w:right="-28"/>
        <w:jc w:val="both"/>
        <w:rPr>
          <w:rFonts w:ascii="Palatino Linotype" w:eastAsia="Calibri" w:hAnsi="Palatino Linotype" w:cs="Times New Roman"/>
          <w:bCs/>
          <w:sz w:val="24"/>
          <w:szCs w:val="24"/>
        </w:rPr>
      </w:pPr>
      <w:proofErr w:type="spellStart"/>
      <w:r w:rsidRPr="00560B7A">
        <w:rPr>
          <w:rFonts w:ascii="Palatino Linotype" w:eastAsia="Calibri" w:hAnsi="Palatino Linotype" w:cs="Times New Roman"/>
          <w:bCs/>
          <w:sz w:val="24"/>
          <w:szCs w:val="24"/>
        </w:rPr>
        <w:t>iv</w:t>
      </w:r>
      <w:proofErr w:type="spellEnd"/>
      <w:r w:rsidRPr="00560B7A">
        <w:rPr>
          <w:rFonts w:ascii="Palatino Linotype" w:eastAsia="Calibri" w:hAnsi="Palatino Linotype" w:cs="Times New Roman"/>
          <w:bCs/>
          <w:sz w:val="24"/>
          <w:szCs w:val="24"/>
        </w:rPr>
        <w:t>) Listado de cargos ocupados en la Dirección General de Administración, Coordinación de Planeación, la Coordinación de Asesores, la Coordinación de Mejora Regulatoria, la Dirección General de Servicios Públicos, Dirección General de Bienestar Social y Dirección General de Medio Ambiente, que contiene la categoría, tipo de empleado, departamento y dirección.</w:t>
      </w:r>
    </w:p>
    <w:p w14:paraId="3364186D" w14:textId="77777777" w:rsidR="00560B7A" w:rsidRDefault="00655552" w:rsidP="00560B7A">
      <w:pPr>
        <w:spacing w:before="240" w:after="240" w:line="360" w:lineRule="auto"/>
        <w:ind w:right="-3"/>
        <w:jc w:val="both"/>
        <w:rPr>
          <w:rFonts w:ascii="Palatino Linotype" w:eastAsia="Calibri" w:hAnsi="Palatino Linotype" w:cs="Times New Roman"/>
          <w:bCs/>
          <w:sz w:val="24"/>
          <w:szCs w:val="24"/>
          <w:lang w:val="es-ES_tradnl"/>
        </w:rPr>
      </w:pPr>
      <w:r w:rsidRPr="0017463B">
        <w:rPr>
          <w:rFonts w:ascii="Palatino Linotype" w:eastAsia="Calibri" w:hAnsi="Palatino Linotype" w:cs="Times New Roman"/>
          <w:bCs/>
          <w:sz w:val="24"/>
          <w:szCs w:val="24"/>
          <w:lang w:val="es-ES_tradnl"/>
        </w:rPr>
        <w:t>C</w:t>
      </w:r>
      <w:r w:rsidR="004B71F3" w:rsidRPr="0017463B">
        <w:rPr>
          <w:rFonts w:ascii="Palatino Linotype" w:eastAsia="Calibri" w:hAnsi="Palatino Linotype" w:cs="Times New Roman"/>
          <w:bCs/>
          <w:sz w:val="24"/>
          <w:szCs w:val="24"/>
          <w:lang w:val="es-ES_tradnl"/>
        </w:rPr>
        <w:t>onocida la</w:t>
      </w:r>
      <w:r w:rsidR="00560B7A">
        <w:rPr>
          <w:rFonts w:ascii="Palatino Linotype" w:eastAsia="Calibri" w:hAnsi="Palatino Linotype" w:cs="Times New Roman"/>
          <w:bCs/>
          <w:sz w:val="24"/>
          <w:szCs w:val="24"/>
          <w:lang w:val="es-ES_tradnl"/>
        </w:rPr>
        <w:t>s</w:t>
      </w:r>
      <w:r w:rsidR="004B71F3" w:rsidRPr="0017463B">
        <w:rPr>
          <w:rFonts w:ascii="Palatino Linotype" w:eastAsia="Calibri" w:hAnsi="Palatino Linotype" w:cs="Times New Roman"/>
          <w:bCs/>
          <w:sz w:val="24"/>
          <w:szCs w:val="24"/>
          <w:lang w:val="es-ES_tradnl"/>
        </w:rPr>
        <w:t xml:space="preserve"> respuesta</w:t>
      </w:r>
      <w:r w:rsidR="00560B7A">
        <w:rPr>
          <w:rFonts w:ascii="Palatino Linotype" w:eastAsia="Calibri" w:hAnsi="Palatino Linotype" w:cs="Times New Roman"/>
          <w:bCs/>
          <w:sz w:val="24"/>
          <w:szCs w:val="24"/>
          <w:lang w:val="es-ES_tradnl"/>
        </w:rPr>
        <w:t>s</w:t>
      </w:r>
      <w:r w:rsidR="004B71F3" w:rsidRPr="0017463B">
        <w:rPr>
          <w:rFonts w:ascii="Palatino Linotype" w:eastAsia="Calibri" w:hAnsi="Palatino Linotype" w:cs="Times New Roman"/>
          <w:bCs/>
          <w:sz w:val="24"/>
          <w:szCs w:val="24"/>
          <w:lang w:val="es-ES_tradnl"/>
        </w:rPr>
        <w:t xml:space="preserve">, </w:t>
      </w:r>
      <w:r w:rsidRPr="0017463B">
        <w:rPr>
          <w:rFonts w:ascii="Palatino Linotype" w:eastAsia="Calibri" w:hAnsi="Palatino Linotype" w:cs="Times New Roman"/>
          <w:bCs/>
          <w:sz w:val="24"/>
          <w:szCs w:val="24"/>
          <w:lang w:val="es-ES_tradnl"/>
        </w:rPr>
        <w:t xml:space="preserve">al no estar conforme con los términos de </w:t>
      </w:r>
      <w:r w:rsidR="00560B7A" w:rsidRPr="0017463B">
        <w:rPr>
          <w:rFonts w:ascii="Palatino Linotype" w:eastAsia="Calibri" w:hAnsi="Palatino Linotype" w:cs="Times New Roman"/>
          <w:bCs/>
          <w:sz w:val="24"/>
          <w:szCs w:val="24"/>
          <w:lang w:val="es-ES_tradnl"/>
        </w:rPr>
        <w:t>la</w:t>
      </w:r>
      <w:r w:rsidR="00560B7A">
        <w:rPr>
          <w:rFonts w:ascii="Palatino Linotype" w:eastAsia="Calibri" w:hAnsi="Palatino Linotype" w:cs="Times New Roman"/>
          <w:bCs/>
          <w:sz w:val="24"/>
          <w:szCs w:val="24"/>
          <w:lang w:val="es-ES_tradnl"/>
        </w:rPr>
        <w:t>s</w:t>
      </w:r>
      <w:r w:rsidR="00560B7A" w:rsidRPr="0017463B">
        <w:rPr>
          <w:rFonts w:ascii="Palatino Linotype" w:eastAsia="Calibri" w:hAnsi="Palatino Linotype" w:cs="Times New Roman"/>
          <w:bCs/>
          <w:sz w:val="24"/>
          <w:szCs w:val="24"/>
          <w:lang w:val="es-ES_tradnl"/>
        </w:rPr>
        <w:t xml:space="preserve"> mismas</w:t>
      </w:r>
      <w:r w:rsidRPr="0017463B">
        <w:rPr>
          <w:rFonts w:ascii="Palatino Linotype" w:eastAsia="Calibri" w:hAnsi="Palatino Linotype" w:cs="Times New Roman"/>
          <w:bCs/>
          <w:sz w:val="24"/>
          <w:szCs w:val="24"/>
          <w:lang w:val="es-ES_tradnl"/>
        </w:rPr>
        <w:t>, la persona solicitante presentó el recurso de revisión mediante el cual señaló como motivo de i</w:t>
      </w:r>
      <w:r w:rsidR="00560B7A">
        <w:rPr>
          <w:rFonts w:ascii="Palatino Linotype" w:eastAsia="Calibri" w:hAnsi="Palatino Linotype" w:cs="Times New Roman"/>
          <w:bCs/>
          <w:sz w:val="24"/>
          <w:szCs w:val="24"/>
          <w:lang w:val="es-ES_tradnl"/>
        </w:rPr>
        <w:t xml:space="preserve">nconformidad, en lo medular, respecto de la reserva de la información </w:t>
      </w:r>
      <w:r w:rsidR="00560B7A">
        <w:rPr>
          <w:rFonts w:ascii="Palatino Linotype" w:eastAsia="Calibri" w:hAnsi="Palatino Linotype" w:cs="Times New Roman"/>
          <w:bCs/>
          <w:sz w:val="24"/>
          <w:szCs w:val="24"/>
          <w:lang w:val="es-ES_tradnl"/>
        </w:rPr>
        <w:lastRenderedPageBreak/>
        <w:t>relacionada con la Dirección de Seguridad Pública en el recurso de revisión 05571/INFOEM/IP/RR/2022, y la entrega de información incompleta en el recurso de revisión 05572</w:t>
      </w:r>
      <w:r w:rsidR="00560B7A" w:rsidRPr="00560B7A">
        <w:rPr>
          <w:rFonts w:ascii="Palatino Linotype" w:eastAsia="Calibri" w:hAnsi="Palatino Linotype" w:cs="Times New Roman"/>
          <w:bCs/>
          <w:sz w:val="24"/>
          <w:szCs w:val="24"/>
          <w:lang w:val="es-ES_tradnl"/>
        </w:rPr>
        <w:t>/INFOEM/IP/RR/2022</w:t>
      </w:r>
      <w:r w:rsidR="00560B7A">
        <w:rPr>
          <w:rFonts w:ascii="Palatino Linotype" w:eastAsia="Calibri" w:hAnsi="Palatino Linotype" w:cs="Times New Roman"/>
          <w:bCs/>
          <w:sz w:val="24"/>
          <w:szCs w:val="24"/>
          <w:lang w:val="es-ES_tradnl"/>
        </w:rPr>
        <w:t xml:space="preserve">, al </w:t>
      </w:r>
      <w:r w:rsidR="00560B7A" w:rsidRPr="00560B7A">
        <w:rPr>
          <w:rFonts w:ascii="Palatino Linotype" w:eastAsia="Calibri" w:hAnsi="Palatino Linotype" w:cs="Times New Roman"/>
          <w:bCs/>
          <w:sz w:val="24"/>
          <w:szCs w:val="24"/>
          <w:lang w:val="es-ES_tradnl"/>
        </w:rPr>
        <w:t xml:space="preserve">señalar que únicamente se le había entregado la información del </w:t>
      </w:r>
      <w:r w:rsidR="00560B7A">
        <w:rPr>
          <w:rFonts w:ascii="Palatino Linotype" w:eastAsia="Calibri" w:hAnsi="Palatino Linotype" w:cs="Times New Roman"/>
          <w:bCs/>
          <w:sz w:val="24"/>
          <w:szCs w:val="24"/>
          <w:lang w:val="es-ES_tradnl"/>
        </w:rPr>
        <w:t>Instituto Municipal de la Mujer.</w:t>
      </w:r>
    </w:p>
    <w:p w14:paraId="6382E36A" w14:textId="77777777" w:rsidR="00560B7A" w:rsidRDefault="009D4C09" w:rsidP="00560B7A">
      <w:pPr>
        <w:spacing w:before="240" w:after="240" w:line="360" w:lineRule="auto"/>
        <w:ind w:right="-3"/>
        <w:jc w:val="both"/>
        <w:rPr>
          <w:rFonts w:ascii="Palatino Linotype" w:eastAsia="Palatino Linotype" w:hAnsi="Palatino Linotype" w:cs="Palatino Linotype"/>
          <w:sz w:val="24"/>
          <w:szCs w:val="24"/>
        </w:rPr>
      </w:pPr>
      <w:r w:rsidRPr="0017463B">
        <w:rPr>
          <w:rFonts w:ascii="Palatino Linotype" w:eastAsia="Palatino Linotype" w:hAnsi="Palatino Linotype" w:cs="Palatino Linotype"/>
          <w:sz w:val="24"/>
          <w:szCs w:val="24"/>
        </w:rPr>
        <w:t>Así, admitido el presente recurso de revisión, en términos del artículo 185 fracción II</w:t>
      </w:r>
      <w:r w:rsidRPr="0017463B">
        <w:rPr>
          <w:rFonts w:ascii="Palatino Linotype" w:eastAsia="Palatino Linotype" w:hAnsi="Palatino Linotype" w:cs="Palatino Linotype"/>
          <w:sz w:val="24"/>
          <w:szCs w:val="24"/>
          <w:vertAlign w:val="superscript"/>
        </w:rPr>
        <w:footnoteReference w:id="1"/>
      </w:r>
      <w:r w:rsidRPr="0017463B">
        <w:rPr>
          <w:rFonts w:ascii="Palatino Linotype" w:eastAsia="Palatino Linotype" w:hAnsi="Palatino Linotype" w:cs="Palatino Linotype"/>
          <w:sz w:val="24"/>
          <w:szCs w:val="24"/>
        </w:rPr>
        <w:t xml:space="preserve"> de la Ley de Transparencia y Acceso a la Información Pública del Estado de México y Municipios, se integró el expediente y se puso a disposición de las partes para que, en un plazo máximo de siete días hábiles, manifestaran lo que a </w:t>
      </w:r>
      <w:r w:rsidR="00560B7A">
        <w:rPr>
          <w:rFonts w:ascii="Palatino Linotype" w:eastAsia="Palatino Linotype" w:hAnsi="Palatino Linotype" w:cs="Palatino Linotype"/>
          <w:sz w:val="24"/>
          <w:szCs w:val="24"/>
        </w:rPr>
        <w:t>su derecho resultara conveniente.</w:t>
      </w:r>
    </w:p>
    <w:p w14:paraId="29E20D98" w14:textId="38D6DFFD" w:rsidR="00814D49" w:rsidRPr="00560B7A" w:rsidRDefault="00560B7A" w:rsidP="00560B7A">
      <w:pPr>
        <w:spacing w:before="240" w:after="240" w:line="360" w:lineRule="auto"/>
        <w:ind w:right="-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tal sentido, el </w:t>
      </w:r>
      <w:r>
        <w:rPr>
          <w:rFonts w:ascii="Palatino Linotype" w:eastAsia="Palatino Linotype" w:hAnsi="Palatino Linotype" w:cs="Palatino Linotype"/>
          <w:b/>
          <w:sz w:val="24"/>
          <w:szCs w:val="24"/>
        </w:rPr>
        <w:t xml:space="preserve">Sujeto Obligado </w:t>
      </w:r>
      <w:r w:rsidRPr="00560B7A">
        <w:rPr>
          <w:rFonts w:ascii="Palatino Linotype" w:eastAsia="Palatino Linotype" w:hAnsi="Palatino Linotype" w:cs="Palatino Linotype"/>
          <w:sz w:val="24"/>
          <w:szCs w:val="24"/>
        </w:rPr>
        <w:t>ratificó en lo sustancial la respuesta prop</w:t>
      </w:r>
      <w:r w:rsidR="00D503BF">
        <w:rPr>
          <w:rFonts w:ascii="Palatino Linotype" w:eastAsia="Palatino Linotype" w:hAnsi="Palatino Linotype" w:cs="Palatino Linotype"/>
          <w:sz w:val="24"/>
          <w:szCs w:val="24"/>
        </w:rPr>
        <w:t>orcionada en primera instancia a las solicitudes de información que dieron origen a los recursos de revisi</w:t>
      </w:r>
      <w:r w:rsidR="00814D49">
        <w:rPr>
          <w:rFonts w:ascii="Palatino Linotype" w:eastAsia="Palatino Linotype" w:hAnsi="Palatino Linotype" w:cs="Palatino Linotype"/>
          <w:sz w:val="24"/>
          <w:szCs w:val="24"/>
        </w:rPr>
        <w:t xml:space="preserve">ón que se resolvieron, mientras que la parte </w:t>
      </w:r>
      <w:r w:rsidR="00814D49" w:rsidRPr="00814D49">
        <w:rPr>
          <w:rFonts w:ascii="Palatino Linotype" w:eastAsia="Palatino Linotype" w:hAnsi="Palatino Linotype" w:cs="Palatino Linotype"/>
          <w:b/>
          <w:sz w:val="24"/>
          <w:szCs w:val="24"/>
        </w:rPr>
        <w:t>Recurrente</w:t>
      </w:r>
      <w:r w:rsidR="00814D49">
        <w:rPr>
          <w:rFonts w:ascii="Palatino Linotype" w:eastAsia="Palatino Linotype" w:hAnsi="Palatino Linotype" w:cs="Palatino Linotype"/>
          <w:sz w:val="24"/>
          <w:szCs w:val="24"/>
        </w:rPr>
        <w:t xml:space="preserve"> fue omisa en ejercer dicha prerrogativa. </w:t>
      </w:r>
    </w:p>
    <w:p w14:paraId="68E946D5" w14:textId="2C33DD27" w:rsidR="00AF1499" w:rsidRPr="0017463B" w:rsidRDefault="009233E8" w:rsidP="00560B7A">
      <w:pPr>
        <w:autoSpaceDE w:val="0"/>
        <w:autoSpaceDN w:val="0"/>
        <w:adjustRightInd w:val="0"/>
        <w:spacing w:before="240" w:after="240" w:line="360" w:lineRule="auto"/>
        <w:contextualSpacing/>
        <w:jc w:val="both"/>
        <w:rPr>
          <w:rFonts w:ascii="Palatino Linotype" w:hAnsi="Palatino Linotype"/>
          <w:sz w:val="24"/>
          <w:szCs w:val="24"/>
        </w:rPr>
      </w:pPr>
      <w:r>
        <w:rPr>
          <w:rFonts w:ascii="Palatino Linotype" w:hAnsi="Palatino Linotype"/>
          <w:sz w:val="24"/>
          <w:szCs w:val="24"/>
        </w:rPr>
        <w:t>En tal contexto</w:t>
      </w:r>
      <w:r w:rsidR="000B2A76" w:rsidRPr="0017463B">
        <w:rPr>
          <w:rFonts w:ascii="Palatino Linotype" w:hAnsi="Palatino Linotype"/>
          <w:sz w:val="24"/>
          <w:szCs w:val="24"/>
        </w:rPr>
        <w:t xml:space="preserve">, previo análisis de las constancias y de la naturaleza de la información, la Ponencia </w:t>
      </w:r>
      <w:r w:rsidR="009D4C09" w:rsidRPr="0017463B">
        <w:rPr>
          <w:rFonts w:ascii="Palatino Linotype" w:hAnsi="Palatino Linotype"/>
          <w:sz w:val="24"/>
          <w:szCs w:val="24"/>
        </w:rPr>
        <w:t xml:space="preserve">que resolvió </w:t>
      </w:r>
      <w:r w:rsidR="000B2A76" w:rsidRPr="0017463B">
        <w:rPr>
          <w:rFonts w:ascii="Palatino Linotype" w:hAnsi="Palatino Linotype"/>
          <w:sz w:val="24"/>
          <w:szCs w:val="24"/>
        </w:rPr>
        <w:t>determinó</w:t>
      </w:r>
      <w:r w:rsidR="009D4C09" w:rsidRPr="0017463B">
        <w:rPr>
          <w:rFonts w:ascii="Palatino Linotype" w:hAnsi="Palatino Linotype"/>
          <w:sz w:val="24"/>
          <w:szCs w:val="24"/>
        </w:rPr>
        <w:t xml:space="preserve"> </w:t>
      </w:r>
      <w:r>
        <w:rPr>
          <w:rFonts w:ascii="Palatino Linotype" w:hAnsi="Palatino Linotype"/>
          <w:i/>
          <w:iCs/>
          <w:sz w:val="24"/>
          <w:szCs w:val="24"/>
        </w:rPr>
        <w:t>Modificar</w:t>
      </w:r>
      <w:r w:rsidR="009D4C09" w:rsidRPr="0017463B">
        <w:rPr>
          <w:rFonts w:ascii="Palatino Linotype" w:hAnsi="Palatino Linotype"/>
          <w:sz w:val="24"/>
          <w:szCs w:val="24"/>
        </w:rPr>
        <w:t xml:space="preserve"> </w:t>
      </w:r>
      <w:r w:rsidR="008E58A8" w:rsidRPr="0017463B">
        <w:rPr>
          <w:rFonts w:ascii="Palatino Linotype" w:hAnsi="Palatino Linotype"/>
          <w:sz w:val="24"/>
          <w:szCs w:val="24"/>
        </w:rPr>
        <w:t xml:space="preserve">la respuesta y </w:t>
      </w:r>
      <w:r w:rsidR="00081965" w:rsidRPr="0017463B">
        <w:rPr>
          <w:rFonts w:ascii="Palatino Linotype" w:hAnsi="Palatino Linotype"/>
          <w:sz w:val="24"/>
          <w:szCs w:val="24"/>
        </w:rPr>
        <w:t>or</w:t>
      </w:r>
      <w:r w:rsidR="008E58A8" w:rsidRPr="0017463B">
        <w:rPr>
          <w:rFonts w:ascii="Palatino Linotype" w:hAnsi="Palatino Linotype"/>
          <w:sz w:val="24"/>
          <w:szCs w:val="24"/>
        </w:rPr>
        <w:t>denar la entrega de información,</w:t>
      </w:r>
      <w:r w:rsidR="009D4C09" w:rsidRPr="0017463B">
        <w:rPr>
          <w:rFonts w:ascii="Palatino Linotype" w:hAnsi="Palatino Linotype"/>
          <w:sz w:val="24"/>
          <w:szCs w:val="24"/>
        </w:rPr>
        <w:t xml:space="preserve"> como se advierte en el </w:t>
      </w:r>
      <w:r w:rsidR="000B2A76" w:rsidRPr="0017463B">
        <w:rPr>
          <w:rFonts w:ascii="Palatino Linotype" w:hAnsi="Palatino Linotype"/>
          <w:b/>
          <w:sz w:val="24"/>
          <w:szCs w:val="24"/>
        </w:rPr>
        <w:t>resolutivo SEGUNDO</w:t>
      </w:r>
      <w:r w:rsidR="00AF1499" w:rsidRPr="0017463B">
        <w:rPr>
          <w:rFonts w:ascii="Palatino Linotype" w:hAnsi="Palatino Linotype"/>
          <w:sz w:val="24"/>
          <w:szCs w:val="24"/>
        </w:rPr>
        <w:t>:</w:t>
      </w:r>
    </w:p>
    <w:p w14:paraId="584F426D" w14:textId="77777777" w:rsidR="00AF1499" w:rsidRPr="0017463B" w:rsidRDefault="00AF1499" w:rsidP="00AF1499">
      <w:pPr>
        <w:autoSpaceDE w:val="0"/>
        <w:autoSpaceDN w:val="0"/>
        <w:adjustRightInd w:val="0"/>
        <w:spacing w:line="276" w:lineRule="auto"/>
        <w:ind w:left="567" w:right="990"/>
        <w:contextualSpacing/>
        <w:jc w:val="both"/>
        <w:rPr>
          <w:rFonts w:ascii="Palatino Linotype" w:hAnsi="Palatino Linotype"/>
          <w:b/>
          <w:bCs/>
          <w:i/>
          <w:szCs w:val="23"/>
        </w:rPr>
      </w:pPr>
    </w:p>
    <w:p w14:paraId="5648D60B" w14:textId="77777777" w:rsidR="009233E8" w:rsidRPr="009233E8" w:rsidRDefault="00AF1499" w:rsidP="009233E8">
      <w:pPr>
        <w:autoSpaceDE w:val="0"/>
        <w:autoSpaceDN w:val="0"/>
        <w:adjustRightInd w:val="0"/>
        <w:spacing w:before="240" w:after="240" w:line="240" w:lineRule="auto"/>
        <w:ind w:left="851" w:right="992"/>
        <w:jc w:val="both"/>
        <w:rPr>
          <w:rFonts w:ascii="Palatino Linotype" w:hAnsi="Palatino Linotype" w:cs="Tahoma"/>
          <w:i/>
        </w:rPr>
      </w:pPr>
      <w:r w:rsidRPr="0017463B">
        <w:rPr>
          <w:rFonts w:ascii="Palatino Linotype" w:hAnsi="Palatino Linotype"/>
          <w:b/>
          <w:bCs/>
          <w:i/>
          <w:szCs w:val="23"/>
        </w:rPr>
        <w:t>“</w:t>
      </w:r>
      <w:r w:rsidR="00081965" w:rsidRPr="0017463B">
        <w:rPr>
          <w:rFonts w:ascii="Palatino Linotype" w:hAnsi="Palatino Linotype"/>
          <w:b/>
          <w:bCs/>
          <w:i/>
          <w:szCs w:val="23"/>
        </w:rPr>
        <w:t>…</w:t>
      </w:r>
      <w:r w:rsidR="009233E8" w:rsidRPr="009233E8">
        <w:rPr>
          <w:rFonts w:ascii="Palatino Linotype" w:hAnsi="Palatino Linotype" w:cs="Tahoma"/>
          <w:i/>
        </w:rPr>
        <w:t xml:space="preserve">Se </w:t>
      </w:r>
      <w:r w:rsidR="009233E8" w:rsidRPr="009233E8">
        <w:rPr>
          <w:rFonts w:ascii="Palatino Linotype" w:hAnsi="Palatino Linotype" w:cs="Tahoma"/>
          <w:b/>
          <w:i/>
        </w:rPr>
        <w:t>ORDENA</w:t>
      </w:r>
      <w:r w:rsidR="009233E8" w:rsidRPr="009233E8">
        <w:rPr>
          <w:rFonts w:ascii="Palatino Linotype" w:hAnsi="Palatino Linotype" w:cs="Tahoma"/>
          <w:i/>
        </w:rPr>
        <w:t xml:space="preserve"> al Ente Recurrido, a efecto de que a efecto de que, previa búsqueda exhaustiva y razonable entregue, a través del Sistema de Acceso a la </w:t>
      </w:r>
      <w:r w:rsidR="009233E8" w:rsidRPr="009233E8">
        <w:rPr>
          <w:rFonts w:ascii="Palatino Linotype" w:hAnsi="Palatino Linotype" w:cs="Tahoma"/>
          <w:i/>
        </w:rPr>
        <w:lastRenderedPageBreak/>
        <w:t>Información Mexiquense (SAIMEX), en su caso, en versión pública, los documentos donde conste lo siguiente:</w:t>
      </w:r>
    </w:p>
    <w:p w14:paraId="4802C630" w14:textId="21E13575" w:rsidR="009233E8" w:rsidRPr="009233E8" w:rsidRDefault="009233E8" w:rsidP="009233E8">
      <w:pPr>
        <w:pStyle w:val="Prrafodelista"/>
        <w:numPr>
          <w:ilvl w:val="0"/>
          <w:numId w:val="14"/>
        </w:numPr>
        <w:autoSpaceDE w:val="0"/>
        <w:autoSpaceDN w:val="0"/>
        <w:adjustRightInd w:val="0"/>
        <w:spacing w:before="240" w:after="240"/>
        <w:ind w:right="992"/>
        <w:contextualSpacing w:val="0"/>
        <w:jc w:val="both"/>
        <w:rPr>
          <w:rFonts w:ascii="Palatino Linotype" w:hAnsi="Palatino Linotype" w:cs="Tahoma"/>
          <w:i/>
        </w:rPr>
      </w:pPr>
      <w:r w:rsidRPr="009233E8">
        <w:rPr>
          <w:rFonts w:ascii="Palatino Linotype" w:hAnsi="Palatino Linotype" w:cs="Tahoma"/>
          <w:i/>
        </w:rPr>
        <w:t>La categoría, adscripción y salario de los servidores públicos que ocupaban un cargo en la Dirección General de Seguridad y Protección, al catorce de marzo de dos mil veintidós.</w:t>
      </w:r>
    </w:p>
    <w:p w14:paraId="3E176B0A" w14:textId="3840FE75" w:rsidR="009233E8" w:rsidRPr="009233E8" w:rsidRDefault="009233E8" w:rsidP="009233E8">
      <w:pPr>
        <w:pStyle w:val="Prrafodelista"/>
        <w:numPr>
          <w:ilvl w:val="0"/>
          <w:numId w:val="14"/>
        </w:numPr>
        <w:autoSpaceDE w:val="0"/>
        <w:autoSpaceDN w:val="0"/>
        <w:adjustRightInd w:val="0"/>
        <w:spacing w:before="240" w:after="240"/>
        <w:ind w:right="992"/>
        <w:contextualSpacing w:val="0"/>
        <w:jc w:val="both"/>
        <w:rPr>
          <w:rFonts w:ascii="Palatino Linotype" w:hAnsi="Palatino Linotype" w:cs="Tahoma"/>
          <w:i/>
        </w:rPr>
      </w:pPr>
      <w:r w:rsidRPr="009233E8">
        <w:rPr>
          <w:rFonts w:ascii="Palatino Linotype" w:hAnsi="Palatino Linotype" w:cs="Tahoma"/>
          <w:i/>
        </w:rPr>
        <w:t>El nombre, categoría y sueldo de los trabajadores gubernamentales que, al catorce de mayo de dos mil veintidós, ocupaban un cargo en la Dirección General de Administración, la Coordinación de Planeación, la Coordinación de Asesores, la Coordinación de Mejora Regulatoria, la Dirección General de Servicios Públicos, la Dirección General de Bienestar Social y la Dirección General de Medio Ambiente, así como, de los miembros del Gabinete.</w:t>
      </w:r>
    </w:p>
    <w:p w14:paraId="680BD524" w14:textId="5C681521" w:rsidR="00AF1499" w:rsidRPr="0017463B" w:rsidRDefault="009233E8" w:rsidP="009233E8">
      <w:pPr>
        <w:autoSpaceDE w:val="0"/>
        <w:autoSpaceDN w:val="0"/>
        <w:adjustRightInd w:val="0"/>
        <w:spacing w:before="240" w:after="240" w:line="240" w:lineRule="auto"/>
        <w:ind w:left="851" w:right="992"/>
        <w:jc w:val="both"/>
        <w:rPr>
          <w:rFonts w:ascii="Palatino Linotype" w:hAnsi="Palatino Linotype"/>
          <w:b/>
          <w:bCs/>
          <w:i/>
          <w:szCs w:val="23"/>
        </w:rPr>
      </w:pPr>
      <w:r w:rsidRPr="009233E8">
        <w:rPr>
          <w:rFonts w:ascii="Palatino Linotype" w:hAnsi="Palatino Linotype" w:cs="Tahoma"/>
          <w:i/>
        </w:rPr>
        <w:t>Además, de ser necesario, deberá proporcionar el Acuerdo de Clasificación donde el Comité de Transparencia, confirme la eliminación de los datos o información reservada, en la versión pública, de conformidad con los artículos 49, fracciones II y VIII y 132, fracción II de la Ley de Transparencia y Acceso a la Información Pública del</w:t>
      </w:r>
      <w:r>
        <w:rPr>
          <w:rFonts w:ascii="Palatino Linotype" w:hAnsi="Palatino Linotype" w:cs="Tahoma"/>
          <w:i/>
        </w:rPr>
        <w:t xml:space="preserve"> Estado de México y Municipios.</w:t>
      </w:r>
      <w:r w:rsidR="00AF1499" w:rsidRPr="0017463B">
        <w:rPr>
          <w:rFonts w:ascii="Palatino Linotype" w:hAnsi="Palatino Linotype"/>
          <w:i/>
          <w:szCs w:val="23"/>
          <w:lang w:val="es-ES"/>
        </w:rPr>
        <w:t xml:space="preserve">” (Sic) </w:t>
      </w:r>
    </w:p>
    <w:p w14:paraId="035B34D3" w14:textId="17BCC755" w:rsidR="000B2A76" w:rsidRPr="0017463B" w:rsidRDefault="000B2A76" w:rsidP="000B2A76">
      <w:pPr>
        <w:spacing w:line="360" w:lineRule="auto"/>
        <w:jc w:val="both"/>
        <w:rPr>
          <w:rFonts w:ascii="Palatino Linotype" w:hAnsi="Palatino Linotype"/>
          <w:sz w:val="24"/>
          <w:szCs w:val="24"/>
        </w:rPr>
      </w:pPr>
      <w:r w:rsidRPr="0017463B">
        <w:rPr>
          <w:rFonts w:ascii="Palatino Linotype" w:hAnsi="Palatino Linotype"/>
          <w:sz w:val="24"/>
          <w:szCs w:val="24"/>
          <w:lang w:val="es-ES"/>
        </w:rPr>
        <w:t>En ese sentido</w:t>
      </w:r>
      <w:r w:rsidR="00EE5423" w:rsidRPr="0017463B">
        <w:rPr>
          <w:rFonts w:ascii="Palatino Linotype" w:hAnsi="Palatino Linotype"/>
          <w:sz w:val="24"/>
          <w:szCs w:val="24"/>
        </w:rPr>
        <w:t xml:space="preserve"> debe mencionarse que, toda vez que se determinó </w:t>
      </w:r>
      <w:r w:rsidR="00081965" w:rsidRPr="0017463B">
        <w:rPr>
          <w:rFonts w:ascii="Palatino Linotype" w:hAnsi="Palatino Linotype"/>
          <w:sz w:val="24"/>
          <w:szCs w:val="24"/>
        </w:rPr>
        <w:t xml:space="preserve">que el </w:t>
      </w:r>
      <w:r w:rsidR="00081965" w:rsidRPr="0017463B">
        <w:rPr>
          <w:rFonts w:ascii="Palatino Linotype" w:hAnsi="Palatino Linotype"/>
          <w:b/>
          <w:bCs/>
          <w:sz w:val="24"/>
          <w:szCs w:val="24"/>
        </w:rPr>
        <w:t>Sujeto Obligado</w:t>
      </w:r>
      <w:r w:rsidR="00081965" w:rsidRPr="0017463B">
        <w:rPr>
          <w:rFonts w:ascii="Palatino Linotype" w:hAnsi="Palatino Linotype"/>
          <w:sz w:val="24"/>
          <w:szCs w:val="24"/>
        </w:rPr>
        <w:t xml:space="preserve"> cuenta con una </w:t>
      </w:r>
      <w:r w:rsidR="009233E8" w:rsidRPr="00081965">
        <w:rPr>
          <w:rFonts w:ascii="Palatino Linotype" w:hAnsi="Palatino Linotype"/>
          <w:sz w:val="23"/>
          <w:szCs w:val="23"/>
        </w:rPr>
        <w:t>Dirección de Seguridad Pública</w:t>
      </w:r>
      <w:r w:rsidR="00081965" w:rsidRPr="0017463B">
        <w:rPr>
          <w:rFonts w:ascii="Palatino Linotype" w:hAnsi="Palatino Linotype"/>
          <w:sz w:val="24"/>
          <w:szCs w:val="24"/>
        </w:rPr>
        <w:t>, encargada de salvaguardar y garantizar el orden público y la paz social, así como de  la prevención, co</w:t>
      </w:r>
      <w:r w:rsidR="00F06A7B" w:rsidRPr="0017463B">
        <w:rPr>
          <w:rFonts w:ascii="Palatino Linotype" w:hAnsi="Palatino Linotype"/>
          <w:sz w:val="24"/>
          <w:szCs w:val="24"/>
        </w:rPr>
        <w:t xml:space="preserve">mbate y persecución de delitos, por lo que </w:t>
      </w:r>
      <w:r w:rsidR="00F06A7B" w:rsidRPr="0017463B">
        <w:rPr>
          <w:rFonts w:ascii="Palatino Linotype" w:hAnsi="Palatino Linotype"/>
          <w:b/>
          <w:sz w:val="24"/>
          <w:szCs w:val="24"/>
        </w:rPr>
        <w:t xml:space="preserve">para este Instituto </w:t>
      </w:r>
      <w:r w:rsidR="008E58A8" w:rsidRPr="0017463B">
        <w:rPr>
          <w:rFonts w:ascii="Palatino Linotype" w:hAnsi="Palatino Linotype"/>
          <w:b/>
          <w:bCs/>
          <w:sz w:val="24"/>
          <w:szCs w:val="24"/>
        </w:rPr>
        <w:t>resultaba pertinente</w:t>
      </w:r>
      <w:r w:rsidR="00F06A7B" w:rsidRPr="0017463B">
        <w:rPr>
          <w:rFonts w:ascii="Palatino Linotype" w:hAnsi="Palatino Linotype"/>
          <w:b/>
          <w:bCs/>
          <w:sz w:val="24"/>
          <w:szCs w:val="24"/>
        </w:rPr>
        <w:t xml:space="preserve"> </w:t>
      </w:r>
      <w:r w:rsidR="00D07D24" w:rsidRPr="0017463B">
        <w:rPr>
          <w:rFonts w:ascii="Palatino Linotype" w:hAnsi="Palatino Linotype"/>
          <w:b/>
          <w:bCs/>
          <w:sz w:val="24"/>
          <w:szCs w:val="24"/>
        </w:rPr>
        <w:t xml:space="preserve">la reserva </w:t>
      </w:r>
      <w:r w:rsidR="004B71F3" w:rsidRPr="0017463B">
        <w:rPr>
          <w:rFonts w:ascii="Palatino Linotype" w:hAnsi="Palatino Linotype"/>
          <w:b/>
          <w:bCs/>
          <w:sz w:val="24"/>
          <w:szCs w:val="24"/>
        </w:rPr>
        <w:t xml:space="preserve">del nombre de los elementos operativos de la </w:t>
      </w:r>
      <w:r w:rsidR="009233E8" w:rsidRPr="009233E8">
        <w:rPr>
          <w:rFonts w:ascii="Palatino Linotype" w:hAnsi="Palatino Linotype"/>
          <w:b/>
          <w:bCs/>
          <w:sz w:val="24"/>
          <w:szCs w:val="24"/>
        </w:rPr>
        <w:t>Dirección General de Seguridad y Protección</w:t>
      </w:r>
      <w:r w:rsidR="00F06A7B" w:rsidRPr="0017463B">
        <w:rPr>
          <w:rFonts w:ascii="Palatino Linotype" w:hAnsi="Palatino Linotype"/>
          <w:bCs/>
          <w:sz w:val="24"/>
          <w:szCs w:val="24"/>
        </w:rPr>
        <w:t xml:space="preserve">, </w:t>
      </w:r>
      <w:r w:rsidRPr="0017463B">
        <w:rPr>
          <w:rFonts w:ascii="Palatino Linotype" w:hAnsi="Palatino Linotype"/>
          <w:sz w:val="24"/>
          <w:szCs w:val="24"/>
        </w:rPr>
        <w:t xml:space="preserve">para lo que es necesario el desarrollo de la prueba de daño,  </w:t>
      </w:r>
      <w:r w:rsidRPr="0017463B">
        <w:rPr>
          <w:rFonts w:ascii="Palatino Linotype" w:hAnsi="Palatino Linotype"/>
          <w:b/>
          <w:sz w:val="24"/>
          <w:szCs w:val="24"/>
        </w:rPr>
        <w:t>debiendo valorar el daño que causaría la divulgación de la información, con la finalidad de sustentar la reserva y arribar a una determinación debidamente fundada y motivada que tenga como consecuencia la clasificación de la información, además de analizar si el periodo de clasificación resulta acorde con la naturaleza de la información requerida</w:t>
      </w:r>
      <w:r w:rsidRPr="0017463B">
        <w:rPr>
          <w:rFonts w:ascii="Palatino Linotype" w:hAnsi="Palatino Linotype"/>
          <w:sz w:val="24"/>
          <w:szCs w:val="24"/>
        </w:rPr>
        <w:t xml:space="preserve">. En otras palabras, la determinación que confirme una </w:t>
      </w:r>
      <w:r w:rsidRPr="0017463B">
        <w:rPr>
          <w:rFonts w:ascii="Palatino Linotype" w:hAnsi="Palatino Linotype"/>
          <w:sz w:val="24"/>
          <w:szCs w:val="24"/>
        </w:rPr>
        <w:lastRenderedPageBreak/>
        <w:t xml:space="preserve">clasificación debe contener un análisis exhaustivo de los elementos de forma y fondo que establecen los artículos 122, 125, 128, 129, 130, 131, 132 fracción II, 134 de la Ley de Transparencia y Acceso a la Información Pública del Estado de México y Municipios y los Lineamientos Generales en Materia de Clasificación y Desclasificación de la Información, así como para la elaboración de Versiones Públicas. </w:t>
      </w:r>
    </w:p>
    <w:p w14:paraId="5D063AB2" w14:textId="77777777" w:rsidR="000B2A76" w:rsidRPr="0017463B" w:rsidRDefault="000B2A76" w:rsidP="000B2A76">
      <w:pPr>
        <w:spacing w:line="360" w:lineRule="auto"/>
        <w:jc w:val="both"/>
        <w:rPr>
          <w:rFonts w:ascii="Palatino Linotype" w:hAnsi="Palatino Linotype"/>
          <w:sz w:val="24"/>
          <w:szCs w:val="24"/>
        </w:rPr>
      </w:pPr>
      <w:r w:rsidRPr="0017463B">
        <w:rPr>
          <w:rFonts w:ascii="Palatino Linotype" w:hAnsi="Palatino Linotype"/>
          <w:sz w:val="24"/>
          <w:szCs w:val="24"/>
        </w:rPr>
        <w:t xml:space="preserve">En esta perspectiva, el Acuerdo de Clasificación de Información tiene como propósito primordial </w:t>
      </w:r>
      <w:r w:rsidRPr="0017463B">
        <w:rPr>
          <w:rFonts w:ascii="Palatino Linotype" w:hAnsi="Palatino Linotype"/>
          <w:b/>
          <w:sz w:val="24"/>
          <w:szCs w:val="24"/>
        </w:rPr>
        <w:t>que los particulares conozcan de manera completa las condiciones y circunstancias que determinaron negar el acceso a la información</w:t>
      </w:r>
      <w:r w:rsidRPr="0017463B">
        <w:rPr>
          <w:rFonts w:ascii="Palatino Linotype" w:hAnsi="Palatino Linotype"/>
          <w:sz w:val="24"/>
          <w:szCs w:val="24"/>
        </w:rPr>
        <w:t xml:space="preserve">; a través de la adecuada fundamentación y motivación de la clasificación de información, que incluya la prueba de daño a fin de establecer el perjuicio que podría provocar la entrega de la información, toda vez que los artículos 128 y 129 de la Ley de la Materia, disponen que para que los sujetos obligados puedan invocar una causa se deberá fundar y motivar, a través de la aplicación de la prueba de daño, en la cual se justifique que la divulgación de la información representa un riesgo real demostrable e identificable al superar el interés público de que se difunda atendiendo al principio de proporcionalidad y el medio menos restrictivo disponible para evitar perjuicio. </w:t>
      </w:r>
    </w:p>
    <w:p w14:paraId="5306B9C5" w14:textId="77777777" w:rsidR="000B2A76" w:rsidRPr="0017463B" w:rsidRDefault="000B2A76" w:rsidP="000B2A76">
      <w:pPr>
        <w:spacing w:line="360" w:lineRule="auto"/>
        <w:jc w:val="both"/>
        <w:rPr>
          <w:rFonts w:ascii="Palatino Linotype" w:hAnsi="Palatino Linotype"/>
          <w:sz w:val="24"/>
          <w:szCs w:val="24"/>
        </w:rPr>
      </w:pPr>
      <w:r w:rsidRPr="0017463B">
        <w:rPr>
          <w:rFonts w:ascii="Palatino Linotype" w:hAnsi="Palatino Linotype"/>
          <w:sz w:val="24"/>
          <w:szCs w:val="24"/>
        </w:rPr>
        <w:t>Al respecto, los Lineamientos Generales en Materia de Clasificación y Desclasificación de la Información, así como para la elaboración de versiones públicas, establecen en su numeral Trigésimo Tercero que, para la aplicación de la prueba de daño los sujetos obligados atenderán lo siguiente:</w:t>
      </w:r>
    </w:p>
    <w:p w14:paraId="4411A51D" w14:textId="77777777" w:rsidR="000B2A76" w:rsidRPr="0017463B" w:rsidRDefault="000B2A76" w:rsidP="009233E8">
      <w:pPr>
        <w:pStyle w:val="Sinespaciado"/>
        <w:spacing w:before="120" w:after="120"/>
        <w:ind w:left="851" w:right="902"/>
        <w:jc w:val="both"/>
        <w:rPr>
          <w:rFonts w:ascii="Palatino Linotype" w:hAnsi="Palatino Linotype" w:cstheme="minorHAnsi"/>
          <w:i/>
          <w:sz w:val="22"/>
          <w:szCs w:val="22"/>
        </w:rPr>
      </w:pPr>
      <w:r w:rsidRPr="0017463B">
        <w:rPr>
          <w:rFonts w:ascii="Palatino Linotype" w:hAnsi="Palatino Linotype" w:cstheme="minorHAnsi"/>
          <w:i/>
          <w:sz w:val="22"/>
          <w:szCs w:val="22"/>
        </w:rPr>
        <w:lastRenderedPageBreak/>
        <w:t xml:space="preserve">"Trigésimo tercero. Para la aplicación de la prueba de daño a la que hace referencia el artículo 104 de la Ley General, los sujetos obligados atenderán lo siguiente: </w:t>
      </w:r>
    </w:p>
    <w:p w14:paraId="73F82E9C" w14:textId="77777777" w:rsidR="000B2A76" w:rsidRPr="0017463B" w:rsidRDefault="000B2A76" w:rsidP="009233E8">
      <w:pPr>
        <w:pStyle w:val="Sinespaciado"/>
        <w:spacing w:before="120" w:after="120"/>
        <w:ind w:left="1134" w:right="902"/>
        <w:jc w:val="both"/>
        <w:rPr>
          <w:rFonts w:ascii="Palatino Linotype" w:hAnsi="Palatino Linotype" w:cstheme="minorHAnsi"/>
          <w:i/>
          <w:sz w:val="22"/>
          <w:szCs w:val="22"/>
        </w:rPr>
      </w:pPr>
      <w:r w:rsidRPr="0017463B">
        <w:rPr>
          <w:rFonts w:ascii="Palatino Linotype" w:hAnsi="Palatino Linotype" w:cstheme="minorHAnsi"/>
          <w:i/>
          <w:sz w:val="22"/>
          <w:szCs w:val="22"/>
        </w:rPr>
        <w:t xml:space="preserve">I. Se deberá citar la fracción y, en su caso, la causal aplicable del artículo 113 de la Ley General, vinculándola con el Lineamiento </w:t>
      </w:r>
      <w:proofErr w:type="gramStart"/>
      <w:r w:rsidRPr="0017463B">
        <w:rPr>
          <w:rFonts w:ascii="Palatino Linotype" w:hAnsi="Palatino Linotype" w:cstheme="minorHAnsi"/>
          <w:i/>
          <w:sz w:val="22"/>
          <w:szCs w:val="22"/>
        </w:rPr>
        <w:t>especifico</w:t>
      </w:r>
      <w:proofErr w:type="gramEnd"/>
      <w:r w:rsidRPr="0017463B">
        <w:rPr>
          <w:rFonts w:ascii="Palatino Linotype" w:hAnsi="Palatino Linotype" w:cstheme="minorHAnsi"/>
          <w:i/>
          <w:sz w:val="22"/>
          <w:szCs w:val="22"/>
        </w:rPr>
        <w:t xml:space="preserve"> del presente ordenamiento y, cuando corresponda, el supuesto normativo que expresamente le otorga el carácter de información reservada;</w:t>
      </w:r>
    </w:p>
    <w:p w14:paraId="13211827" w14:textId="77777777" w:rsidR="000B2A76" w:rsidRPr="0017463B" w:rsidRDefault="000B2A76" w:rsidP="009233E8">
      <w:pPr>
        <w:pStyle w:val="Sinespaciado"/>
        <w:spacing w:before="120" w:after="120"/>
        <w:ind w:left="1134" w:right="902"/>
        <w:jc w:val="both"/>
        <w:rPr>
          <w:rFonts w:ascii="Palatino Linotype" w:hAnsi="Palatino Linotype" w:cstheme="minorHAnsi"/>
          <w:i/>
          <w:sz w:val="22"/>
          <w:szCs w:val="22"/>
        </w:rPr>
      </w:pPr>
      <w:r w:rsidRPr="0017463B">
        <w:rPr>
          <w:rFonts w:ascii="Palatino Linotype" w:hAnsi="Palatino Linotype" w:cstheme="minorHAnsi"/>
          <w:i/>
          <w:sz w:val="22"/>
          <w:szCs w:val="22"/>
        </w:rPr>
        <w:t xml:space="preserve">II. Mediante la ponderación de los intereses en conflicto, los sujetos obligados </w:t>
      </w:r>
      <w:r w:rsidRPr="0017463B">
        <w:rPr>
          <w:rFonts w:ascii="Palatino Linotype" w:hAnsi="Palatino Linotype" w:cstheme="minorHAnsi"/>
          <w:b/>
          <w:i/>
          <w:sz w:val="22"/>
          <w:szCs w:val="22"/>
        </w:rPr>
        <w:t xml:space="preserve">deberán demostrar que la publicidad de la información solicitada generaría un riesgo de perjuicio </w:t>
      </w:r>
      <w:proofErr w:type="gramStart"/>
      <w:r w:rsidRPr="0017463B">
        <w:rPr>
          <w:rFonts w:ascii="Palatino Linotype" w:hAnsi="Palatino Linotype" w:cstheme="minorHAnsi"/>
          <w:b/>
          <w:i/>
          <w:sz w:val="22"/>
          <w:szCs w:val="22"/>
        </w:rPr>
        <w:t>y</w:t>
      </w:r>
      <w:proofErr w:type="gramEnd"/>
      <w:r w:rsidRPr="0017463B">
        <w:rPr>
          <w:rFonts w:ascii="Palatino Linotype" w:hAnsi="Palatino Linotype" w:cstheme="minorHAnsi"/>
          <w:b/>
          <w:i/>
          <w:sz w:val="22"/>
          <w:szCs w:val="22"/>
        </w:rPr>
        <w:t xml:space="preserve"> por lo tanto, tendrán que acreditar que este último rebasa el interés público protegido por la reserva</w:t>
      </w:r>
      <w:r w:rsidRPr="0017463B">
        <w:rPr>
          <w:rFonts w:ascii="Palatino Linotype" w:hAnsi="Palatino Linotype" w:cstheme="minorHAnsi"/>
          <w:i/>
          <w:sz w:val="22"/>
          <w:szCs w:val="22"/>
        </w:rPr>
        <w:t>;</w:t>
      </w:r>
    </w:p>
    <w:p w14:paraId="77A83ED8" w14:textId="77777777" w:rsidR="000B2A76" w:rsidRPr="0017463B" w:rsidRDefault="000B2A76" w:rsidP="009233E8">
      <w:pPr>
        <w:pStyle w:val="Sinespaciado"/>
        <w:spacing w:before="120" w:after="120"/>
        <w:ind w:left="1134" w:right="902"/>
        <w:jc w:val="both"/>
        <w:rPr>
          <w:rFonts w:ascii="Palatino Linotype" w:hAnsi="Palatino Linotype" w:cstheme="minorHAnsi"/>
          <w:i/>
          <w:sz w:val="22"/>
          <w:szCs w:val="22"/>
        </w:rPr>
      </w:pPr>
      <w:r w:rsidRPr="0017463B">
        <w:rPr>
          <w:rFonts w:ascii="Palatino Linotype" w:hAnsi="Palatino Linotype" w:cstheme="minorHAnsi"/>
          <w:i/>
          <w:sz w:val="22"/>
          <w:szCs w:val="22"/>
        </w:rPr>
        <w:t>III.</w:t>
      </w:r>
      <w:r w:rsidRPr="0017463B">
        <w:rPr>
          <w:rFonts w:ascii="Palatino Linotype" w:hAnsi="Palatino Linotype" w:cstheme="minorHAnsi"/>
          <w:i/>
          <w:sz w:val="22"/>
          <w:szCs w:val="22"/>
        </w:rPr>
        <w:tab/>
        <w:t>Se debe de acreditar el vínculo entre la difusión de la información y la afectación del interés jurídico tutelado de que se trate;</w:t>
      </w:r>
    </w:p>
    <w:p w14:paraId="0C7FEAE5" w14:textId="77777777" w:rsidR="000B2A76" w:rsidRPr="0017463B" w:rsidRDefault="000B2A76" w:rsidP="009233E8">
      <w:pPr>
        <w:pStyle w:val="Sinespaciado"/>
        <w:spacing w:before="120" w:after="120"/>
        <w:ind w:left="1134" w:right="902"/>
        <w:jc w:val="both"/>
        <w:rPr>
          <w:rFonts w:ascii="Palatino Linotype" w:hAnsi="Palatino Linotype" w:cstheme="minorHAnsi"/>
          <w:i/>
          <w:sz w:val="22"/>
          <w:szCs w:val="22"/>
        </w:rPr>
      </w:pPr>
      <w:r w:rsidRPr="0017463B">
        <w:rPr>
          <w:rFonts w:ascii="Palatino Linotype" w:hAnsi="Palatino Linotype" w:cstheme="minorHAnsi"/>
          <w:i/>
          <w:sz w:val="22"/>
          <w:szCs w:val="22"/>
        </w:rPr>
        <w:t>IV.</w:t>
      </w:r>
      <w:r w:rsidRPr="0017463B">
        <w:rPr>
          <w:rFonts w:ascii="Palatino Linotype" w:hAnsi="Palatino Linotype" w:cstheme="minorHAnsi"/>
          <w:i/>
          <w:sz w:val="22"/>
          <w:szCs w:val="22"/>
        </w:rPr>
        <w:tab/>
        <w:t>Precisar las razones objetivas por las que la apertura de la información generaría una afectación, a través de los elementos de un riesgo real, demostrable e identificable;</w:t>
      </w:r>
    </w:p>
    <w:p w14:paraId="22630193" w14:textId="77777777" w:rsidR="000B2A76" w:rsidRPr="0017463B" w:rsidRDefault="000B2A76" w:rsidP="009233E8">
      <w:pPr>
        <w:pStyle w:val="Sinespaciado"/>
        <w:spacing w:before="120" w:after="120"/>
        <w:ind w:left="1134" w:right="902"/>
        <w:jc w:val="both"/>
        <w:rPr>
          <w:rFonts w:ascii="Palatino Linotype" w:hAnsi="Palatino Linotype" w:cstheme="minorHAnsi"/>
          <w:i/>
          <w:sz w:val="22"/>
          <w:szCs w:val="22"/>
        </w:rPr>
      </w:pPr>
      <w:r w:rsidRPr="0017463B">
        <w:rPr>
          <w:rFonts w:ascii="Palatino Linotype" w:hAnsi="Palatino Linotype" w:cstheme="minorHAnsi"/>
          <w:i/>
          <w:sz w:val="22"/>
          <w:szCs w:val="22"/>
        </w:rPr>
        <w:t>V.</w:t>
      </w:r>
      <w:r w:rsidRPr="0017463B">
        <w:rPr>
          <w:rFonts w:ascii="Palatino Linotype" w:hAnsi="Palatino Linotype" w:cstheme="minorHAnsi"/>
          <w:i/>
          <w:sz w:val="22"/>
          <w:szCs w:val="22"/>
        </w:rPr>
        <w:tab/>
        <w:t xml:space="preserve">En la motivación de la clasificación, </w:t>
      </w:r>
      <w:r w:rsidRPr="0017463B">
        <w:rPr>
          <w:rFonts w:ascii="Palatino Linotype" w:hAnsi="Palatino Linotype" w:cstheme="minorHAnsi"/>
          <w:b/>
          <w:i/>
          <w:sz w:val="22"/>
          <w:szCs w:val="22"/>
        </w:rPr>
        <w:t>el sujeto obligado deberá acreditar las circunstancias de modo, tiempo y lugar del daño</w:t>
      </w:r>
      <w:r w:rsidRPr="0017463B">
        <w:rPr>
          <w:rFonts w:ascii="Palatino Linotype" w:hAnsi="Palatino Linotype" w:cstheme="minorHAnsi"/>
          <w:i/>
          <w:sz w:val="22"/>
          <w:szCs w:val="22"/>
        </w:rPr>
        <w:t>, y</w:t>
      </w:r>
    </w:p>
    <w:p w14:paraId="4B402896" w14:textId="77777777" w:rsidR="000B2A76" w:rsidRPr="0017463B" w:rsidRDefault="000B2A76" w:rsidP="009233E8">
      <w:pPr>
        <w:pStyle w:val="Sinespaciado"/>
        <w:spacing w:before="120" w:after="120"/>
        <w:ind w:left="1134" w:right="902"/>
        <w:jc w:val="both"/>
        <w:rPr>
          <w:rFonts w:ascii="Palatino Linotype" w:hAnsi="Palatino Linotype" w:cstheme="minorHAnsi"/>
          <w:i/>
          <w:sz w:val="22"/>
          <w:szCs w:val="22"/>
        </w:rPr>
      </w:pPr>
      <w:r w:rsidRPr="0017463B">
        <w:rPr>
          <w:rFonts w:ascii="Palatino Linotype" w:hAnsi="Palatino Linotype" w:cstheme="minorHAnsi"/>
          <w:i/>
          <w:sz w:val="22"/>
          <w:szCs w:val="22"/>
        </w:rPr>
        <w:t>VI.</w:t>
      </w:r>
      <w:r w:rsidRPr="0017463B">
        <w:rPr>
          <w:rFonts w:ascii="Palatino Linotype" w:hAnsi="Palatino Linotype" w:cstheme="minorHAnsi"/>
          <w:i/>
          <w:sz w:val="22"/>
          <w:szCs w:val="22"/>
        </w:rPr>
        <w:tab/>
        <w:t>Deberán elegir la opción de excepción al acceso a la información que menos lo restrinja, la cual será adecuada y proporcional para la protección del interés público, y deberá inte1ferir lo menos posible en el ejercicio efectivo del derecho de acceso a la información."(Sic)</w:t>
      </w:r>
    </w:p>
    <w:p w14:paraId="01FDA728" w14:textId="77777777" w:rsidR="000B2A76" w:rsidRPr="0017463B" w:rsidRDefault="000B2A76" w:rsidP="000B2A76">
      <w:pPr>
        <w:spacing w:line="360" w:lineRule="auto"/>
        <w:jc w:val="both"/>
        <w:rPr>
          <w:rFonts w:ascii="Palatino Linotype" w:hAnsi="Palatino Linotype"/>
          <w:sz w:val="24"/>
          <w:szCs w:val="24"/>
        </w:rPr>
      </w:pPr>
      <w:r w:rsidRPr="0017463B">
        <w:rPr>
          <w:rFonts w:ascii="Palatino Linotype" w:hAnsi="Palatino Linotype"/>
          <w:sz w:val="24"/>
          <w:szCs w:val="24"/>
        </w:rPr>
        <w:t xml:space="preserve">En conclusión, para convalidar la clasificación como información reservada, </w:t>
      </w:r>
      <w:r w:rsidRPr="0017463B">
        <w:rPr>
          <w:rFonts w:ascii="Palatino Linotype" w:hAnsi="Palatino Linotype"/>
          <w:b/>
          <w:sz w:val="24"/>
          <w:szCs w:val="24"/>
        </w:rPr>
        <w:t>se debe efectuar el estudio de clasificación a la luz de los elementos que exigen los Lineamientos generales en materia de clasificación y desclasificación de la información, así como para la elaboración de versiones públicas, y efectuar un análisis exhaustivo en todos aquellos casos que restrinjan el derecho de acceso a la información de los particulares</w:t>
      </w:r>
      <w:r w:rsidRPr="0017463B">
        <w:rPr>
          <w:rFonts w:ascii="Palatino Linotype" w:hAnsi="Palatino Linotype"/>
          <w:sz w:val="24"/>
          <w:szCs w:val="24"/>
        </w:rPr>
        <w:t>, como es la figura de la clasificación de la información para verificar que se acredita la prueba de daño.</w:t>
      </w:r>
    </w:p>
    <w:p w14:paraId="7B025835" w14:textId="45B0A6F3" w:rsidR="000B2A76" w:rsidRPr="0017463B" w:rsidRDefault="000B2A76" w:rsidP="000B2A76">
      <w:pPr>
        <w:spacing w:line="360" w:lineRule="auto"/>
        <w:jc w:val="both"/>
        <w:rPr>
          <w:rFonts w:ascii="Palatino Linotype" w:hAnsi="Palatino Linotype"/>
          <w:sz w:val="24"/>
          <w:szCs w:val="24"/>
        </w:rPr>
      </w:pPr>
      <w:r w:rsidRPr="0017463B">
        <w:rPr>
          <w:rFonts w:ascii="Palatino Linotype" w:hAnsi="Palatino Linotype"/>
          <w:sz w:val="24"/>
          <w:szCs w:val="24"/>
        </w:rPr>
        <w:lastRenderedPageBreak/>
        <w:t>Bajo este contexto, se analizó la resolución de</w:t>
      </w:r>
      <w:r w:rsidR="009233E8">
        <w:rPr>
          <w:rFonts w:ascii="Palatino Linotype" w:hAnsi="Palatino Linotype"/>
          <w:sz w:val="24"/>
          <w:szCs w:val="24"/>
        </w:rPr>
        <w:t xml:space="preserve"> </w:t>
      </w:r>
      <w:r w:rsidRPr="0017463B">
        <w:rPr>
          <w:rFonts w:ascii="Palatino Linotype" w:hAnsi="Palatino Linotype"/>
          <w:sz w:val="24"/>
          <w:szCs w:val="24"/>
        </w:rPr>
        <w:t>l</w:t>
      </w:r>
      <w:r w:rsidR="009233E8">
        <w:rPr>
          <w:rFonts w:ascii="Palatino Linotype" w:hAnsi="Palatino Linotype"/>
          <w:sz w:val="24"/>
          <w:szCs w:val="24"/>
        </w:rPr>
        <w:t>os</w:t>
      </w:r>
      <w:r w:rsidRPr="0017463B">
        <w:rPr>
          <w:rFonts w:ascii="Palatino Linotype" w:hAnsi="Palatino Linotype"/>
          <w:sz w:val="24"/>
          <w:szCs w:val="24"/>
        </w:rPr>
        <w:t xml:space="preserve"> recurso</w:t>
      </w:r>
      <w:r w:rsidR="009233E8">
        <w:rPr>
          <w:rFonts w:ascii="Palatino Linotype" w:hAnsi="Palatino Linotype"/>
          <w:sz w:val="24"/>
          <w:szCs w:val="24"/>
        </w:rPr>
        <w:t>s</w:t>
      </w:r>
      <w:r w:rsidRPr="0017463B">
        <w:rPr>
          <w:rFonts w:ascii="Palatino Linotype" w:hAnsi="Palatino Linotype"/>
          <w:sz w:val="24"/>
          <w:szCs w:val="24"/>
        </w:rPr>
        <w:t xml:space="preserve"> de revisión </w:t>
      </w:r>
      <w:r w:rsidRPr="0017463B">
        <w:rPr>
          <w:rFonts w:ascii="Palatino Linotype" w:hAnsi="Palatino Linotype"/>
          <w:b/>
          <w:bCs/>
          <w:sz w:val="24"/>
          <w:szCs w:val="24"/>
        </w:rPr>
        <w:t>0</w:t>
      </w:r>
      <w:r w:rsidR="005B18DE" w:rsidRPr="0017463B">
        <w:rPr>
          <w:rFonts w:ascii="Palatino Linotype" w:hAnsi="Palatino Linotype"/>
          <w:b/>
          <w:bCs/>
          <w:sz w:val="24"/>
          <w:szCs w:val="24"/>
        </w:rPr>
        <w:t>5</w:t>
      </w:r>
      <w:r w:rsidR="009233E8">
        <w:rPr>
          <w:rFonts w:ascii="Palatino Linotype" w:hAnsi="Palatino Linotype"/>
          <w:b/>
          <w:bCs/>
          <w:sz w:val="24"/>
          <w:szCs w:val="24"/>
        </w:rPr>
        <w:t>57</w:t>
      </w:r>
      <w:r w:rsidR="005B18DE" w:rsidRPr="0017463B">
        <w:rPr>
          <w:rFonts w:ascii="Palatino Linotype" w:hAnsi="Palatino Linotype"/>
          <w:b/>
          <w:bCs/>
          <w:sz w:val="24"/>
          <w:szCs w:val="24"/>
        </w:rPr>
        <w:t>1</w:t>
      </w:r>
      <w:r w:rsidRPr="0017463B">
        <w:rPr>
          <w:rFonts w:ascii="Palatino Linotype" w:hAnsi="Palatino Linotype"/>
          <w:b/>
          <w:bCs/>
          <w:sz w:val="24"/>
          <w:szCs w:val="24"/>
        </w:rPr>
        <w:t>/INFOEM/IP/RR/2022</w:t>
      </w:r>
      <w:r w:rsidR="009233E8">
        <w:rPr>
          <w:rFonts w:ascii="Palatino Linotype" w:hAnsi="Palatino Linotype"/>
          <w:b/>
          <w:bCs/>
          <w:sz w:val="24"/>
          <w:szCs w:val="24"/>
        </w:rPr>
        <w:t xml:space="preserve"> </w:t>
      </w:r>
      <w:r w:rsidR="009233E8">
        <w:rPr>
          <w:rFonts w:ascii="Palatino Linotype" w:hAnsi="Palatino Linotype"/>
          <w:sz w:val="24"/>
          <w:szCs w:val="24"/>
        </w:rPr>
        <w:t xml:space="preserve">y </w:t>
      </w:r>
      <w:r w:rsidR="009233E8" w:rsidRPr="00560B7A">
        <w:rPr>
          <w:rFonts w:ascii="Palatino Linotype" w:hAnsi="Palatino Linotype"/>
          <w:b/>
          <w:sz w:val="24"/>
          <w:szCs w:val="24"/>
        </w:rPr>
        <w:t>0557</w:t>
      </w:r>
      <w:r w:rsidR="009233E8">
        <w:rPr>
          <w:rFonts w:ascii="Palatino Linotype" w:hAnsi="Palatino Linotype"/>
          <w:b/>
          <w:sz w:val="24"/>
          <w:szCs w:val="24"/>
        </w:rPr>
        <w:t>2</w:t>
      </w:r>
      <w:r w:rsidR="009233E8" w:rsidRPr="00560B7A">
        <w:rPr>
          <w:rFonts w:ascii="Palatino Linotype" w:hAnsi="Palatino Linotype"/>
          <w:b/>
          <w:sz w:val="24"/>
          <w:szCs w:val="24"/>
        </w:rPr>
        <w:t>/INFOEM/IP/RR/2022</w:t>
      </w:r>
      <w:r w:rsidR="009233E8">
        <w:rPr>
          <w:rFonts w:ascii="Palatino Linotype" w:hAnsi="Palatino Linotype"/>
          <w:b/>
          <w:sz w:val="24"/>
          <w:szCs w:val="24"/>
        </w:rPr>
        <w:t>, acumulados,</w:t>
      </w:r>
      <w:r w:rsidRPr="0017463B">
        <w:rPr>
          <w:rFonts w:ascii="Palatino Linotype" w:hAnsi="Palatino Linotype"/>
          <w:sz w:val="24"/>
          <w:szCs w:val="24"/>
        </w:rPr>
        <w:t xml:space="preserve"> en la cual, el Comisionado Ponente, desarrolla la prueba de daño, circunstancia que a consideración de la suscrita y derivado de lo antes señalado, </w:t>
      </w:r>
      <w:r w:rsidRPr="0017463B">
        <w:rPr>
          <w:rFonts w:ascii="Palatino Linotype" w:hAnsi="Palatino Linotype"/>
          <w:b/>
          <w:bCs/>
          <w:sz w:val="24"/>
          <w:szCs w:val="24"/>
        </w:rPr>
        <w:t>les corresponde comprobar y desarrollar a los Sujetos Obligados</w:t>
      </w:r>
      <w:r w:rsidRPr="0017463B">
        <w:rPr>
          <w:rFonts w:ascii="Palatino Linotype" w:hAnsi="Palatino Linotype"/>
          <w:sz w:val="24"/>
          <w:szCs w:val="24"/>
        </w:rPr>
        <w:t>, en razón de que, dentro de la Ley de Transparencia y Acceso a la Información Pública del Estado de México y Municipios, se encuentra que, para reservar una información, se debe aplicar una prueba de daño, la cual es definida por la Ley de la Materia en su artículo 3 fracción XXXII, como:</w:t>
      </w:r>
    </w:p>
    <w:p w14:paraId="23FEEFAE" w14:textId="77777777" w:rsidR="000B2A76" w:rsidRPr="0017463B" w:rsidRDefault="000B2A76" w:rsidP="009233E8">
      <w:pPr>
        <w:pStyle w:val="Sinespaciado"/>
        <w:spacing w:before="120" w:after="120"/>
        <w:ind w:left="851" w:right="902"/>
        <w:jc w:val="both"/>
        <w:rPr>
          <w:rFonts w:ascii="Palatino Linotype" w:hAnsi="Palatino Linotype" w:cstheme="minorHAnsi"/>
          <w:i/>
          <w:sz w:val="22"/>
          <w:szCs w:val="22"/>
        </w:rPr>
      </w:pPr>
      <w:r w:rsidRPr="0017463B">
        <w:rPr>
          <w:rFonts w:ascii="Palatino Linotype" w:hAnsi="Palatino Linotype" w:cstheme="minorHAnsi"/>
          <w:i/>
          <w:sz w:val="22"/>
          <w:szCs w:val="22"/>
        </w:rPr>
        <w:t>“</w:t>
      </w:r>
      <w:r w:rsidRPr="009233E8">
        <w:rPr>
          <w:rFonts w:ascii="Palatino Linotype" w:hAnsi="Palatino Linotype" w:cstheme="minorHAnsi"/>
          <w:b/>
          <w:i/>
          <w:sz w:val="22"/>
          <w:szCs w:val="22"/>
        </w:rPr>
        <w:t>XXXIII</w:t>
      </w:r>
      <w:r w:rsidRPr="0017463B">
        <w:rPr>
          <w:rFonts w:ascii="Palatino Linotype" w:hAnsi="Palatino Linotype" w:cstheme="minorHAnsi"/>
          <w:i/>
          <w:sz w:val="22"/>
          <w:szCs w:val="22"/>
        </w:rPr>
        <w:t xml:space="preserve">. Prueba de Daño: </w:t>
      </w:r>
      <w:r w:rsidRPr="0017463B">
        <w:rPr>
          <w:rFonts w:ascii="Palatino Linotype" w:hAnsi="Palatino Linotype" w:cstheme="minorHAnsi"/>
          <w:b/>
          <w:i/>
          <w:sz w:val="22"/>
          <w:szCs w:val="22"/>
          <w:u w:val="single"/>
        </w:rPr>
        <w:t>Responsabilidad de los sujetos obligados de demostrar de manera fundada y motivada que la divulgación de información lesiona el interés jurídicamente protegido por la Ley,</w:t>
      </w:r>
      <w:r w:rsidRPr="0017463B">
        <w:rPr>
          <w:rFonts w:ascii="Palatino Linotype" w:hAnsi="Palatino Linotype" w:cstheme="minorHAnsi"/>
          <w:i/>
          <w:sz w:val="22"/>
          <w:szCs w:val="22"/>
        </w:rPr>
        <w:t xml:space="preserve"> y que el menoscabo o daño que puede producirse con la publicidad de la información es mayor que el interés de conocerla y por consiguiente debe clasificarse como reservada…” (Sic)</w:t>
      </w:r>
    </w:p>
    <w:p w14:paraId="06E9E7D5" w14:textId="77777777" w:rsidR="000B2A76" w:rsidRPr="0017463B" w:rsidRDefault="000B2A76" w:rsidP="000B2A76">
      <w:pPr>
        <w:spacing w:line="360" w:lineRule="auto"/>
        <w:jc w:val="both"/>
        <w:rPr>
          <w:rFonts w:ascii="Palatino Linotype" w:hAnsi="Palatino Linotype"/>
          <w:sz w:val="24"/>
          <w:szCs w:val="24"/>
        </w:rPr>
      </w:pPr>
      <w:r w:rsidRPr="0017463B">
        <w:rPr>
          <w:rFonts w:ascii="Palatino Linotype" w:hAnsi="Palatino Linotype"/>
          <w:sz w:val="24"/>
          <w:szCs w:val="24"/>
        </w:rPr>
        <w:t xml:space="preserve">Precepto legal en donde establece que </w:t>
      </w:r>
      <w:r w:rsidRPr="0017463B">
        <w:rPr>
          <w:rFonts w:ascii="Palatino Linotype" w:hAnsi="Palatino Linotype"/>
          <w:b/>
          <w:sz w:val="24"/>
          <w:szCs w:val="24"/>
        </w:rPr>
        <w:t>es obligación de los Sujeto Obligados, realizar la prueba de daño;</w:t>
      </w:r>
      <w:r w:rsidRPr="0017463B">
        <w:rPr>
          <w:rFonts w:ascii="Palatino Linotype" w:hAnsi="Palatino Linotype"/>
          <w:sz w:val="24"/>
          <w:szCs w:val="24"/>
        </w:rPr>
        <w:t xml:space="preserve"> es decir, que los Sujetos Obligados que generan, administren o posean, la información que deba ser clasificada como información reservada por actualizar alguna causal de reserva señala en el artículo 140 de la Ley de la Materia, son responsables de aplicar la prueba de daño para demostrar que la divulgación de la información lesiona interés jurídicamente protegido por la Ley, y que el menoscabo o daño que puede producirse con la publicidad de la información es mayor que el interés de conocerla.</w:t>
      </w:r>
    </w:p>
    <w:p w14:paraId="566F9A0A" w14:textId="77777777" w:rsidR="000B2A76" w:rsidRPr="0017463B" w:rsidRDefault="000B2A76" w:rsidP="000B2A76">
      <w:pPr>
        <w:spacing w:line="360" w:lineRule="auto"/>
        <w:jc w:val="both"/>
        <w:rPr>
          <w:rFonts w:ascii="Palatino Linotype" w:hAnsi="Palatino Linotype"/>
          <w:b/>
          <w:sz w:val="24"/>
          <w:szCs w:val="24"/>
        </w:rPr>
      </w:pPr>
      <w:r w:rsidRPr="0017463B">
        <w:rPr>
          <w:rFonts w:ascii="Palatino Linotype" w:hAnsi="Palatino Linotype"/>
          <w:sz w:val="24"/>
          <w:szCs w:val="24"/>
        </w:rPr>
        <w:lastRenderedPageBreak/>
        <w:t xml:space="preserve">Esto es, que, a través de la prueba de daño, </w:t>
      </w:r>
      <w:r w:rsidRPr="0017463B">
        <w:rPr>
          <w:rFonts w:ascii="Palatino Linotype" w:hAnsi="Palatino Linotype"/>
          <w:b/>
          <w:sz w:val="24"/>
          <w:szCs w:val="24"/>
        </w:rPr>
        <w:t xml:space="preserve">los sujetos obligados expongan las razones, motivos o circunstancias especiales que los lleven a concluir que la información adquiere el carácter de reservada, y se ajusta a los supuestos previstos en la normatividad como fundamento. </w:t>
      </w:r>
    </w:p>
    <w:p w14:paraId="12754C4D" w14:textId="77777777" w:rsidR="00D36CD9" w:rsidRPr="0017463B" w:rsidRDefault="000B2A76" w:rsidP="000B2A76">
      <w:pPr>
        <w:spacing w:before="240" w:after="240" w:line="360" w:lineRule="auto"/>
        <w:jc w:val="both"/>
        <w:rPr>
          <w:rFonts w:ascii="Palatino Linotype" w:hAnsi="Palatino Linotype"/>
          <w:sz w:val="24"/>
          <w:szCs w:val="24"/>
        </w:rPr>
      </w:pPr>
      <w:r w:rsidRPr="0017463B">
        <w:rPr>
          <w:rFonts w:ascii="Palatino Linotype" w:hAnsi="Palatino Linotype"/>
          <w:sz w:val="24"/>
          <w:szCs w:val="24"/>
        </w:rPr>
        <w:t>Por lo que, en opinión de la Suscrita, y en términos de lo dispuesto por la normatividad en la materia, son los Sujetos Obligados, deben aportar los elementos para desarrollar la prueba de daño necesaria y suficiente, a fin de garantizar la reserva de información y la adecuada temporalidad de esta, aportando elementos n</w:t>
      </w:r>
      <w:r w:rsidR="00D36CD9" w:rsidRPr="0017463B">
        <w:rPr>
          <w:rFonts w:ascii="Palatino Linotype" w:hAnsi="Palatino Linotype"/>
          <w:sz w:val="24"/>
          <w:szCs w:val="24"/>
        </w:rPr>
        <w:t xml:space="preserve">ecesarios para su clasificación. </w:t>
      </w:r>
    </w:p>
    <w:p w14:paraId="38FCD135" w14:textId="77777777" w:rsidR="000B2A76" w:rsidRPr="0017463B" w:rsidRDefault="000B2A76" w:rsidP="000B2A76">
      <w:pPr>
        <w:spacing w:before="240" w:after="240" w:line="360" w:lineRule="auto"/>
        <w:jc w:val="both"/>
        <w:rPr>
          <w:rFonts w:ascii="Palatino Linotype" w:hAnsi="Palatino Linotype"/>
          <w:sz w:val="24"/>
          <w:szCs w:val="24"/>
        </w:rPr>
      </w:pPr>
      <w:r w:rsidRPr="0017463B">
        <w:rPr>
          <w:rFonts w:ascii="Palatino Linotype" w:hAnsi="Palatino Linotype"/>
          <w:sz w:val="24"/>
          <w:szCs w:val="24"/>
        </w:rPr>
        <w:t xml:space="preserve">Lo expuesto, constituyen las razones y fundamentos que me llevan a emitir la opinión particular que se ha expresado. </w:t>
      </w:r>
    </w:p>
    <w:p w14:paraId="55F2B0AD" w14:textId="77777777" w:rsidR="000B2A76" w:rsidRPr="0017463B" w:rsidRDefault="000B2A76" w:rsidP="000B2A76">
      <w:pPr>
        <w:spacing w:before="240" w:after="240" w:line="360" w:lineRule="auto"/>
        <w:jc w:val="both"/>
        <w:rPr>
          <w:rFonts w:ascii="Palatino Linotype" w:hAnsi="Palatino Linotype"/>
          <w:sz w:val="23"/>
          <w:szCs w:val="23"/>
        </w:rPr>
      </w:pPr>
    </w:p>
    <w:p w14:paraId="5A70AF31" w14:textId="77777777" w:rsidR="000B2A76" w:rsidRPr="0017463B" w:rsidRDefault="000B2A76" w:rsidP="000B2A76">
      <w:pPr>
        <w:spacing w:before="240" w:after="240" w:line="360" w:lineRule="auto"/>
        <w:jc w:val="both"/>
        <w:rPr>
          <w:rFonts w:ascii="Palatino Linotype" w:hAnsi="Palatino Linotype"/>
          <w:sz w:val="23"/>
          <w:szCs w:val="23"/>
        </w:rPr>
        <w:sectPr w:rsidR="000B2A76" w:rsidRPr="0017463B" w:rsidSect="00FB2266">
          <w:headerReference w:type="even" r:id="rId8"/>
          <w:headerReference w:type="default" r:id="rId9"/>
          <w:footerReference w:type="default" r:id="rId10"/>
          <w:headerReference w:type="first" r:id="rId11"/>
          <w:pgSz w:w="12240" w:h="15840"/>
          <w:pgMar w:top="1983" w:right="1327" w:bottom="2836" w:left="1985" w:header="709" w:footer="586" w:gutter="0"/>
          <w:cols w:space="708"/>
          <w:docGrid w:linePitch="360"/>
        </w:sectPr>
      </w:pPr>
    </w:p>
    <w:p w14:paraId="2FFDDC8B" w14:textId="77777777" w:rsidR="000B2A76" w:rsidRPr="0017463B" w:rsidRDefault="000B2A76" w:rsidP="000B2A76">
      <w:pPr>
        <w:spacing w:before="240" w:after="240" w:line="360" w:lineRule="auto"/>
        <w:jc w:val="both"/>
        <w:rPr>
          <w:rFonts w:ascii="Palatino Linotype" w:hAnsi="Palatino Linotype"/>
          <w:sz w:val="23"/>
          <w:szCs w:val="23"/>
        </w:rPr>
      </w:pPr>
    </w:p>
    <w:p w14:paraId="39028FFF" w14:textId="77777777" w:rsidR="000B2A76" w:rsidRPr="0017463B" w:rsidRDefault="000B2A76" w:rsidP="000B2A76">
      <w:pPr>
        <w:spacing w:before="240" w:after="240" w:line="360" w:lineRule="auto"/>
        <w:jc w:val="center"/>
        <w:rPr>
          <w:rFonts w:ascii="Palatino Linotype" w:hAnsi="Palatino Linotype"/>
          <w:b/>
          <w:sz w:val="23"/>
          <w:szCs w:val="23"/>
        </w:rPr>
      </w:pPr>
    </w:p>
    <w:p w14:paraId="325AF8C3" w14:textId="77777777" w:rsidR="000B2A76" w:rsidRPr="0017463B" w:rsidRDefault="000B2A76" w:rsidP="000B2A76">
      <w:pPr>
        <w:spacing w:after="0" w:line="240" w:lineRule="auto"/>
        <w:jc w:val="center"/>
        <w:rPr>
          <w:rFonts w:ascii="Palatino Linotype" w:hAnsi="Palatino Linotype"/>
          <w:sz w:val="23"/>
          <w:szCs w:val="23"/>
        </w:rPr>
      </w:pPr>
    </w:p>
    <w:p w14:paraId="6706237C" w14:textId="77777777" w:rsidR="000B2A76" w:rsidRPr="0017463B" w:rsidRDefault="000B2A76" w:rsidP="000B2A76">
      <w:pPr>
        <w:spacing w:before="240" w:after="240" w:line="360" w:lineRule="auto"/>
        <w:rPr>
          <w:rFonts w:ascii="Palatino Linotype" w:hAnsi="Palatino Linotype"/>
          <w:sz w:val="24"/>
          <w:szCs w:val="24"/>
        </w:rPr>
      </w:pPr>
    </w:p>
    <w:p w14:paraId="718C334C" w14:textId="77777777" w:rsidR="000B2A76" w:rsidRPr="0017463B" w:rsidRDefault="000B2A76" w:rsidP="000B2A76">
      <w:pPr>
        <w:rPr>
          <w:rFonts w:ascii="Palatino Linotype" w:hAnsi="Palatino Linotype"/>
        </w:rPr>
      </w:pPr>
    </w:p>
    <w:p w14:paraId="2A98CFFD" w14:textId="77777777" w:rsidR="000B2A76" w:rsidRPr="0017463B" w:rsidRDefault="000B2A76" w:rsidP="000B2A76">
      <w:pPr>
        <w:rPr>
          <w:rFonts w:ascii="Palatino Linotype" w:hAnsi="Palatino Linotype"/>
        </w:rPr>
      </w:pPr>
    </w:p>
    <w:p w14:paraId="436FED9C" w14:textId="77777777" w:rsidR="00A1078F" w:rsidRPr="0017463B" w:rsidRDefault="00597039">
      <w:pPr>
        <w:rPr>
          <w:rFonts w:ascii="Palatino Linotype" w:hAnsi="Palatino Linotype"/>
        </w:rPr>
      </w:pPr>
    </w:p>
    <w:sectPr w:rsidR="00A1078F" w:rsidRPr="0017463B" w:rsidSect="00115CE3">
      <w:headerReference w:type="default" r:id="rId12"/>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62D2E" w14:textId="77777777" w:rsidR="004B4A59" w:rsidRDefault="004B4A59" w:rsidP="000B2A76">
      <w:pPr>
        <w:spacing w:after="0" w:line="240" w:lineRule="auto"/>
      </w:pPr>
      <w:r>
        <w:separator/>
      </w:r>
    </w:p>
  </w:endnote>
  <w:endnote w:type="continuationSeparator" w:id="0">
    <w:p w14:paraId="7096F606" w14:textId="77777777" w:rsidR="004B4A59" w:rsidRDefault="004B4A59" w:rsidP="000B2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4F044" w14:textId="77777777" w:rsidR="00765456" w:rsidRPr="00986599" w:rsidRDefault="00E1501A" w:rsidP="0076545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9233E8">
      <w:rPr>
        <w:rFonts w:ascii="Arial" w:hAnsi="Arial" w:cs="Arial"/>
        <w:b/>
        <w:bCs/>
        <w:noProof/>
        <w:sz w:val="20"/>
        <w:szCs w:val="20"/>
      </w:rPr>
      <w:t>9</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9233E8">
      <w:rPr>
        <w:rFonts w:ascii="Arial" w:hAnsi="Arial" w:cs="Arial"/>
        <w:b/>
        <w:bCs/>
        <w:noProof/>
        <w:sz w:val="20"/>
        <w:szCs w:val="20"/>
      </w:rPr>
      <w:t>10</w:t>
    </w:r>
    <w:r w:rsidRPr="00986599">
      <w:rPr>
        <w:rFonts w:ascii="Arial" w:hAnsi="Arial" w:cs="Arial"/>
        <w:b/>
        <w:bCs/>
        <w:sz w:val="20"/>
        <w:szCs w:val="20"/>
      </w:rPr>
      <w:fldChar w:fldCharType="end"/>
    </w:r>
  </w:p>
  <w:p w14:paraId="2B623C9B" w14:textId="77777777" w:rsidR="00D758BE" w:rsidRDefault="00597039" w:rsidP="0099699B">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79B37" w14:textId="77777777" w:rsidR="004B4A59" w:rsidRDefault="004B4A59" w:rsidP="000B2A76">
      <w:pPr>
        <w:spacing w:after="0" w:line="240" w:lineRule="auto"/>
      </w:pPr>
      <w:r>
        <w:separator/>
      </w:r>
    </w:p>
  </w:footnote>
  <w:footnote w:type="continuationSeparator" w:id="0">
    <w:p w14:paraId="5C3F1585" w14:textId="77777777" w:rsidR="004B4A59" w:rsidRDefault="004B4A59" w:rsidP="000B2A76">
      <w:pPr>
        <w:spacing w:after="0" w:line="240" w:lineRule="auto"/>
      </w:pPr>
      <w:r>
        <w:continuationSeparator/>
      </w:r>
    </w:p>
  </w:footnote>
  <w:footnote w:id="1">
    <w:p w14:paraId="2DDE1CC5" w14:textId="77777777" w:rsidR="009D4C09" w:rsidRDefault="009D4C09" w:rsidP="00597039">
      <w:pPr>
        <w:pBdr>
          <w:top w:val="nil"/>
          <w:left w:val="nil"/>
          <w:bottom w:val="nil"/>
          <w:right w:val="nil"/>
          <w:between w:val="nil"/>
        </w:pBdr>
        <w:spacing w:after="0" w:line="240" w:lineRule="auto"/>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3D0283EA" w14:textId="77777777" w:rsidR="009D4C09" w:rsidRDefault="009D4C09" w:rsidP="00597039">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D35CB" w14:textId="77777777" w:rsidR="00D758BE" w:rsidRDefault="00597039">
    <w:pPr>
      <w:pStyle w:val="Encabezado"/>
    </w:pPr>
    <w:r>
      <w:rPr>
        <w:noProof/>
      </w:rPr>
      <w:pict w14:anchorId="2C6641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848782" o:spid="_x0000_s1025" type="#_x0000_t136" style="position:absolute;margin-left:0;margin-top:0;width:518.25pt;height:111.05pt;rotation:315;z-index:-251658240;mso-position-horizontal:center;mso-position-horizontal-relative:margin;mso-position-vertical:center;mso-position-vertical-relative:margin" o:allowincell="f" fillcolor="#c45911 [2405]" stroked="f">
          <v:fill opacity=".5"/>
          <v:textpath style="font-family:&quot;Calibri&quot;;font-size:1pt" string="VOTO PARTICULAR "/>
          <w10:wrap anchorx="margin" anchory="margin"/>
        </v:shape>
      </w:pict>
    </w:r>
    <w:r w:rsidR="00E1501A">
      <w:rPr>
        <w:noProof/>
        <w:lang w:val="es-MX" w:eastAsia="es-MX"/>
      </w:rPr>
      <mc:AlternateContent>
        <mc:Choice Requires="wps">
          <w:drawing>
            <wp:anchor distT="0" distB="0" distL="114300" distR="114300" simplePos="0" relativeHeight="251659264" behindDoc="1" locked="0" layoutInCell="0" allowOverlap="1" wp14:anchorId="69ECFAEF" wp14:editId="43639EAE">
              <wp:simplePos x="0" y="0"/>
              <wp:positionH relativeFrom="margin">
                <wp:align>center</wp:align>
              </wp:positionH>
              <wp:positionV relativeFrom="margin">
                <wp:align>center</wp:align>
              </wp:positionV>
              <wp:extent cx="5810250" cy="1668780"/>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16687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7336D03" w14:textId="77777777" w:rsidR="00707B13" w:rsidRDefault="00E1501A"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9ECFAEF" id="_x0000_t202" coordsize="21600,21600" o:spt="202" path="m,l,21600r21600,l21600,xe">
              <v:stroke joinstyle="miter"/>
              <v:path gradientshapeok="t" o:connecttype="rect"/>
            </v:shapetype>
            <v:shape id="Cuadro de texto 2" o:spid="_x0000_s1026" type="#_x0000_t202" style="position:absolute;margin-left:0;margin-top:0;width:457.5pt;height:131.4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" o:allowincell="f" filled="f" stroked="f">
              <v:stroke joinstyle="round"/>
              <o:lock v:ext="edit" shapetype="t"/>
              <v:textbox style="mso-fit-shape-to-text:t">
                <w:txbxContent>
                  <w:p w14:paraId="47336D03" w14:textId="77777777" w:rsidR="00707B13" w:rsidRDefault="00E1501A"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B3C8C" w14:textId="77777777" w:rsidR="00D758BE" w:rsidRPr="000D4A99" w:rsidRDefault="00E1501A" w:rsidP="00EF5FC0">
    <w:pPr>
      <w:pStyle w:val="Encabezado"/>
      <w:ind w:left="1843"/>
      <w:jc w:val="right"/>
      <w:rPr>
        <w:rFonts w:ascii="Arial" w:hAnsi="Arial" w:cs="Arial"/>
        <w:sz w:val="20"/>
        <w:szCs w:val="20"/>
      </w:rPr>
    </w:pPr>
    <w:r w:rsidRPr="000D4A99">
      <w:rPr>
        <w:noProof/>
        <w:lang w:val="es-MX" w:eastAsia="es-MX"/>
      </w:rPr>
      <w:drawing>
        <wp:anchor distT="0" distB="0" distL="114300" distR="114300" simplePos="0" relativeHeight="251660288" behindDoc="1" locked="0" layoutInCell="1" allowOverlap="1" wp14:anchorId="5FCB5CB7" wp14:editId="17B0BAB7">
          <wp:simplePos x="0" y="0"/>
          <wp:positionH relativeFrom="column">
            <wp:posOffset>-1114014</wp:posOffset>
          </wp:positionH>
          <wp:positionV relativeFrom="paragraph">
            <wp:posOffset>-449580</wp:posOffset>
          </wp:positionV>
          <wp:extent cx="7510628" cy="9883775"/>
          <wp:effectExtent l="0" t="0" r="0" b="3175"/>
          <wp:wrapNone/>
          <wp:docPr id="1" name="Imagen 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4D9EAF9C" w14:textId="58D21998" w:rsidR="00706042" w:rsidRPr="00FB2266" w:rsidRDefault="00E1501A" w:rsidP="00352C9D">
    <w:pPr>
      <w:pStyle w:val="Encabezado"/>
      <w:tabs>
        <w:tab w:val="left" w:pos="5685"/>
        <w:tab w:val="right" w:pos="8928"/>
      </w:tabs>
      <w:rPr>
        <w:rFonts w:ascii="Palatino Linotype" w:hAnsi="Palatino Linotype" w:cs="Arial"/>
        <w:b/>
        <w:sz w:val="22"/>
        <w:szCs w:val="22"/>
      </w:rPr>
    </w:pPr>
    <w:r>
      <w:rPr>
        <w:rFonts w:ascii="Palatino Linotype" w:hAnsi="Palatino Linotype" w:cs="Arial"/>
        <w:b/>
        <w:sz w:val="20"/>
        <w:szCs w:val="20"/>
      </w:rPr>
      <w:tab/>
    </w:r>
    <w:r>
      <w:rPr>
        <w:rFonts w:ascii="Palatino Linotype" w:hAnsi="Palatino Linotype" w:cs="Arial"/>
        <w:b/>
        <w:sz w:val="20"/>
        <w:szCs w:val="20"/>
      </w:rPr>
      <w:tab/>
    </w:r>
    <w:r>
      <w:rPr>
        <w:rFonts w:ascii="Palatino Linotype" w:hAnsi="Palatino Linotype" w:cs="Arial"/>
        <w:b/>
        <w:sz w:val="20"/>
        <w:szCs w:val="20"/>
      </w:rPr>
      <w:tab/>
    </w:r>
    <w:r w:rsidR="00FC5E97" w:rsidRPr="00FB2266">
      <w:rPr>
        <w:rFonts w:ascii="Palatino Linotype" w:hAnsi="Palatino Linotype" w:cs="Arial"/>
        <w:b/>
        <w:sz w:val="22"/>
        <w:szCs w:val="22"/>
      </w:rPr>
      <w:t>O</w:t>
    </w:r>
    <w:r w:rsidR="00FC5E97">
      <w:rPr>
        <w:rFonts w:ascii="Palatino Linotype" w:hAnsi="Palatino Linotype" w:cs="Arial"/>
        <w:b/>
        <w:sz w:val="22"/>
        <w:szCs w:val="22"/>
      </w:rPr>
      <w:t>PINIÓN PARTICULAR</w:t>
    </w:r>
    <w:r w:rsidR="00FC5E97" w:rsidRPr="00FB2266">
      <w:rPr>
        <w:rFonts w:ascii="Palatino Linotype" w:hAnsi="Palatino Linotype" w:cs="Arial"/>
        <w:b/>
        <w:sz w:val="22"/>
        <w:szCs w:val="22"/>
      </w:rPr>
      <w:t xml:space="preserve"> </w:t>
    </w:r>
  </w:p>
  <w:p w14:paraId="784D0797" w14:textId="77777777" w:rsidR="00567452" w:rsidRDefault="00E1501A" w:rsidP="00EF5FC0">
    <w:pPr>
      <w:pStyle w:val="Encabezado"/>
      <w:ind w:left="1134"/>
      <w:jc w:val="right"/>
      <w:rPr>
        <w:rFonts w:ascii="Palatino Linotype" w:hAnsi="Palatino Linotype" w:cs="Arial"/>
        <w:b/>
        <w:sz w:val="22"/>
        <w:szCs w:val="22"/>
      </w:rPr>
    </w:pPr>
    <w:r w:rsidRPr="00FB2266">
      <w:rPr>
        <w:rFonts w:ascii="Palatino Linotype" w:hAnsi="Palatino Linotype" w:cs="Arial"/>
        <w:b/>
        <w:sz w:val="22"/>
        <w:szCs w:val="22"/>
      </w:rPr>
      <w:t>RECURSO DE REVISIÓN 0</w:t>
    </w:r>
    <w:r w:rsidR="00FC5E97">
      <w:rPr>
        <w:rFonts w:ascii="Palatino Linotype" w:hAnsi="Palatino Linotype" w:cs="Arial"/>
        <w:b/>
        <w:sz w:val="22"/>
        <w:szCs w:val="22"/>
      </w:rPr>
      <w:t>5</w:t>
    </w:r>
    <w:r w:rsidR="000E6D64">
      <w:rPr>
        <w:rFonts w:ascii="Palatino Linotype" w:hAnsi="Palatino Linotype" w:cs="Arial"/>
        <w:b/>
        <w:sz w:val="22"/>
        <w:szCs w:val="22"/>
      </w:rPr>
      <w:t>57</w:t>
    </w:r>
    <w:r w:rsidR="00FC5E97">
      <w:rPr>
        <w:rFonts w:ascii="Palatino Linotype" w:hAnsi="Palatino Linotype" w:cs="Arial"/>
        <w:b/>
        <w:sz w:val="22"/>
        <w:szCs w:val="22"/>
      </w:rPr>
      <w:t>1</w:t>
    </w:r>
    <w:r w:rsidRPr="00FB2266">
      <w:rPr>
        <w:rFonts w:ascii="Palatino Linotype" w:hAnsi="Palatino Linotype" w:cs="Arial"/>
        <w:b/>
        <w:sz w:val="22"/>
        <w:szCs w:val="22"/>
      </w:rPr>
      <w:t>/INFOEM/IP/RR/2022</w:t>
    </w:r>
  </w:p>
  <w:p w14:paraId="5BC3CAF6" w14:textId="48BAB92B" w:rsidR="00233AB2" w:rsidRPr="00475038" w:rsidRDefault="00567452" w:rsidP="00EF5FC0">
    <w:pPr>
      <w:pStyle w:val="Encabezado"/>
      <w:ind w:left="1134"/>
      <w:jc w:val="right"/>
      <w:rPr>
        <w:rFonts w:ascii="Palatino Linotype" w:hAnsi="Palatino Linotype" w:cs="Arial"/>
        <w:b/>
        <w:sz w:val="18"/>
        <w:szCs w:val="18"/>
      </w:rPr>
    </w:pPr>
    <w:r>
      <w:rPr>
        <w:rFonts w:ascii="Palatino Linotype" w:hAnsi="Palatino Linotype" w:cs="Arial"/>
        <w:b/>
        <w:sz w:val="22"/>
        <w:szCs w:val="22"/>
      </w:rPr>
      <w:t>Y ACUMULADOS</w:t>
    </w:r>
  </w:p>
  <w:p w14:paraId="014E30AA" w14:textId="77777777" w:rsidR="000B1C1F" w:rsidRPr="000D4A99" w:rsidRDefault="00597039" w:rsidP="00FB2266">
    <w:pPr>
      <w:pStyle w:val="Encabezado"/>
      <w:jc w:val="center"/>
      <w:rPr>
        <w:rFonts w:ascii="Palatino Linotype" w:hAnsi="Palatino Linotype"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28301" w14:textId="77777777" w:rsidR="00D758BE" w:rsidRDefault="00597039">
    <w:pPr>
      <w:pStyle w:val="Encabezado"/>
    </w:pPr>
    <w:r>
      <w:rPr>
        <w:noProof/>
      </w:rPr>
      <w:pict w14:anchorId="71F7B6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848781" o:spid="_x0000_s1026" type="#_x0000_t136" style="position:absolute;margin-left:0;margin-top:0;width:518.25pt;height:111.05pt;rotation:315;z-index:-251654144;mso-position-horizontal:center;mso-position-horizontal-relative:margin;mso-position-vertical:center;mso-position-vertical-relative:margin" o:allowincell="f" fillcolor="#c45911 [2405]" stroked="f">
          <v:fill opacity=".5"/>
          <v:textpath style="font-family:&quot;Calibri&quot;;font-size:1pt" string="VOTO PARTICULAR "/>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F79A1" w14:textId="77777777" w:rsidR="00F029C2" w:rsidRPr="000D4A99" w:rsidRDefault="00597039" w:rsidP="007263BB">
    <w:pPr>
      <w:pStyle w:val="Encabezado"/>
      <w:jc w:val="right"/>
      <w:rPr>
        <w:rFonts w:ascii="Arial" w:hAnsi="Arial" w:cs="Arial"/>
        <w:sz w:val="20"/>
        <w:szCs w:val="20"/>
      </w:rPr>
    </w:pPr>
  </w:p>
  <w:p w14:paraId="2C2A0A74" w14:textId="77777777" w:rsidR="00F029C2" w:rsidRPr="000D4A99" w:rsidRDefault="00597039" w:rsidP="007263BB">
    <w:pPr>
      <w:pStyle w:val="Encabezado"/>
      <w:jc w:val="right"/>
      <w:rPr>
        <w:rFonts w:ascii="Arial" w:hAnsi="Arial" w:cs="Arial"/>
        <w:sz w:val="20"/>
        <w:szCs w:val="20"/>
      </w:rPr>
    </w:pPr>
  </w:p>
  <w:p w14:paraId="63DFCC5F" w14:textId="77777777" w:rsidR="00F029C2" w:rsidRPr="000D4A99" w:rsidRDefault="00597039" w:rsidP="007263BB">
    <w:pPr>
      <w:pStyle w:val="Encabezado"/>
      <w:jc w:val="right"/>
      <w:rPr>
        <w:rFonts w:ascii="Arial" w:hAnsi="Arial" w:cs="Arial"/>
        <w:sz w:val="20"/>
        <w:szCs w:val="20"/>
      </w:rPr>
    </w:pPr>
  </w:p>
  <w:p w14:paraId="1BB03640" w14:textId="77777777" w:rsidR="00F029C2" w:rsidRPr="000D4A99" w:rsidRDefault="00E1501A" w:rsidP="00F029C2">
    <w:pPr>
      <w:pStyle w:val="Encabezado"/>
      <w:tabs>
        <w:tab w:val="left" w:pos="5685"/>
        <w:tab w:val="right" w:pos="8928"/>
      </w:tabs>
      <w:rPr>
        <w:rFonts w:ascii="Palatino Linotype" w:hAnsi="Palatino Linotype" w:cs="Arial"/>
        <w:b/>
        <w:sz w:val="20"/>
        <w:szCs w:val="20"/>
      </w:rPr>
    </w:pPr>
    <w:r>
      <w:rPr>
        <w:rFonts w:ascii="Palatino Linotype" w:hAnsi="Palatino Linotype" w:cs="Arial"/>
        <w:b/>
        <w:sz w:val="20"/>
        <w:szCs w:val="20"/>
      </w:rPr>
      <w:tab/>
    </w:r>
    <w:r>
      <w:rPr>
        <w:rFonts w:ascii="Palatino Linotype" w:hAnsi="Palatino Linotype" w:cs="Arial"/>
        <w:b/>
        <w:sz w:val="20"/>
        <w:szCs w:val="20"/>
      </w:rPr>
      <w:tab/>
    </w:r>
    <w:r>
      <w:rPr>
        <w:rFonts w:ascii="Palatino Linotype" w:hAnsi="Palatino Linotype" w:cs="Arial"/>
        <w:b/>
        <w:sz w:val="20"/>
        <w:szCs w:val="20"/>
      </w:rPr>
      <w:tab/>
    </w:r>
  </w:p>
  <w:p w14:paraId="521DF1A4" w14:textId="77777777" w:rsidR="00F029C2" w:rsidRPr="000D4A99" w:rsidRDefault="00597039" w:rsidP="007263BB">
    <w:pPr>
      <w:pStyle w:val="Encabezado"/>
      <w:jc w:val="right"/>
      <w:rPr>
        <w:rFonts w:ascii="Palatino Linotype" w:hAnsi="Palatino Linotype" w:cs="Arial"/>
        <w:sz w:val="20"/>
        <w:szCs w:val="20"/>
      </w:rPr>
    </w:pPr>
  </w:p>
  <w:p w14:paraId="61CC09DA" w14:textId="77777777" w:rsidR="00F029C2" w:rsidRPr="000D4A99" w:rsidRDefault="00597039" w:rsidP="007263BB">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053B32"/>
    <w:multiLevelType w:val="hybridMultilevel"/>
    <w:tmpl w:val="631E01BE"/>
    <w:lvl w:ilvl="0" w:tplc="311EB3D2">
      <w:start w:val="1"/>
      <w:numFmt w:val="bullet"/>
      <w:lvlText w:val="-"/>
      <w:lvlJc w:val="left"/>
      <w:pPr>
        <w:ind w:left="1080" w:hanging="360"/>
      </w:pPr>
      <w:rPr>
        <w:rFonts w:ascii="Palatino Linotype" w:eastAsia="Times New Roman" w:hAnsi="Palatino Linotype" w:cs="Tahoma"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243C5828"/>
    <w:multiLevelType w:val="hybridMultilevel"/>
    <w:tmpl w:val="975668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0241F69"/>
    <w:multiLevelType w:val="hybridMultilevel"/>
    <w:tmpl w:val="51520A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647129A"/>
    <w:multiLevelType w:val="hybridMultilevel"/>
    <w:tmpl w:val="B170B8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72F31AE"/>
    <w:multiLevelType w:val="hybridMultilevel"/>
    <w:tmpl w:val="27C072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3CFA7250"/>
    <w:multiLevelType w:val="hybridMultilevel"/>
    <w:tmpl w:val="E8B29E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A2B2288"/>
    <w:multiLevelType w:val="hybridMultilevel"/>
    <w:tmpl w:val="DC1259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7CB5B89"/>
    <w:multiLevelType w:val="hybridMultilevel"/>
    <w:tmpl w:val="72E2B4A8"/>
    <w:lvl w:ilvl="0" w:tplc="73BECC70">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5F644CED"/>
    <w:multiLevelType w:val="hybridMultilevel"/>
    <w:tmpl w:val="DA4AFA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207702A"/>
    <w:multiLevelType w:val="hybridMultilevel"/>
    <w:tmpl w:val="AA04E5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E772129"/>
    <w:multiLevelType w:val="hybridMultilevel"/>
    <w:tmpl w:val="60341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52B3F4D"/>
    <w:multiLevelType w:val="hybridMultilevel"/>
    <w:tmpl w:val="7C2C46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58C3F8A"/>
    <w:multiLevelType w:val="hybridMultilevel"/>
    <w:tmpl w:val="9F806CC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15:restartNumberingAfterBreak="0">
    <w:nsid w:val="779736FD"/>
    <w:multiLevelType w:val="hybridMultilevel"/>
    <w:tmpl w:val="6BEA50B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16cid:durableId="1648127951">
    <w:abstractNumId w:val="2"/>
  </w:num>
  <w:num w:numId="2" w16cid:durableId="826746648">
    <w:abstractNumId w:val="0"/>
  </w:num>
  <w:num w:numId="3" w16cid:durableId="1182158969">
    <w:abstractNumId w:val="6"/>
  </w:num>
  <w:num w:numId="4" w16cid:durableId="196241123">
    <w:abstractNumId w:val="10"/>
  </w:num>
  <w:num w:numId="5" w16cid:durableId="1036660108">
    <w:abstractNumId w:val="9"/>
  </w:num>
  <w:num w:numId="6" w16cid:durableId="708186929">
    <w:abstractNumId w:val="8"/>
  </w:num>
  <w:num w:numId="7" w16cid:durableId="297801176">
    <w:abstractNumId w:val="3"/>
  </w:num>
  <w:num w:numId="8" w16cid:durableId="397363902">
    <w:abstractNumId w:val="4"/>
  </w:num>
  <w:num w:numId="9" w16cid:durableId="1846507940">
    <w:abstractNumId w:val="11"/>
  </w:num>
  <w:num w:numId="10" w16cid:durableId="2081511974">
    <w:abstractNumId w:val="12"/>
  </w:num>
  <w:num w:numId="11" w16cid:durableId="1695576438">
    <w:abstractNumId w:val="1"/>
  </w:num>
  <w:num w:numId="12" w16cid:durableId="81605894">
    <w:abstractNumId w:val="13"/>
  </w:num>
  <w:num w:numId="13" w16cid:durableId="131601115">
    <w:abstractNumId w:val="5"/>
  </w:num>
  <w:num w:numId="14" w16cid:durableId="1505632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A76"/>
    <w:rsid w:val="00011844"/>
    <w:rsid w:val="00043469"/>
    <w:rsid w:val="00081965"/>
    <w:rsid w:val="000B2A76"/>
    <w:rsid w:val="000C0506"/>
    <w:rsid w:val="000D4D54"/>
    <w:rsid w:val="000E6D64"/>
    <w:rsid w:val="0017463B"/>
    <w:rsid w:val="00176E66"/>
    <w:rsid w:val="00275288"/>
    <w:rsid w:val="002A05DA"/>
    <w:rsid w:val="002E2039"/>
    <w:rsid w:val="00386DCF"/>
    <w:rsid w:val="003F1B58"/>
    <w:rsid w:val="004645E8"/>
    <w:rsid w:val="004A63C4"/>
    <w:rsid w:val="004B4A59"/>
    <w:rsid w:val="004B71F3"/>
    <w:rsid w:val="004E2E23"/>
    <w:rsid w:val="004F61FD"/>
    <w:rsid w:val="00560B7A"/>
    <w:rsid w:val="00567452"/>
    <w:rsid w:val="00597039"/>
    <w:rsid w:val="005B18DE"/>
    <w:rsid w:val="006120BE"/>
    <w:rsid w:val="00655552"/>
    <w:rsid w:val="007213EF"/>
    <w:rsid w:val="00793FC9"/>
    <w:rsid w:val="00800878"/>
    <w:rsid w:val="00814D49"/>
    <w:rsid w:val="0081741B"/>
    <w:rsid w:val="008C34A9"/>
    <w:rsid w:val="008C438F"/>
    <w:rsid w:val="008E58A8"/>
    <w:rsid w:val="009233E8"/>
    <w:rsid w:val="00944F72"/>
    <w:rsid w:val="00953140"/>
    <w:rsid w:val="00977DEC"/>
    <w:rsid w:val="009D4C09"/>
    <w:rsid w:val="009F0FA7"/>
    <w:rsid w:val="00A0212F"/>
    <w:rsid w:val="00A22313"/>
    <w:rsid w:val="00A7025C"/>
    <w:rsid w:val="00AF1499"/>
    <w:rsid w:val="00AF53CA"/>
    <w:rsid w:val="00BA53BA"/>
    <w:rsid w:val="00BD6E2C"/>
    <w:rsid w:val="00C818A6"/>
    <w:rsid w:val="00D07D24"/>
    <w:rsid w:val="00D34FC5"/>
    <w:rsid w:val="00D36CD9"/>
    <w:rsid w:val="00D503BF"/>
    <w:rsid w:val="00DC2FB0"/>
    <w:rsid w:val="00DE162D"/>
    <w:rsid w:val="00E1501A"/>
    <w:rsid w:val="00EB4154"/>
    <w:rsid w:val="00EE5423"/>
    <w:rsid w:val="00EF5CE8"/>
    <w:rsid w:val="00F06A7B"/>
    <w:rsid w:val="00F13EF3"/>
    <w:rsid w:val="00F510B7"/>
    <w:rsid w:val="00F7678B"/>
    <w:rsid w:val="00FC5E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173C1"/>
  <w15:chartTrackingRefBased/>
  <w15:docId w15:val="{5DAAAEB7-2330-48E2-B1F4-879413DBF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A76"/>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2A76"/>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B2A7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B2A76"/>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B2A76"/>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B2A7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normaltextrun">
    <w:name w:val="normaltextrun"/>
    <w:basedOn w:val="Fuentedeprrafopredeter"/>
    <w:rsid w:val="000B2A76"/>
  </w:style>
  <w:style w:type="paragraph" w:styleId="Sinespaciado">
    <w:name w:val="No Spacing"/>
    <w:aliases w:val="Francesa"/>
    <w:link w:val="SinespaciadoCar"/>
    <w:uiPriority w:val="1"/>
    <w:qFormat/>
    <w:rsid w:val="000B2A7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0B2A76"/>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2A76"/>
    <w:pPr>
      <w:spacing w:after="0" w:line="240" w:lineRule="auto"/>
      <w:ind w:left="720"/>
      <w:contextualSpacing/>
    </w:pPr>
    <w:rPr>
      <w:rFonts w:ascii="Century Gothic" w:eastAsia="Times New Roman" w:hAnsi="Century Gothic" w:cs="Times New Roman"/>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0B2A76"/>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9F0F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38A8D-4804-439D-A4C8-35270628F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10</Pages>
  <Words>1930</Words>
  <Characters>10617</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VIRIDIANA SANTANA</cp:lastModifiedBy>
  <cp:revision>14</cp:revision>
  <cp:lastPrinted>2022-08-08T16:42:00Z</cp:lastPrinted>
  <dcterms:created xsi:type="dcterms:W3CDTF">2022-08-25T18:52:00Z</dcterms:created>
  <dcterms:modified xsi:type="dcterms:W3CDTF">2022-08-29T16:01:00Z</dcterms:modified>
</cp:coreProperties>
</file>