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A28" w:rsidRDefault="00A50245">
      <w:pPr>
        <w:spacing w:after="0" w:line="360" w:lineRule="auto"/>
        <w:ind w:right="139"/>
        <w:jc w:val="both"/>
        <w:rPr>
          <w:rFonts w:ascii="Palatino Linotype" w:eastAsia="Palatino Linotype" w:hAnsi="Palatino Linotype" w:cs="Palatino Linotype"/>
          <w:b/>
          <w:sz w:val="24"/>
          <w:szCs w:val="24"/>
          <w:highlight w:val="green"/>
        </w:rPr>
      </w:pPr>
      <w:bookmarkStart w:id="0" w:name="_heading=h.gjdgxs" w:colFirst="0" w:colLast="0"/>
      <w:bookmarkEnd w:id="0"/>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LA CUADRAGÉSIMA TERCERA SESIÓN ORDINARIA DEL TREINTA DE NOVIEMBRE DE DOS MIL VEINTIDÓS,</w:t>
      </w:r>
      <w:r w:rsidR="007F1D61" w:rsidRPr="007F1D61">
        <w:rPr>
          <w:rFonts w:ascii="Palatino Linotype" w:eastAsia="Palatino Linotype" w:hAnsi="Palatino Linotype" w:cs="Palatino Linotype"/>
          <w:b/>
          <w:sz w:val="24"/>
          <w:szCs w:val="24"/>
        </w:rPr>
        <w:t xml:space="preserve"> EN LOS</w:t>
      </w:r>
      <w:r w:rsidRPr="007F1D61">
        <w:rPr>
          <w:rFonts w:ascii="Palatino Linotype" w:eastAsia="Palatino Linotype" w:hAnsi="Palatino Linotype" w:cs="Palatino Linotype"/>
          <w:b/>
          <w:sz w:val="24"/>
          <w:szCs w:val="24"/>
        </w:rPr>
        <w:t xml:space="preserve"> RECURSO</w:t>
      </w:r>
      <w:r w:rsidR="007F1D61">
        <w:rPr>
          <w:rFonts w:ascii="Palatino Linotype" w:eastAsia="Palatino Linotype" w:hAnsi="Palatino Linotype" w:cs="Palatino Linotype"/>
          <w:b/>
          <w:sz w:val="24"/>
          <w:szCs w:val="24"/>
        </w:rPr>
        <w:t>S</w:t>
      </w:r>
      <w:r w:rsidR="007F1D61" w:rsidRPr="007F1D61">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t xml:space="preserve">DE REVISIÓN </w:t>
      </w:r>
      <w:r>
        <w:rPr>
          <w:rFonts w:ascii="Palatino Linotype" w:eastAsia="Palatino Linotype" w:hAnsi="Palatino Linotype" w:cs="Palatino Linotype"/>
          <w:b/>
          <w:color w:val="000000"/>
          <w:sz w:val="24"/>
          <w:szCs w:val="24"/>
        </w:rPr>
        <w:t>11336/INFOEM/IP/RR/2022, 11337/INFOEM/IP/RR/2022, 11338/INFOEM/IP/RR/2022 y 11340/INFOEM/IP/RR/2022</w:t>
      </w:r>
      <w:r w:rsidR="007F1D61">
        <w:rPr>
          <w:rFonts w:ascii="Palatino Linotype" w:eastAsia="Palatino Linotype" w:hAnsi="Palatino Linotype" w:cs="Palatino Linotype"/>
          <w:b/>
          <w:sz w:val="24"/>
          <w:szCs w:val="24"/>
        </w:rPr>
        <w:t>, ACUMULADOS.</w:t>
      </w:r>
    </w:p>
    <w:p w:rsidR="00391A28" w:rsidRDefault="00391A28">
      <w:pPr>
        <w:spacing w:after="0" w:line="360" w:lineRule="auto"/>
        <w:jc w:val="both"/>
        <w:rPr>
          <w:rFonts w:ascii="Palatino Linotype" w:eastAsia="Palatino Linotype" w:hAnsi="Palatino Linotype" w:cs="Palatino Linotype"/>
          <w:b/>
          <w:sz w:val="24"/>
          <w:szCs w:val="24"/>
          <w:highlight w:val="green"/>
        </w:rPr>
      </w:pPr>
    </w:p>
    <w:p w:rsidR="00391A28" w:rsidRDefault="00A5024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w:t>
      </w:r>
      <w:r w:rsidRPr="007F1D61">
        <w:rPr>
          <w:rFonts w:ascii="Palatino Linotype" w:eastAsia="Palatino Linotype" w:hAnsi="Palatino Linotype" w:cs="Palatino Linotype"/>
          <w:sz w:val="24"/>
          <w:szCs w:val="24"/>
        </w:rPr>
        <w:t xml:space="preserve">México y Municipios, aprobó por </w:t>
      </w:r>
      <w:r w:rsidR="007F1D61" w:rsidRPr="007F1D61">
        <w:rPr>
          <w:rFonts w:ascii="Palatino Linotype" w:eastAsia="Palatino Linotype" w:hAnsi="Palatino Linotype" w:cs="Palatino Linotype"/>
          <w:sz w:val="24"/>
          <w:szCs w:val="24"/>
        </w:rPr>
        <w:t xml:space="preserve">mayoría </w:t>
      </w:r>
      <w:r w:rsidRPr="007F1D61">
        <w:rPr>
          <w:rFonts w:ascii="Palatino Linotype" w:eastAsia="Palatino Linotype" w:hAnsi="Palatino Linotype" w:cs="Palatino Linotype"/>
          <w:sz w:val="24"/>
          <w:szCs w:val="24"/>
        </w:rPr>
        <w:t>de votos, la resol</w:t>
      </w:r>
      <w:r w:rsidRPr="007F1D61">
        <w:rPr>
          <w:rFonts w:ascii="Palatino Linotype" w:eastAsia="Palatino Linotype" w:hAnsi="Palatino Linotype" w:cs="Palatino Linotype"/>
          <w:sz w:val="24"/>
          <w:szCs w:val="24"/>
        </w:rPr>
        <w:t>ución relativa a</w:t>
      </w:r>
      <w:r w:rsidR="007F1D61" w:rsidRPr="007F1D61">
        <w:rPr>
          <w:rFonts w:ascii="Palatino Linotype" w:eastAsia="Palatino Linotype" w:hAnsi="Palatino Linotype" w:cs="Palatino Linotype"/>
          <w:sz w:val="24"/>
          <w:szCs w:val="24"/>
        </w:rPr>
        <w:t xml:space="preserve"> los</w:t>
      </w:r>
      <w:r w:rsidRPr="007F1D61">
        <w:rPr>
          <w:rFonts w:ascii="Palatino Linotype" w:eastAsia="Palatino Linotype" w:hAnsi="Palatino Linotype" w:cs="Palatino Linotype"/>
          <w:sz w:val="24"/>
          <w:szCs w:val="24"/>
        </w:rPr>
        <w:t xml:space="preserve"> recurso</w:t>
      </w:r>
      <w:r w:rsidR="007F1D61" w:rsidRPr="007F1D61">
        <w:rPr>
          <w:rFonts w:ascii="Palatino Linotype" w:eastAsia="Palatino Linotype" w:hAnsi="Palatino Linotype" w:cs="Palatino Linotype"/>
          <w:sz w:val="24"/>
          <w:szCs w:val="24"/>
        </w:rPr>
        <w:t>s</w:t>
      </w:r>
      <w:r w:rsidRPr="007F1D61">
        <w:rPr>
          <w:rFonts w:ascii="Palatino Linotype" w:eastAsia="Palatino Linotype" w:hAnsi="Palatino Linotype" w:cs="Palatino Linotype"/>
          <w:sz w:val="24"/>
          <w:szCs w:val="24"/>
        </w:rPr>
        <w:t xml:space="preserve"> de revisión </w:t>
      </w:r>
      <w:r w:rsidRPr="007F1D61">
        <w:rPr>
          <w:rFonts w:ascii="Palatino Linotype" w:eastAsia="Palatino Linotype" w:hAnsi="Palatino Linotype" w:cs="Palatino Linotype"/>
          <w:b/>
          <w:color w:val="000000"/>
          <w:sz w:val="24"/>
          <w:szCs w:val="24"/>
        </w:rPr>
        <w:t>11336/INFOEM/IP/RR/2022, 11337/INFOEM/IP/RR/2022, 11338/INFOEM/IP/RR/2022 y 11340/INFOEM</w:t>
      </w:r>
      <w:r w:rsidRPr="007F1D61">
        <w:rPr>
          <w:rFonts w:ascii="Palatino Linotype" w:eastAsia="Palatino Linotype" w:hAnsi="Palatino Linotype" w:cs="Palatino Linotype"/>
          <w:b/>
          <w:sz w:val="24"/>
          <w:szCs w:val="24"/>
        </w:rPr>
        <w:t>/</w:t>
      </w:r>
      <w:r w:rsidRPr="007F1D61">
        <w:rPr>
          <w:rFonts w:ascii="Palatino Linotype" w:eastAsia="Palatino Linotype" w:hAnsi="Palatino Linotype" w:cs="Palatino Linotype"/>
          <w:b/>
          <w:sz w:val="24"/>
          <w:szCs w:val="24"/>
        </w:rPr>
        <w:t>IP/RR/2022</w:t>
      </w:r>
      <w:r w:rsidRPr="007F1D61">
        <w:rPr>
          <w:rFonts w:ascii="Palatino Linotype" w:eastAsia="Palatino Linotype" w:hAnsi="Palatino Linotype" w:cs="Palatino Linotype"/>
          <w:sz w:val="24"/>
          <w:szCs w:val="24"/>
        </w:rPr>
        <w:t>,</w:t>
      </w:r>
      <w:r w:rsidR="007F1D61" w:rsidRPr="007F1D61">
        <w:rPr>
          <w:rFonts w:ascii="Palatino Linotype" w:eastAsia="Palatino Linotype" w:hAnsi="Palatino Linotype" w:cs="Palatino Linotype"/>
          <w:sz w:val="24"/>
          <w:szCs w:val="24"/>
        </w:rPr>
        <w:t xml:space="preserve"> acumulados,</w:t>
      </w:r>
      <w:r w:rsidRPr="007F1D61">
        <w:rPr>
          <w:rFonts w:ascii="Palatino Linotype" w:eastAsia="Palatino Linotype" w:hAnsi="Palatino Linotype" w:cs="Palatino Linotype"/>
          <w:sz w:val="24"/>
          <w:szCs w:val="24"/>
          <w:shd w:val="clear" w:color="auto" w:fill="FF9900"/>
        </w:rPr>
        <w:t xml:space="preserve"> </w:t>
      </w:r>
      <w:r w:rsidRPr="007F1D61">
        <w:rPr>
          <w:rFonts w:ascii="Palatino Linotype" w:eastAsia="Palatino Linotype" w:hAnsi="Palatino Linotype" w:cs="Palatino Linotype"/>
          <w:sz w:val="24"/>
          <w:szCs w:val="24"/>
        </w:rPr>
        <w:t xml:space="preserve">presentada por el </w:t>
      </w:r>
      <w:r w:rsidRPr="007F1D61">
        <w:rPr>
          <w:rFonts w:ascii="Palatino Linotype" w:eastAsia="Palatino Linotype" w:hAnsi="Palatino Linotype" w:cs="Palatino Linotype"/>
          <w:b/>
          <w:sz w:val="24"/>
          <w:szCs w:val="24"/>
        </w:rPr>
        <w:t>Comisionado Luis Gustavo Parra Noriega</w:t>
      </w:r>
      <w:r w:rsidRPr="007F1D61">
        <w:rPr>
          <w:rFonts w:ascii="Palatino Linotype" w:eastAsia="Palatino Linotype" w:hAnsi="Palatino Linotype" w:cs="Palatino Linotype"/>
          <w:sz w:val="24"/>
          <w:szCs w:val="24"/>
        </w:rPr>
        <w:t>, respecto de la cual, la</w:t>
      </w:r>
      <w:r>
        <w:rPr>
          <w:rFonts w:ascii="Palatino Linotype" w:eastAsia="Palatino Linotype" w:hAnsi="Palatino Linotype" w:cs="Palatino Linotype"/>
          <w:sz w:val="24"/>
          <w:szCs w:val="24"/>
        </w:rPr>
        <w:t xml:space="preserve">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b/>
          <w:sz w:val="24"/>
          <w:szCs w:val="24"/>
        </w:rPr>
        <w:t xml:space="preserve"> en cuanto al recurso de revisión </w:t>
      </w:r>
      <w:r>
        <w:rPr>
          <w:rFonts w:ascii="Palatino Linotype" w:eastAsia="Palatino Linotype" w:hAnsi="Palatino Linotype" w:cs="Palatino Linotype"/>
          <w:b/>
          <w:color w:val="000000"/>
        </w:rPr>
        <w:t>11340/INFOEM/IP/RR/2022</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391A28" w:rsidRDefault="00A5024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391A28" w:rsidRDefault="00A5024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que suscribe, comparte en esencia el sentido del</w:t>
      </w:r>
      <w:r>
        <w:rPr>
          <w:rFonts w:ascii="Palatino Linotype" w:eastAsia="Palatino Linotype" w:hAnsi="Palatino Linotype" w:cs="Palatino Linotype"/>
          <w:sz w:val="24"/>
          <w:szCs w:val="24"/>
        </w:rPr>
        <w:t xml:space="preserve">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En el caso concr</w:t>
      </w:r>
      <w:r>
        <w:rPr>
          <w:rFonts w:ascii="Palatino Linotype" w:eastAsia="Palatino Linotype" w:hAnsi="Palatino Linotype" w:cs="Palatino Linotype"/>
          <w:sz w:val="24"/>
          <w:szCs w:val="24"/>
        </w:rPr>
        <w:t xml:space="preserve">eto el hoy Recurrente requirió al Ayuntamiento de Tezoyuca, que en esencia se le proporcionara la siguiente información: </w:t>
      </w:r>
    </w:p>
    <w:p w:rsidR="00391A28" w:rsidRDefault="00A5024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391A28" w:rsidRDefault="00A50245">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“SOLICITO LA NOMINA COMPLETA DE TODOS LOS SERVIDORES PUBLICOS QUE LABORAN EN LA PRESENTE ADMINISTRACION DE LA PRIMERA Y SEGUNDA QUIN</w:t>
      </w:r>
      <w:r>
        <w:rPr>
          <w:rFonts w:ascii="Palatino Linotype" w:eastAsia="Palatino Linotype" w:hAnsi="Palatino Linotype" w:cs="Palatino Linotype"/>
          <w:i/>
        </w:rPr>
        <w:t>CENA DE LOS MESES DE MARZO, ABRIL DEL 2022. (Sic)</w:t>
      </w:r>
    </w:p>
    <w:p w:rsidR="00391A28" w:rsidRDefault="00391A28">
      <w:pPr>
        <w:spacing w:after="0" w:line="360" w:lineRule="auto"/>
        <w:jc w:val="both"/>
        <w:rPr>
          <w:rFonts w:ascii="Palatino Linotype" w:eastAsia="Palatino Linotype" w:hAnsi="Palatino Linotype" w:cs="Palatino Linotype"/>
          <w:b/>
          <w:sz w:val="24"/>
          <w:szCs w:val="24"/>
        </w:rPr>
      </w:pPr>
    </w:p>
    <w:p w:rsidR="00391A28" w:rsidRDefault="00A50245">
      <w:pPr>
        <w:spacing w:after="0" w:line="360" w:lineRule="auto"/>
        <w:ind w:right="139"/>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través de su Tesorera Municipal remite nueve recibos de nómina de tres servidores públicos que laboran en la administración municipal.</w:t>
      </w:r>
    </w:p>
    <w:p w:rsidR="00391A28" w:rsidRDefault="00A5024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w:t>
      </w:r>
    </w:p>
    <w:p w:rsidR="00391A28" w:rsidRDefault="00A5024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particular se inconforma en lo medular porq</w:t>
      </w:r>
      <w:r>
        <w:rPr>
          <w:rFonts w:ascii="Palatino Linotype" w:eastAsia="Palatino Linotype" w:hAnsi="Palatino Linotype" w:cs="Palatino Linotype"/>
          <w:sz w:val="24"/>
          <w:szCs w:val="24"/>
        </w:rPr>
        <w:t>ue la información es incompleta.</w:t>
      </w:r>
    </w:p>
    <w:p w:rsidR="00391A28" w:rsidRDefault="00391A28">
      <w:pPr>
        <w:spacing w:after="0" w:line="360" w:lineRule="auto"/>
        <w:ind w:left="567" w:right="539"/>
        <w:jc w:val="both"/>
        <w:rPr>
          <w:rFonts w:ascii="Palatino Linotype" w:eastAsia="Palatino Linotype" w:hAnsi="Palatino Linotype" w:cs="Palatino Linotype"/>
          <w:i/>
        </w:rPr>
      </w:pPr>
    </w:p>
    <w:p w:rsidR="00391A28" w:rsidRDefault="00A50245">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Ante la interposición del recurso de revisión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través de su informe justificado remitió diversos recibos de nómina pero testó todas las deducciones.</w:t>
      </w:r>
    </w:p>
    <w:p w:rsidR="00391A28" w:rsidRDefault="00391A28">
      <w:pPr>
        <w:spacing w:after="0" w:line="360" w:lineRule="auto"/>
        <w:ind w:right="139"/>
        <w:jc w:val="both"/>
        <w:rPr>
          <w:rFonts w:ascii="Palatino Linotype" w:eastAsia="Palatino Linotype" w:hAnsi="Palatino Linotype" w:cs="Palatino Linotype"/>
          <w:sz w:val="24"/>
          <w:szCs w:val="24"/>
        </w:rPr>
      </w:pPr>
    </w:p>
    <w:p w:rsidR="00391A28" w:rsidRDefault="00A50245">
      <w:pPr>
        <w:spacing w:after="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Por lo que, previo análisis de las constancias y de</w:t>
      </w:r>
      <w:r>
        <w:rPr>
          <w:rFonts w:ascii="Palatino Linotype" w:eastAsia="Palatino Linotype" w:hAnsi="Palatino Linotype" w:cs="Palatino Linotype"/>
          <w:sz w:val="24"/>
          <w:szCs w:val="24"/>
        </w:rPr>
        <w:t xml:space="preserve"> la naturaleza de la información, el Comisionado Ponente determinó en su </w:t>
      </w:r>
      <w:r>
        <w:rPr>
          <w:rFonts w:ascii="Palatino Linotype" w:eastAsia="Palatino Linotype" w:hAnsi="Palatino Linotype" w:cs="Palatino Linotype"/>
          <w:b/>
          <w:sz w:val="24"/>
          <w:szCs w:val="24"/>
        </w:rPr>
        <w:t>resolutivo segundo inciso “b”</w:t>
      </w:r>
      <w:r>
        <w:rPr>
          <w:rFonts w:ascii="Palatino Linotype" w:eastAsia="Palatino Linotype" w:hAnsi="Palatino Linotype" w:cs="Palatino Linotype"/>
          <w:sz w:val="24"/>
          <w:szCs w:val="24"/>
        </w:rPr>
        <w:t>, ordenar</w:t>
      </w:r>
      <w:r>
        <w:rPr>
          <w:rFonts w:ascii="Palatino Linotype" w:eastAsia="Palatino Linotype" w:hAnsi="Palatino Linotype" w:cs="Palatino Linotype"/>
          <w:b/>
          <w:sz w:val="24"/>
          <w:szCs w:val="24"/>
        </w:rPr>
        <w:t xml:space="preserve"> en versión pública, lo siguiente:</w:t>
      </w:r>
    </w:p>
    <w:p w:rsidR="00391A28" w:rsidRDefault="00391A28">
      <w:pPr>
        <w:spacing w:after="0" w:line="360" w:lineRule="auto"/>
        <w:jc w:val="both"/>
        <w:rPr>
          <w:rFonts w:ascii="Palatino Linotype" w:eastAsia="Palatino Linotype" w:hAnsi="Palatino Linotype" w:cs="Palatino Linotype"/>
          <w:i/>
          <w:sz w:val="24"/>
          <w:szCs w:val="24"/>
        </w:rPr>
      </w:pPr>
    </w:p>
    <w:p w:rsidR="00391A28" w:rsidRDefault="00A50245">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“b)                   De la primera quincena de marzo a la segunda de abril, de todos los trabajadores del Ay</w:t>
      </w:r>
      <w:r>
        <w:rPr>
          <w:rFonts w:ascii="Palatino Linotype" w:eastAsia="Palatino Linotype" w:hAnsi="Palatino Linotype" w:cs="Palatino Linotype"/>
          <w:i/>
        </w:rPr>
        <w:t>untamiento de Tezoyuca.</w:t>
      </w:r>
    </w:p>
    <w:p w:rsidR="00391A28" w:rsidRDefault="00A50245">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 Además, deberá proporcionar el Acuerdo de Clasificación donde el Comité de Transparencia, confirme la eliminación de los datos señalados en el Considerando QUINTO, en la versión pública, de conformidad con los artículos 49, fraccio</w:t>
      </w:r>
      <w:r>
        <w:rPr>
          <w:rFonts w:ascii="Palatino Linotype" w:eastAsia="Palatino Linotype" w:hAnsi="Palatino Linotype" w:cs="Palatino Linotype"/>
          <w:i/>
        </w:rPr>
        <w:t>nes II y VIII y 132, fracción II de la Ley de Transparencia y Acceso a la Información Pública del Estado de México y Municipios.” (Sic)</w:t>
      </w:r>
    </w:p>
    <w:p w:rsidR="00391A28" w:rsidRDefault="00391A28">
      <w:pPr>
        <w:spacing w:line="240" w:lineRule="auto"/>
        <w:ind w:left="567" w:right="990"/>
        <w:jc w:val="both"/>
        <w:rPr>
          <w:rFonts w:ascii="Palatino Linotype" w:eastAsia="Palatino Linotype" w:hAnsi="Palatino Linotype" w:cs="Palatino Linotype"/>
          <w:i/>
        </w:rPr>
      </w:pPr>
    </w:p>
    <w:p w:rsidR="00391A28" w:rsidRDefault="00A50245">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como fue acordado, tratándose de información reservada como lo es el </w:t>
      </w:r>
      <w:r>
        <w:rPr>
          <w:rFonts w:ascii="Palatino Linotype" w:eastAsia="Palatino Linotype" w:hAnsi="Palatino Linotype" w:cs="Palatino Linotype"/>
          <w:b/>
          <w:sz w:val="24"/>
          <w:szCs w:val="24"/>
        </w:rPr>
        <w:t xml:space="preserve">nombre de los elementos operativos de la Dirección de Seguridad Pública Municipal,, </w:t>
      </w:r>
      <w:r>
        <w:rPr>
          <w:rFonts w:ascii="Palatino Linotype" w:eastAsia="Palatino Linotype" w:hAnsi="Palatino Linotype" w:cs="Palatino Linotype"/>
          <w:sz w:val="24"/>
          <w:szCs w:val="24"/>
        </w:rPr>
        <w:t>se deberá clasificar como información reservada para lo que es necesario el desarrollo de la prueba de daño, debiendo valorar el daño que causaría la divulgación de la info</w:t>
      </w:r>
      <w:r>
        <w:rPr>
          <w:rFonts w:ascii="Palatino Linotype" w:eastAsia="Palatino Linotype" w:hAnsi="Palatino Linotype" w:cs="Palatino Linotype"/>
          <w:sz w:val="24"/>
          <w:szCs w:val="24"/>
        </w:rPr>
        <w:t>rmación, con la finalidad de sustentar la reserva y arribar a una determinación debidamente fundada y motivada que tenga como consecuencia la clasificación de la información, además de analizar si el periodo de clasificación resulta acorde con la naturalez</w:t>
      </w:r>
      <w:r>
        <w:rPr>
          <w:rFonts w:ascii="Palatino Linotype" w:eastAsia="Palatino Linotype" w:hAnsi="Palatino Linotype" w:cs="Palatino Linotype"/>
          <w:sz w:val="24"/>
          <w:szCs w:val="24"/>
        </w:rPr>
        <w:t xml:space="preserve">a de la información requerida. En otras palabras, la determinación que Confirme una clasificación, debe contener un análisis exhaustivo de los elementos de forma y fondo que establecen los artículos 122, 125, 128, 129, 130, 131, 132 fracción II, 134 de </w:t>
      </w:r>
      <w:r>
        <w:rPr>
          <w:rFonts w:ascii="Palatino Linotype" w:eastAsia="Palatino Linotype" w:hAnsi="Palatino Linotype" w:cs="Palatino Linotype"/>
          <w:sz w:val="24"/>
          <w:szCs w:val="24"/>
        </w:rPr>
        <w:lastRenderedPageBreak/>
        <w:t xml:space="preserve">la </w:t>
      </w:r>
      <w:r>
        <w:rPr>
          <w:rFonts w:ascii="Palatino Linotype" w:eastAsia="Palatino Linotype" w:hAnsi="Palatino Linotype" w:cs="Palatino Linotype"/>
          <w:sz w:val="24"/>
          <w:szCs w:val="24"/>
        </w:rPr>
        <w:t xml:space="preserve">Ley de Transparencia y Acceso a la Información Pública del Estado de México y Municipios y los Lineamientos Generales en Materia de Clasificación y Desclasificación de la Información, así como para la elaboración de Versiones Públicas. </w:t>
      </w:r>
    </w:p>
    <w:p w:rsidR="00391A28" w:rsidRDefault="00A50245">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esta perspectiva</w:t>
      </w:r>
      <w:r>
        <w:rPr>
          <w:rFonts w:ascii="Palatino Linotype" w:eastAsia="Palatino Linotype" w:hAnsi="Palatino Linotype" w:cs="Palatino Linotype"/>
          <w:sz w:val="24"/>
          <w:szCs w:val="24"/>
        </w:rPr>
        <w:t>, el Acuerdo de Clasificación de Información tiene como propósito primordial que los particulares conozcan de manera completa las condiciones y circunstancias que determinaron negar el acceso a la información; a través de la adecuada fundamentación y motiv</w:t>
      </w:r>
      <w:r>
        <w:rPr>
          <w:rFonts w:ascii="Palatino Linotype" w:eastAsia="Palatino Linotype" w:hAnsi="Palatino Linotype" w:cs="Palatino Linotype"/>
          <w:sz w:val="24"/>
          <w:szCs w:val="24"/>
        </w:rPr>
        <w:t>ación de la clasificación de información, que incluya la prueba de daño a fin de establecer el perjuicio que podría provocar la entrega de la información, toda vez que los artículos 128 y 129 de la Ley de la Materia, disponen que para que los sujetos oblig</w:t>
      </w:r>
      <w:r>
        <w:rPr>
          <w:rFonts w:ascii="Palatino Linotype" w:eastAsia="Palatino Linotype" w:hAnsi="Palatino Linotype" w:cs="Palatino Linotype"/>
          <w:sz w:val="24"/>
          <w:szCs w:val="24"/>
        </w:rPr>
        <w:t>ados puedan invocar una causa se deberá fundar y motivar, a través de la aplicación de la prueba de daño, en la cual se justifique que la divulgación de la información representa un riesgo real demostrable e identificable al superar el interés público de q</w:t>
      </w:r>
      <w:r>
        <w:rPr>
          <w:rFonts w:ascii="Palatino Linotype" w:eastAsia="Palatino Linotype" w:hAnsi="Palatino Linotype" w:cs="Palatino Linotype"/>
          <w:sz w:val="24"/>
          <w:szCs w:val="24"/>
        </w:rPr>
        <w:t xml:space="preserve">ue se difunda atendiendo al principio de proporcionalidad y el medio menos restrictivo disponible para evitar perjuicio. </w:t>
      </w:r>
    </w:p>
    <w:p w:rsidR="00391A28" w:rsidRDefault="00A50245">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Desclasificación de la Información, así como para la elaboración</w:t>
      </w:r>
      <w:r>
        <w:rPr>
          <w:rFonts w:ascii="Palatino Linotype" w:eastAsia="Palatino Linotype" w:hAnsi="Palatino Linotype" w:cs="Palatino Linotype"/>
          <w:sz w:val="24"/>
          <w:szCs w:val="24"/>
        </w:rPr>
        <w:t xml:space="preserve"> de versiones públicas, establecen en su numeral Trigésimo Tercero que para la aplicación de la prueba de daño los sujetos obligados atenderán lo siguiente: </w:t>
      </w:r>
    </w:p>
    <w:p w:rsidR="00391A28" w:rsidRDefault="00A50245">
      <w:pPr>
        <w:spacing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"Trigésimo tercero. Para la aplicación de la prueba de daño a la que hace referencia el artículo 1</w:t>
      </w:r>
      <w:r>
        <w:rPr>
          <w:rFonts w:ascii="Palatino Linotype" w:eastAsia="Palatino Linotype" w:hAnsi="Palatino Linotype" w:cs="Palatino Linotype"/>
          <w:i/>
        </w:rPr>
        <w:t xml:space="preserve">04 de la Ley General, los sujetos obligados atenderán lo siguiente: </w:t>
      </w:r>
    </w:p>
    <w:p w:rsidR="00391A28" w:rsidRDefault="00A50245">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deberá citar la fracción y, en su caso, la causal aplicable del artículo 113 de la Ley General, vinculándola con el Lineamiento especifico del presente ordenamiento y, cuando corresponda, el supuesto normativo que expresamente le otorga el carácter de i</w:t>
      </w:r>
      <w:r>
        <w:rPr>
          <w:rFonts w:ascii="Palatino Linotype" w:eastAsia="Palatino Linotype" w:hAnsi="Palatino Linotype" w:cs="Palatino Linotype"/>
          <w:i/>
          <w:color w:val="000000"/>
        </w:rPr>
        <w:t xml:space="preserve">nformación reservada; </w:t>
      </w:r>
    </w:p>
    <w:p w:rsidR="00391A28" w:rsidRDefault="00A50245">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Mediante la ponderación de los intereses en conflicto, los sujetos obligados deberán demostrar que la publicidad de la información solicitada generaría un riesgo de perjuicio y por lo tanto, tendrán que acreditar que este último reba</w:t>
      </w:r>
      <w:r>
        <w:rPr>
          <w:rFonts w:ascii="Palatino Linotype" w:eastAsia="Palatino Linotype" w:hAnsi="Palatino Linotype" w:cs="Palatino Linotype"/>
          <w:i/>
          <w:color w:val="000000"/>
        </w:rPr>
        <w:t xml:space="preserve">sa el interés público protegido por la reserva; </w:t>
      </w:r>
    </w:p>
    <w:p w:rsidR="00391A28" w:rsidRDefault="00A50245">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Se debe de acreditar el vínculo entre la difusión de la información y la afectación del interés jurídico tutelado de que se trate; </w:t>
      </w:r>
    </w:p>
    <w:p w:rsidR="00391A28" w:rsidRDefault="00A50245">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Precisar las razones objetivas por las que la apertura de la información ge</w:t>
      </w:r>
      <w:r>
        <w:rPr>
          <w:rFonts w:ascii="Palatino Linotype" w:eastAsia="Palatino Linotype" w:hAnsi="Palatino Linotype" w:cs="Palatino Linotype"/>
          <w:i/>
          <w:color w:val="000000"/>
        </w:rPr>
        <w:t xml:space="preserve">neraría una afectación, a través de los elementos de un riesgo real, demostrable e identificable; </w:t>
      </w:r>
    </w:p>
    <w:p w:rsidR="00391A28" w:rsidRDefault="00A50245">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la motivación de la clasificación, el sujeto obligado deberá acreditar las circunstancias de modo, tiempo y lugar del daño, y </w:t>
      </w:r>
    </w:p>
    <w:p w:rsidR="00391A28" w:rsidRDefault="00A50245">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Deberán elegir la opción de excepción al acceso a la información que menos lo restrinja, la cual será adecuada y proporcional para la protección del interés público, y deberá inte1ferir lo menos posible en el ejercicio efectivo del derecho de acceso a la i</w:t>
      </w:r>
      <w:r>
        <w:rPr>
          <w:rFonts w:ascii="Palatino Linotype" w:eastAsia="Palatino Linotype" w:hAnsi="Palatino Linotype" w:cs="Palatino Linotype"/>
          <w:i/>
          <w:color w:val="000000"/>
        </w:rPr>
        <w:t xml:space="preserve">nformación."(Sic) </w:t>
      </w:r>
    </w:p>
    <w:p w:rsidR="00391A28" w:rsidRDefault="00391A28">
      <w:pPr>
        <w:spacing w:line="360" w:lineRule="auto"/>
        <w:ind w:right="-6"/>
        <w:jc w:val="both"/>
        <w:rPr>
          <w:rFonts w:ascii="Palatino Linotype" w:eastAsia="Palatino Linotype" w:hAnsi="Palatino Linotype" w:cs="Palatino Linotype"/>
          <w:sz w:val="24"/>
          <w:szCs w:val="24"/>
        </w:rPr>
      </w:pPr>
    </w:p>
    <w:p w:rsidR="00391A28" w:rsidRDefault="00A50245">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para convalidar la clasificación como información reservada, se debe efectuar el estudio de clasificación a la luz de los elementos que exigen los Lineamientos generales en materia de clasificación y desclasificación de l</w:t>
      </w:r>
      <w:r>
        <w:rPr>
          <w:rFonts w:ascii="Palatino Linotype" w:eastAsia="Palatino Linotype" w:hAnsi="Palatino Linotype" w:cs="Palatino Linotype"/>
          <w:sz w:val="24"/>
          <w:szCs w:val="24"/>
        </w:rPr>
        <w:t>a información, así como para la elaboración de versiones públicas, y efectuar un análisis exhaustivo en todos aquellos casos que restrinjan el derecho de acceso a la información de los particulares, como es la figura de la clasificación de la información p</w:t>
      </w:r>
      <w:r>
        <w:rPr>
          <w:rFonts w:ascii="Palatino Linotype" w:eastAsia="Palatino Linotype" w:hAnsi="Palatino Linotype" w:cs="Palatino Linotype"/>
          <w:sz w:val="24"/>
          <w:szCs w:val="24"/>
        </w:rPr>
        <w:t xml:space="preserve">ara verificar que se acredita la prueba de daño. </w:t>
      </w:r>
    </w:p>
    <w:p w:rsidR="00391A28" w:rsidRDefault="00A50245">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Bajo este contex</w:t>
      </w:r>
      <w:r w:rsidR="007F1D61">
        <w:rPr>
          <w:rFonts w:ascii="Palatino Linotype" w:eastAsia="Palatino Linotype" w:hAnsi="Palatino Linotype" w:cs="Palatino Linotype"/>
          <w:sz w:val="24"/>
          <w:szCs w:val="24"/>
        </w:rPr>
        <w:t xml:space="preserve">to, se analizó la resolución de </w:t>
      </w:r>
      <w:r w:rsidR="007F1D61" w:rsidRPr="007F1D61">
        <w:rPr>
          <w:rFonts w:ascii="Palatino Linotype" w:eastAsia="Palatino Linotype" w:hAnsi="Palatino Linotype" w:cs="Palatino Linotype"/>
          <w:sz w:val="24"/>
          <w:szCs w:val="24"/>
        </w:rPr>
        <w:t>los</w:t>
      </w:r>
      <w:r w:rsidRPr="007F1D61">
        <w:rPr>
          <w:rFonts w:ascii="Palatino Linotype" w:eastAsia="Palatino Linotype" w:hAnsi="Palatino Linotype" w:cs="Palatino Linotype"/>
          <w:sz w:val="24"/>
          <w:szCs w:val="24"/>
        </w:rPr>
        <w:t xml:space="preserve"> recurso</w:t>
      </w:r>
      <w:r w:rsidR="007F1D61" w:rsidRPr="007F1D61">
        <w:rPr>
          <w:rFonts w:ascii="Palatino Linotype" w:eastAsia="Palatino Linotype" w:hAnsi="Palatino Linotype" w:cs="Palatino Linotype"/>
          <w:sz w:val="24"/>
          <w:szCs w:val="24"/>
        </w:rPr>
        <w:t>s</w:t>
      </w:r>
      <w:r w:rsidRPr="007F1D61">
        <w:rPr>
          <w:rFonts w:ascii="Palatino Linotype" w:eastAsia="Palatino Linotype" w:hAnsi="Palatino Linotype" w:cs="Palatino Linotype"/>
          <w:sz w:val="24"/>
          <w:szCs w:val="24"/>
        </w:rPr>
        <w:t xml:space="preserve"> de revisión </w:t>
      </w:r>
      <w:r w:rsidRPr="007F1D61">
        <w:rPr>
          <w:rFonts w:ascii="Palatino Linotype" w:eastAsia="Palatino Linotype" w:hAnsi="Palatino Linotype" w:cs="Palatino Linotype"/>
          <w:b/>
          <w:color w:val="000000"/>
          <w:sz w:val="24"/>
          <w:szCs w:val="24"/>
        </w:rPr>
        <w:t>11336/INFOEM/IP/RR/2022, 11337/INFOEM/IP/RR/2022,</w:t>
      </w:r>
      <w:bookmarkStart w:id="2" w:name="_GoBack"/>
      <w:bookmarkEnd w:id="2"/>
      <w:r>
        <w:rPr>
          <w:rFonts w:ascii="Palatino Linotype" w:eastAsia="Palatino Linotype" w:hAnsi="Palatino Linotype" w:cs="Palatino Linotype"/>
          <w:b/>
          <w:color w:val="000000"/>
          <w:sz w:val="24"/>
          <w:szCs w:val="24"/>
        </w:rPr>
        <w:t xml:space="preserve"> 11338/INFOEM/IP/RR/2022 y 11340/INFOEM/IP/RR/2022</w:t>
      </w:r>
      <w:r>
        <w:rPr>
          <w:rFonts w:ascii="Palatino Linotype" w:eastAsia="Palatino Linotype" w:hAnsi="Palatino Linotype" w:cs="Palatino Linotype"/>
          <w:sz w:val="24"/>
          <w:szCs w:val="24"/>
        </w:rPr>
        <w:t>,</w:t>
      </w:r>
      <w:r w:rsidR="007F1D61">
        <w:rPr>
          <w:rFonts w:ascii="Palatino Linotype" w:eastAsia="Palatino Linotype" w:hAnsi="Palatino Linotype" w:cs="Palatino Linotype"/>
          <w:sz w:val="24"/>
          <w:szCs w:val="24"/>
        </w:rPr>
        <w:t xml:space="preserve"> acumulados,</w:t>
      </w:r>
      <w:r>
        <w:rPr>
          <w:rFonts w:ascii="Palatino Linotype" w:eastAsia="Palatino Linotype" w:hAnsi="Palatino Linotype" w:cs="Palatino Linotype"/>
          <w:sz w:val="24"/>
          <w:szCs w:val="24"/>
        </w:rPr>
        <w:t xml:space="preserve"> en la cual, el Comisionado Ponente, </w:t>
      </w:r>
      <w:r>
        <w:rPr>
          <w:rFonts w:ascii="Palatino Linotype" w:eastAsia="Palatino Linotype" w:hAnsi="Palatino Linotype" w:cs="Palatino Linotype"/>
          <w:sz w:val="24"/>
          <w:szCs w:val="24"/>
        </w:rPr>
        <w:t>realiza la prueba de daño, circunstancias que, a consideración de la suscrita y derivado de lo antes señalado, les corresponde comprobar y desarrollar a los Sujetos Obligados, en razón de que, dentro de la Ley de Transparencia y Acceso a la Información Púb</w:t>
      </w:r>
      <w:r>
        <w:rPr>
          <w:rFonts w:ascii="Palatino Linotype" w:eastAsia="Palatino Linotype" w:hAnsi="Palatino Linotype" w:cs="Palatino Linotype"/>
          <w:sz w:val="24"/>
          <w:szCs w:val="24"/>
        </w:rPr>
        <w:t xml:space="preserve">lica del Estado de México y Municipios, se encuentra que, para reservar una información, se debe aplicar una prueba de daño, la cual es definida por la Ley de la Materia en su artículo 3 fracción XXXII, como: </w:t>
      </w:r>
    </w:p>
    <w:p w:rsidR="00391A28" w:rsidRDefault="00A50245">
      <w:pPr>
        <w:spacing w:line="240" w:lineRule="auto"/>
        <w:ind w:left="567" w:right="990"/>
        <w:jc w:val="both"/>
        <w:rPr>
          <w:rFonts w:ascii="Palatino Linotype" w:eastAsia="Palatino Linotype" w:hAnsi="Palatino Linotype" w:cs="Palatino Linotype"/>
          <w:sz w:val="24"/>
          <w:szCs w:val="24"/>
        </w:rPr>
      </w:pPr>
      <w:r>
        <w:rPr>
          <w:rFonts w:ascii="Palatino Linotype" w:eastAsia="Palatino Linotype" w:hAnsi="Palatino Linotype" w:cs="Palatino Linotype"/>
          <w:i/>
        </w:rPr>
        <w:t>“XXXIII. Prueba de Daño: Responsabilidad de lo</w:t>
      </w:r>
      <w:r>
        <w:rPr>
          <w:rFonts w:ascii="Palatino Linotype" w:eastAsia="Palatino Linotype" w:hAnsi="Palatino Linotype" w:cs="Palatino Linotype"/>
          <w:i/>
        </w:rPr>
        <w:t>s sujetos obligados de demostrar de manera fundada y motivada que la divulgación de información lesiona el interés jurídicamente protegido por la Ley, y que el menoscabo o daño que puede producirse con la publicidad de la información es mayor que el interé</w:t>
      </w:r>
      <w:r>
        <w:rPr>
          <w:rFonts w:ascii="Palatino Linotype" w:eastAsia="Palatino Linotype" w:hAnsi="Palatino Linotype" w:cs="Palatino Linotype"/>
          <w:i/>
        </w:rPr>
        <w:t>s de conocerla y por consiguiente debe clasificarse como reservada…” (Sic)</w:t>
      </w:r>
      <w:r>
        <w:rPr>
          <w:rFonts w:ascii="Palatino Linotype" w:eastAsia="Palatino Linotype" w:hAnsi="Palatino Linotype" w:cs="Palatino Linotype"/>
        </w:rPr>
        <w:t xml:space="preserve"> </w:t>
      </w:r>
    </w:p>
    <w:p w:rsidR="00391A28" w:rsidRDefault="00391A28">
      <w:pPr>
        <w:spacing w:line="360" w:lineRule="auto"/>
        <w:ind w:right="139"/>
        <w:jc w:val="both"/>
        <w:rPr>
          <w:rFonts w:ascii="Palatino Linotype" w:eastAsia="Palatino Linotype" w:hAnsi="Palatino Linotype" w:cs="Palatino Linotype"/>
          <w:sz w:val="24"/>
          <w:szCs w:val="24"/>
        </w:rPr>
      </w:pPr>
    </w:p>
    <w:p w:rsidR="00391A28" w:rsidRDefault="00A50245">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los encargados de realizar la prueba de daño, son los Sujeto Obligados</w:t>
      </w:r>
      <w:r>
        <w:rPr>
          <w:rFonts w:ascii="Palatino Linotype" w:eastAsia="Palatino Linotype" w:hAnsi="Palatino Linotype" w:cs="Palatino Linotype"/>
          <w:sz w:val="24"/>
          <w:szCs w:val="24"/>
        </w:rPr>
        <w:t>; es decir, que los Sujetos Obligados quienes generan, administran o po</w:t>
      </w:r>
      <w:r>
        <w:rPr>
          <w:rFonts w:ascii="Palatino Linotype" w:eastAsia="Palatino Linotype" w:hAnsi="Palatino Linotype" w:cs="Palatino Linotype"/>
          <w:sz w:val="24"/>
          <w:szCs w:val="24"/>
        </w:rPr>
        <w:t>sean, la información, son los que deben de clasificar la información como reservada, por actualizar alguna causal de reserva señala en el artículo 140 de la Ley de la Materia, siendo los responsables de aplicar la prueba de daño para demostrar que la divul</w:t>
      </w:r>
      <w:r>
        <w:rPr>
          <w:rFonts w:ascii="Palatino Linotype" w:eastAsia="Palatino Linotype" w:hAnsi="Palatino Linotype" w:cs="Palatino Linotype"/>
          <w:sz w:val="24"/>
          <w:szCs w:val="24"/>
        </w:rPr>
        <w:t xml:space="preserve">gación de la información lesiona interés </w:t>
      </w:r>
      <w:r>
        <w:rPr>
          <w:rFonts w:ascii="Palatino Linotype" w:eastAsia="Palatino Linotype" w:hAnsi="Palatino Linotype" w:cs="Palatino Linotype"/>
          <w:sz w:val="24"/>
          <w:szCs w:val="24"/>
        </w:rPr>
        <w:lastRenderedPageBreak/>
        <w:t xml:space="preserve">jurídicamente protegido por la Ley, y que el menoscabo o daño que puede producirse con la publicidad de la información es mayor que el interés de conocerla. </w:t>
      </w:r>
    </w:p>
    <w:p w:rsidR="00391A28" w:rsidRDefault="00A50245">
      <w:pPr>
        <w:spacing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Esto es, que, a través de la prueba de daño, los Sujetos </w:t>
      </w:r>
      <w:r>
        <w:rPr>
          <w:rFonts w:ascii="Palatino Linotype" w:eastAsia="Palatino Linotype" w:hAnsi="Palatino Linotype" w:cs="Palatino Linotype"/>
          <w:b/>
          <w:sz w:val="24"/>
          <w:szCs w:val="24"/>
        </w:rPr>
        <w:t>Obligados expongan las razones, motivos o circunstancias especiales que los lleven a concluir que la información adquiere el carácter de reservada, y se ajusta a los supuestos previstos en la normatividad como fundamento.</w:t>
      </w:r>
    </w:p>
    <w:p w:rsidR="00391A28" w:rsidRDefault="00A50245">
      <w:pPr>
        <w:spacing w:line="360" w:lineRule="auto"/>
        <w:ind w:right="-6"/>
        <w:jc w:val="both"/>
        <w:rPr>
          <w:rFonts w:ascii="Palatino Linotype" w:eastAsia="Palatino Linotype" w:hAnsi="Palatino Linotype" w:cs="Palatino Linotype"/>
          <w:sz w:val="24"/>
          <w:szCs w:val="24"/>
        </w:rPr>
      </w:pPr>
      <w:bookmarkStart w:id="3" w:name="_heading=h.1fob9te" w:colFirst="0" w:colLast="0"/>
      <w:bookmarkEnd w:id="3"/>
      <w:r>
        <w:rPr>
          <w:rFonts w:ascii="Palatino Linotype" w:eastAsia="Palatino Linotype" w:hAnsi="Palatino Linotype" w:cs="Palatino Linotype"/>
          <w:sz w:val="24"/>
          <w:szCs w:val="24"/>
        </w:rPr>
        <w:t>Por lo que, en opinión de la Suscr</w:t>
      </w:r>
      <w:r>
        <w:rPr>
          <w:rFonts w:ascii="Palatino Linotype" w:eastAsia="Palatino Linotype" w:hAnsi="Palatino Linotype" w:cs="Palatino Linotype"/>
          <w:sz w:val="24"/>
          <w:szCs w:val="24"/>
        </w:rPr>
        <w:t>ita, y en términos de lo dispuesto por la normatividad en la materia son los Sujetos Obligados los que deben aportar los elementos desarrollar la prueba de daño necesaria y suficiente, a fin de garantizar la reserva de información y la adecuada temporalida</w:t>
      </w:r>
      <w:r>
        <w:rPr>
          <w:rFonts w:ascii="Palatino Linotype" w:eastAsia="Palatino Linotype" w:hAnsi="Palatino Linotype" w:cs="Palatino Linotype"/>
          <w:sz w:val="24"/>
          <w:szCs w:val="24"/>
        </w:rPr>
        <w:t xml:space="preserve">d de esta, aportando elementos necesarios para su clasificación y favoreciendo, en su caso, la entrega de documentos mediante la versión pública. </w:t>
      </w:r>
    </w:p>
    <w:p w:rsidR="00391A28" w:rsidRDefault="00A50245">
      <w:pPr>
        <w:spacing w:line="360" w:lineRule="auto"/>
        <w:ind w:right="-6"/>
        <w:jc w:val="both"/>
        <w:rPr>
          <w:rFonts w:ascii="Palatino Linotype" w:eastAsia="Palatino Linotype" w:hAnsi="Palatino Linotype" w:cs="Palatino Linotype"/>
          <w:sz w:val="24"/>
          <w:szCs w:val="24"/>
        </w:rPr>
        <w:sectPr w:rsidR="00391A28">
          <w:headerReference w:type="even" r:id="rId8"/>
          <w:headerReference w:type="default" r:id="rId9"/>
          <w:footerReference w:type="default" r:id="rId10"/>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t>Lo expuesto, constituyen las razones y fundamentos que me llevan a emitir la opinión particular que se ha expresado.</w:t>
      </w:r>
      <w:r>
        <w:rPr>
          <w:noProof/>
        </w:rPr>
        <mc:AlternateContent>
          <mc:Choice Requires="wpg">
            <w:drawing>
              <wp:anchor distT="0" distB="0" distL="114300" distR="114300" simplePos="0" relativeHeight="251658240" behindDoc="0" locked="0" layoutInCell="1" hidden="0" allowOverlap="1">
                <wp:simplePos x="0" y="0"/>
                <wp:positionH relativeFrom="column">
                  <wp:posOffset>63501</wp:posOffset>
                </wp:positionH>
                <wp:positionV relativeFrom="paragraph">
                  <wp:posOffset>647700</wp:posOffset>
                </wp:positionV>
                <wp:extent cx="5523220" cy="2418355"/>
                <wp:effectExtent l="0" t="0" r="0" b="0"/>
                <wp:wrapNone/>
                <wp:docPr id="23" name="Conector recto de flecha 23"/>
                <wp:cNvGraphicFramePr/>
                <a:graphic xmlns:a="http://schemas.openxmlformats.org/drawingml/2006/main">
                  <a:graphicData uri="http://schemas.microsoft.com/office/word/2010/wordprocessingShape">
                    <wps:wsp>
                      <wps:cNvCnPr/>
                      <wps:spPr>
                        <a:xfrm>
                          <a:off x="2589153" y="2575585"/>
                          <a:ext cx="5513695" cy="240883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647700</wp:posOffset>
                </wp:positionV>
                <wp:extent cx="5523220" cy="2418355"/>
                <wp:effectExtent b="0" l="0" r="0" t="0"/>
                <wp:wrapNone/>
                <wp:docPr id="2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523220" cy="2418355"/>
                        </a:xfrm>
                        <a:prstGeom prst="rect"/>
                        <a:ln/>
                      </pic:spPr>
                    </pic:pic>
                  </a:graphicData>
                </a:graphic>
              </wp:anchor>
            </w:drawing>
          </mc:Fallback>
        </mc:AlternateContent>
      </w:r>
    </w:p>
    <w:p w:rsidR="00391A28" w:rsidRDefault="00391A28">
      <w:pPr>
        <w:spacing w:before="240" w:after="240" w:line="360" w:lineRule="auto"/>
        <w:ind w:right="423"/>
        <w:jc w:val="both"/>
        <w:rPr>
          <w:rFonts w:ascii="Palatino Linotype" w:eastAsia="Palatino Linotype" w:hAnsi="Palatino Linotype" w:cs="Palatino Linotype"/>
          <w:sz w:val="24"/>
          <w:szCs w:val="24"/>
        </w:rPr>
      </w:pPr>
    </w:p>
    <w:sectPr w:rsidR="00391A28">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245" w:rsidRDefault="00A50245">
      <w:pPr>
        <w:spacing w:after="0" w:line="240" w:lineRule="auto"/>
      </w:pPr>
      <w:r>
        <w:separator/>
      </w:r>
    </w:p>
  </w:endnote>
  <w:endnote w:type="continuationSeparator" w:id="0">
    <w:p w:rsidR="00A50245" w:rsidRDefault="00A5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28" w:rsidRDefault="00A502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7F1D61">
      <w:rPr>
        <w:rFonts w:ascii="Arial" w:eastAsia="Arial" w:hAnsi="Arial" w:cs="Arial"/>
        <w:b/>
        <w:color w:val="000000"/>
        <w:sz w:val="20"/>
        <w:szCs w:val="20"/>
      </w:rPr>
      <w:fldChar w:fldCharType="separate"/>
    </w:r>
    <w:r w:rsidR="007F1D61">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7F1D61">
      <w:rPr>
        <w:rFonts w:ascii="Arial" w:eastAsia="Arial" w:hAnsi="Arial" w:cs="Arial"/>
        <w:b/>
        <w:color w:val="000000"/>
        <w:sz w:val="20"/>
        <w:szCs w:val="20"/>
      </w:rPr>
      <w:fldChar w:fldCharType="separate"/>
    </w:r>
    <w:r w:rsidR="007F1D61">
      <w:rPr>
        <w:rFonts w:ascii="Arial" w:eastAsia="Arial" w:hAnsi="Arial" w:cs="Arial"/>
        <w:b/>
        <w:noProof/>
        <w:color w:val="000000"/>
        <w:sz w:val="20"/>
        <w:szCs w:val="20"/>
      </w:rPr>
      <w:t>8</w:t>
    </w:r>
    <w:r>
      <w:rPr>
        <w:rFonts w:ascii="Arial" w:eastAsia="Arial" w:hAnsi="Arial" w:cs="Arial"/>
        <w:b/>
        <w:color w:val="000000"/>
        <w:sz w:val="20"/>
        <w:szCs w:val="20"/>
      </w:rPr>
      <w:fldChar w:fldCharType="end"/>
    </w:r>
  </w:p>
  <w:p w:rsidR="00391A28" w:rsidRDefault="00391A2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245" w:rsidRDefault="00A50245">
      <w:pPr>
        <w:spacing w:after="0" w:line="240" w:lineRule="auto"/>
      </w:pPr>
      <w:r>
        <w:separator/>
      </w:r>
    </w:p>
  </w:footnote>
  <w:footnote w:type="continuationSeparator" w:id="0">
    <w:p w:rsidR="00A50245" w:rsidRDefault="00A50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28" w:rsidRDefault="00A5024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22" name="Rectángulo 22"/>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391A28" w:rsidRDefault="00A50245">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28" w:rsidRDefault="00A5024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391A28" w:rsidRDefault="00391A2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1A28" w:rsidRDefault="00391A2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1A28" w:rsidRDefault="00A502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OPINIÓN PARTICULAR </w:t>
    </w:r>
  </w:p>
  <w:p w:rsidR="00391A28" w:rsidRDefault="00A5024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11336/INFOEM/IP/RR/2022, 11337/INFOEM/IP/RR/2022, 11338/INFOEM/IP/RR/2022 y 11340/INFOEM/IP/RR/2022</w:t>
    </w:r>
    <w:r w:rsidR="007F1D61">
      <w:rPr>
        <w:rFonts w:ascii="Palatino Linotype" w:eastAsia="Palatino Linotype" w:hAnsi="Palatino Linotype" w:cs="Palatino Linotype"/>
        <w:b/>
        <w:color w:val="000000"/>
      </w:rPr>
      <w:t>, ACUMULADOS.</w:t>
    </w:r>
  </w:p>
  <w:p w:rsidR="00391A28" w:rsidRDefault="00391A2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A28" w:rsidRDefault="00391A2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1A28" w:rsidRDefault="00391A2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1A28" w:rsidRDefault="00391A2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91A28" w:rsidRDefault="00391A2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72480F"/>
    <w:multiLevelType w:val="multilevel"/>
    <w:tmpl w:val="797AA6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28"/>
    <w:rsid w:val="00391A28"/>
    <w:rsid w:val="007F1D61"/>
    <w:rsid w:val="00A502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6F1D4-27BA-436A-8C19-FBF25F58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YhAZqq3LyYaPQ8YI8nukjrz+Q==">AMUW2mU3woz/ecMtbkRDIASc8oWu0kuSaE0dFE+QKGokAJcnv2cPUHC6NnmRxqWTa5NG73K/m2/sdUxGzbtok7aKRYcVCgWvi+1lL/J4E7Nl6BMIKIxXLE1jKyjlDjnLusOfuqftrEl+2m6XMqcXZWR4TERcplbOsQ==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1500</Words>
  <Characters>8252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2</cp:revision>
  <cp:lastPrinted>2022-12-05T15:30:00Z</cp:lastPrinted>
  <dcterms:created xsi:type="dcterms:W3CDTF">2022-12-02T19:59:00Z</dcterms:created>
  <dcterms:modified xsi:type="dcterms:W3CDTF">2022-12-05T15:34:00Z</dcterms:modified>
</cp:coreProperties>
</file>