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76" w:rsidRPr="00940354" w:rsidRDefault="000B2A76" w:rsidP="000B2A76">
      <w:pPr>
        <w:spacing w:before="240" w:after="240" w:line="360" w:lineRule="auto"/>
        <w:jc w:val="both"/>
        <w:rPr>
          <w:rFonts w:ascii="Palatino Linotype" w:hAnsi="Palatino Linotype"/>
          <w:b/>
          <w:sz w:val="23"/>
          <w:szCs w:val="23"/>
        </w:rPr>
      </w:pPr>
      <w:bookmarkStart w:id="0" w:name="_GoBack"/>
      <w:bookmarkEnd w:id="0"/>
      <w:r w:rsidRPr="00940354">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VIGÉSI</w:t>
      </w:r>
      <w:r w:rsidRPr="00940354">
        <w:rPr>
          <w:rFonts w:ascii="Palatino Linotype" w:hAnsi="Palatino Linotype"/>
          <w:b/>
          <w:sz w:val="23"/>
          <w:szCs w:val="23"/>
        </w:rPr>
        <w:t xml:space="preserve">MA </w:t>
      </w:r>
      <w:r w:rsidR="008C438F">
        <w:rPr>
          <w:rFonts w:ascii="Palatino Linotype" w:hAnsi="Palatino Linotype"/>
          <w:b/>
          <w:sz w:val="23"/>
          <w:szCs w:val="23"/>
        </w:rPr>
        <w:t>QUIN</w:t>
      </w:r>
      <w:r w:rsidR="008E58A8">
        <w:rPr>
          <w:rFonts w:ascii="Palatino Linotype" w:hAnsi="Palatino Linotype"/>
          <w:b/>
          <w:sz w:val="23"/>
          <w:szCs w:val="23"/>
        </w:rPr>
        <w:t>T</w:t>
      </w:r>
      <w:r w:rsidR="00AF1499">
        <w:rPr>
          <w:rFonts w:ascii="Palatino Linotype" w:hAnsi="Palatino Linotype"/>
          <w:b/>
          <w:sz w:val="23"/>
          <w:szCs w:val="23"/>
        </w:rPr>
        <w:t xml:space="preserve">A </w:t>
      </w:r>
      <w:r w:rsidRPr="00940354">
        <w:rPr>
          <w:rFonts w:ascii="Palatino Linotype" w:hAnsi="Palatino Linotype"/>
          <w:b/>
          <w:sz w:val="23"/>
          <w:szCs w:val="23"/>
        </w:rPr>
        <w:t xml:space="preserve">SESIÓN ORDINARIA DEL </w:t>
      </w:r>
      <w:r w:rsidR="008C438F">
        <w:rPr>
          <w:rFonts w:ascii="Palatino Linotype" w:hAnsi="Palatino Linotype"/>
          <w:b/>
          <w:sz w:val="23"/>
          <w:szCs w:val="23"/>
        </w:rPr>
        <w:t>SEIS DE JUL</w:t>
      </w:r>
      <w:r>
        <w:rPr>
          <w:rFonts w:ascii="Palatino Linotype" w:hAnsi="Palatino Linotype"/>
          <w:b/>
          <w:sz w:val="23"/>
          <w:szCs w:val="23"/>
        </w:rPr>
        <w:t>I</w:t>
      </w:r>
      <w:r w:rsidRPr="00940354">
        <w:rPr>
          <w:rFonts w:ascii="Palatino Linotype" w:hAnsi="Palatino Linotype"/>
          <w:b/>
          <w:sz w:val="23"/>
          <w:szCs w:val="23"/>
        </w:rPr>
        <w:t>O DE DOS MIL VEINTIDÓS, EN EL RECURSO DE REVISIÓN 0</w:t>
      </w:r>
      <w:r w:rsidR="003F15AE">
        <w:rPr>
          <w:rFonts w:ascii="Palatino Linotype" w:hAnsi="Palatino Linotype"/>
          <w:b/>
          <w:sz w:val="23"/>
          <w:szCs w:val="23"/>
        </w:rPr>
        <w:t>3441</w:t>
      </w:r>
      <w:r w:rsidRPr="00940354">
        <w:rPr>
          <w:rFonts w:ascii="Palatino Linotype" w:hAnsi="Palatino Linotype"/>
          <w:b/>
          <w:sz w:val="23"/>
          <w:szCs w:val="23"/>
        </w:rPr>
        <w:t>/INFOEM/IP/RR/2022.</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El pleno del Instituto de Transparencia, Acceso a la Información Pública y Protección de Datos Personales del Estado de México y Municipios, aprobó por </w:t>
      </w:r>
      <w:r w:rsidR="00AF1499">
        <w:rPr>
          <w:rFonts w:ascii="Palatino Linotype" w:hAnsi="Palatino Linotype"/>
          <w:sz w:val="23"/>
          <w:szCs w:val="23"/>
        </w:rPr>
        <w:t>unanimidad</w:t>
      </w:r>
      <w:r w:rsidR="00D36CD9">
        <w:rPr>
          <w:rFonts w:ascii="Palatino Linotype" w:hAnsi="Palatino Linotype"/>
          <w:sz w:val="23"/>
          <w:szCs w:val="23"/>
        </w:rPr>
        <w:t xml:space="preserve"> </w:t>
      </w:r>
      <w:r w:rsidRPr="00940354">
        <w:rPr>
          <w:rFonts w:ascii="Palatino Linotype" w:hAnsi="Palatino Linotype"/>
          <w:sz w:val="23"/>
          <w:szCs w:val="23"/>
        </w:rPr>
        <w:t xml:space="preserve">de votos, la resolución relativa al recurso de revisión </w:t>
      </w:r>
      <w:r w:rsidR="003F15AE">
        <w:rPr>
          <w:rFonts w:ascii="Palatino Linotype" w:hAnsi="Palatino Linotype"/>
          <w:b/>
          <w:sz w:val="23"/>
          <w:szCs w:val="23"/>
        </w:rPr>
        <w:t>03441</w:t>
      </w:r>
      <w:r w:rsidRPr="00D36CD9">
        <w:rPr>
          <w:rFonts w:ascii="Palatino Linotype" w:hAnsi="Palatino Linotype"/>
          <w:b/>
          <w:sz w:val="23"/>
          <w:szCs w:val="23"/>
        </w:rPr>
        <w:t>/INFOEM/IP/RR/2022,</w:t>
      </w:r>
      <w:r w:rsidRPr="00940354">
        <w:rPr>
          <w:rFonts w:ascii="Palatino Linotype" w:hAnsi="Palatino Linotype"/>
          <w:sz w:val="23"/>
          <w:szCs w:val="23"/>
        </w:rPr>
        <w:t xml:space="preserve"> presentada por el Comisionado Luis Gustavo Parra Noriega, respecto de la cual, la suscrita formula </w:t>
      </w:r>
      <w:r w:rsidRPr="00D36CD9">
        <w:rPr>
          <w:rFonts w:ascii="Palatino Linotype" w:hAnsi="Palatino Linotype"/>
          <w:b/>
          <w:sz w:val="23"/>
          <w:szCs w:val="23"/>
        </w:rPr>
        <w:t>OPINIÓN  PARTICULAR</w:t>
      </w:r>
      <w:r w:rsidRPr="00940354">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3F15AE" w:rsidRDefault="000B2A76" w:rsidP="003F15AE">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En el caso concreto el hoy Recurrente requirió al </w:t>
      </w:r>
      <w:r w:rsidR="003F15AE" w:rsidRPr="003F15AE">
        <w:rPr>
          <w:rFonts w:ascii="Palatino Linotype" w:hAnsi="Palatino Linotype"/>
          <w:bCs/>
          <w:sz w:val="23"/>
          <w:szCs w:val="23"/>
        </w:rPr>
        <w:t>Ayuntamiento de Nezahualcóyotl</w:t>
      </w:r>
      <w:r w:rsidRPr="00940354">
        <w:rPr>
          <w:rFonts w:ascii="Palatino Linotype" w:hAnsi="Palatino Linotype"/>
          <w:sz w:val="23"/>
          <w:szCs w:val="23"/>
        </w:rPr>
        <w:t>, que en esencia se le proporcionara</w:t>
      </w:r>
      <w:r w:rsidR="00081965" w:rsidRPr="00081965">
        <w:rPr>
          <w:rFonts w:ascii="Palatino Linotype" w:hAnsi="Palatino Linotype"/>
          <w:sz w:val="23"/>
          <w:szCs w:val="23"/>
        </w:rPr>
        <w:t xml:space="preserve"> </w:t>
      </w:r>
      <w:bookmarkStart w:id="1" w:name="_Hlk105611386"/>
      <w:r w:rsidR="003F15AE" w:rsidRPr="003F15AE">
        <w:rPr>
          <w:rFonts w:ascii="Palatino Linotype" w:hAnsi="Palatino Linotype"/>
          <w:sz w:val="23"/>
          <w:szCs w:val="23"/>
        </w:rPr>
        <w:t xml:space="preserve">cada uno de los archivos denominados "Comprobante Bancario de la Dispersión de la Nómina", que se entregan como parte del módulo 4 de </w:t>
      </w:r>
      <w:r w:rsidR="003F15AE" w:rsidRPr="003F15AE">
        <w:rPr>
          <w:rFonts w:ascii="Palatino Linotype" w:hAnsi="Palatino Linotype"/>
          <w:sz w:val="23"/>
          <w:szCs w:val="23"/>
        </w:rPr>
        <w:lastRenderedPageBreak/>
        <w:t>los informes trimestrales al Órgano Superior de Fiscalización del Estado de México, correspondientes al periodo de enero a</w:t>
      </w:r>
      <w:r w:rsidR="003F15AE">
        <w:rPr>
          <w:rFonts w:ascii="Palatino Linotype" w:hAnsi="Palatino Linotype"/>
          <w:sz w:val="23"/>
          <w:szCs w:val="23"/>
        </w:rPr>
        <w:t xml:space="preserve"> diciembre de 2021, c</w:t>
      </w:r>
      <w:r w:rsidR="003F15AE" w:rsidRPr="003F15AE">
        <w:rPr>
          <w:rFonts w:ascii="Palatino Linotype" w:hAnsi="Palatino Linotype"/>
          <w:sz w:val="23"/>
          <w:szCs w:val="23"/>
        </w:rPr>
        <w:t xml:space="preserve">omo lo especifica el Instructivo para la "Integración del Informe Trimestral de los Sujetos de Fiscalización MUNICIPALES para el Ejercicio 2021", la información deberá contener, al menos, "No. progresivo", "No. de quincena", "No. de empleado", "Nombre completo del empleado", "Fecha de transacción", "Fecha de aplicación", e "Importe pagado". </w:t>
      </w:r>
    </w:p>
    <w:p w:rsidR="003F15AE" w:rsidRPr="003F15AE" w:rsidRDefault="00081965" w:rsidP="003F15AE">
      <w:pPr>
        <w:spacing w:before="240" w:after="240" w:line="360" w:lineRule="auto"/>
        <w:jc w:val="both"/>
        <w:rPr>
          <w:rFonts w:ascii="Palatino Linotype" w:eastAsia="Calibri" w:hAnsi="Palatino Linotype" w:cs="Times New Roman"/>
          <w:color w:val="000000"/>
        </w:rPr>
      </w:pPr>
      <w:r>
        <w:rPr>
          <w:rFonts w:ascii="Palatino Linotype" w:hAnsi="Palatino Linotype"/>
          <w:sz w:val="24"/>
          <w:szCs w:val="24"/>
        </w:rPr>
        <w:t xml:space="preserve">El Sujeto Obligado </w:t>
      </w:r>
      <w:bookmarkEnd w:id="1"/>
      <w:r w:rsidR="00D07D24" w:rsidRPr="00D07D24">
        <w:rPr>
          <w:rFonts w:ascii="Palatino Linotype" w:eastAsia="Calibri" w:hAnsi="Palatino Linotype" w:cs="Times New Roman"/>
          <w:color w:val="000000"/>
        </w:rPr>
        <w:t xml:space="preserve">notificó, a través del Sistema de Acceso a la Información Mexiquense (SAIMEX), la respuesta a la solicitud de acceso a la información pública, </w:t>
      </w:r>
      <w:r w:rsidR="003F15AE" w:rsidRPr="003F15AE">
        <w:rPr>
          <w:rFonts w:ascii="Palatino Linotype" w:eastAsia="Calibri" w:hAnsi="Palatino Linotype" w:cs="Times New Roman"/>
          <w:color w:val="000000"/>
        </w:rPr>
        <w:t>por medio del oficio número HA/TM/SJ/789/2022, del once de febrero de dos mil veintidós, suscrito por la Tesorera Municipal y dirigido a la Titular de la Unidad de Transparencia por medio del cual precisa lo siguiente:</w:t>
      </w:r>
    </w:p>
    <w:p w:rsidR="003F15AE" w:rsidRPr="003F15AE" w:rsidRDefault="003F15AE" w:rsidP="003F15AE">
      <w:pPr>
        <w:spacing w:before="240" w:after="240" w:line="360" w:lineRule="auto"/>
        <w:jc w:val="both"/>
        <w:rPr>
          <w:rFonts w:ascii="Palatino Linotype" w:eastAsia="Calibri" w:hAnsi="Palatino Linotype" w:cs="Times New Roman"/>
          <w:color w:val="000000"/>
        </w:rPr>
      </w:pPr>
    </w:p>
    <w:p w:rsidR="003F15AE" w:rsidRPr="003F15AE" w:rsidRDefault="003F15AE" w:rsidP="003F15AE">
      <w:pPr>
        <w:spacing w:before="240" w:after="240" w:line="276" w:lineRule="auto"/>
        <w:ind w:right="990"/>
        <w:jc w:val="both"/>
        <w:rPr>
          <w:rFonts w:ascii="Palatino Linotype" w:eastAsia="Calibri" w:hAnsi="Palatino Linotype" w:cs="Times New Roman"/>
          <w:i/>
          <w:color w:val="000000"/>
        </w:rPr>
      </w:pPr>
      <w:r w:rsidRPr="003F15AE">
        <w:rPr>
          <w:rFonts w:ascii="Palatino Linotype" w:eastAsia="Calibri" w:hAnsi="Palatino Linotype" w:cs="Times New Roman"/>
          <w:i/>
          <w:color w:val="000000"/>
        </w:rPr>
        <w:t>“…</w:t>
      </w:r>
    </w:p>
    <w:p w:rsidR="003F15AE" w:rsidRPr="003F15AE" w:rsidRDefault="003F15AE" w:rsidP="003F15AE">
      <w:pPr>
        <w:spacing w:before="240" w:after="240" w:line="276" w:lineRule="auto"/>
        <w:ind w:right="990"/>
        <w:jc w:val="both"/>
        <w:rPr>
          <w:rFonts w:ascii="Palatino Linotype" w:eastAsia="Calibri" w:hAnsi="Palatino Linotype" w:cs="Times New Roman"/>
          <w:i/>
          <w:color w:val="000000"/>
        </w:rPr>
      </w:pPr>
      <w:r w:rsidRPr="003F15AE">
        <w:rPr>
          <w:rFonts w:ascii="Palatino Linotype" w:eastAsia="Calibri" w:hAnsi="Palatino Linotype" w:cs="Times New Roman"/>
          <w:i/>
          <w:color w:val="000000"/>
        </w:rPr>
        <w:t>…el subdirector de Contabilidad General y Presupuesto, informó lo siguiente:</w:t>
      </w:r>
    </w:p>
    <w:p w:rsidR="003F15AE" w:rsidRPr="003F15AE" w:rsidRDefault="003F15AE" w:rsidP="003F15AE">
      <w:pPr>
        <w:spacing w:before="240" w:after="240" w:line="276" w:lineRule="auto"/>
        <w:ind w:right="990"/>
        <w:jc w:val="both"/>
        <w:rPr>
          <w:rFonts w:ascii="Palatino Linotype" w:eastAsia="Calibri" w:hAnsi="Palatino Linotype" w:cs="Times New Roman"/>
          <w:i/>
          <w:color w:val="000000"/>
        </w:rPr>
      </w:pPr>
    </w:p>
    <w:p w:rsidR="003F15AE" w:rsidRPr="003F15AE" w:rsidRDefault="003F15AE" w:rsidP="003F15AE">
      <w:pPr>
        <w:spacing w:before="240" w:after="240" w:line="276" w:lineRule="auto"/>
        <w:ind w:right="990"/>
        <w:jc w:val="both"/>
        <w:rPr>
          <w:rFonts w:ascii="Palatino Linotype" w:eastAsia="Calibri" w:hAnsi="Palatino Linotype" w:cs="Times New Roman"/>
          <w:i/>
          <w:color w:val="000000"/>
        </w:rPr>
      </w:pPr>
      <w:r w:rsidRPr="003F15AE">
        <w:rPr>
          <w:rFonts w:ascii="Palatino Linotype" w:eastAsia="Calibri" w:hAnsi="Palatino Linotype" w:cs="Times New Roman"/>
          <w:i/>
          <w:color w:val="000000"/>
        </w:rPr>
        <w:t>Al respecto informo a usted que dicha información ya fue enviada al Órgano Superior de fiscalización del Estado de México (OSFEM).</w:t>
      </w:r>
    </w:p>
    <w:p w:rsidR="003F15AE" w:rsidRPr="003F15AE" w:rsidRDefault="003F15AE" w:rsidP="003F15AE">
      <w:pPr>
        <w:spacing w:before="240" w:after="240" w:line="360" w:lineRule="auto"/>
        <w:jc w:val="both"/>
        <w:rPr>
          <w:rFonts w:ascii="Palatino Linotype" w:eastAsia="Calibri" w:hAnsi="Palatino Linotype" w:cs="Times New Roman"/>
          <w:color w:val="000000"/>
        </w:rPr>
      </w:pPr>
      <w:r w:rsidRPr="003F15AE">
        <w:rPr>
          <w:rFonts w:ascii="Palatino Linotype" w:eastAsia="Calibri" w:hAnsi="Palatino Linotype" w:cs="Times New Roman"/>
          <w:color w:val="000000"/>
        </w:rPr>
        <w:t xml:space="preserve"> </w:t>
      </w:r>
    </w:p>
    <w:p w:rsidR="003F15AE" w:rsidRPr="003F15AE" w:rsidRDefault="003F15AE" w:rsidP="003F15AE">
      <w:pPr>
        <w:spacing w:before="240" w:after="240" w:line="360" w:lineRule="auto"/>
        <w:jc w:val="both"/>
        <w:rPr>
          <w:rFonts w:ascii="Palatino Linotype" w:eastAsia="Calibri" w:hAnsi="Palatino Linotype" w:cs="Times New Roman"/>
          <w:color w:val="000000"/>
        </w:rPr>
      </w:pPr>
      <w:r w:rsidRPr="003F15AE">
        <w:rPr>
          <w:rFonts w:ascii="Palatino Linotype" w:eastAsia="Calibri" w:hAnsi="Palatino Linotype" w:cs="Times New Roman"/>
          <w:color w:val="000000"/>
        </w:rPr>
        <w:t xml:space="preserve"> </w:t>
      </w:r>
    </w:p>
    <w:p w:rsidR="003F15AE" w:rsidRPr="003F15AE" w:rsidRDefault="003F15AE" w:rsidP="003F15AE">
      <w:pPr>
        <w:spacing w:before="240" w:after="240" w:line="360" w:lineRule="auto"/>
        <w:jc w:val="both"/>
        <w:rPr>
          <w:rFonts w:ascii="Palatino Linotype" w:eastAsia="Calibri" w:hAnsi="Palatino Linotype" w:cs="Times New Roman"/>
          <w:color w:val="000000"/>
        </w:rPr>
      </w:pPr>
    </w:p>
    <w:p w:rsidR="003F15AE" w:rsidRPr="003F15AE" w:rsidRDefault="003F15AE" w:rsidP="003F15AE">
      <w:pPr>
        <w:spacing w:before="240" w:after="240" w:line="276" w:lineRule="auto"/>
        <w:ind w:left="567" w:right="990"/>
        <w:jc w:val="both"/>
        <w:rPr>
          <w:rFonts w:ascii="Palatino Linotype" w:eastAsia="Calibri" w:hAnsi="Palatino Linotype" w:cs="Times New Roman"/>
          <w:i/>
          <w:color w:val="000000"/>
        </w:rPr>
      </w:pPr>
      <w:r w:rsidRPr="003F15AE">
        <w:rPr>
          <w:rFonts w:ascii="Palatino Linotype" w:eastAsia="Calibri" w:hAnsi="Palatino Linotype" w:cs="Times New Roman"/>
          <w:i/>
          <w:color w:val="000000"/>
        </w:rPr>
        <w:lastRenderedPageBreak/>
        <w:t>De los cuales anexo copia simple señalando que en términos de los lineamientos que emite el Órgano Superior de Fiscalización, la integración de la información del Disco 4 es preparado a efecto de que este Órgano realice las funciones de fiscalización que tiene asignadas, dado lo anterior y toda vez que es información en uso y perteneciente al OSFEM, se debe solicitar ante dicha autoridad.</w:t>
      </w:r>
    </w:p>
    <w:p w:rsidR="008C438F" w:rsidRPr="008C438F" w:rsidRDefault="003F15AE" w:rsidP="003F15AE">
      <w:pPr>
        <w:spacing w:before="240" w:after="240" w:line="360" w:lineRule="auto"/>
        <w:ind w:left="567" w:right="990"/>
        <w:jc w:val="both"/>
        <w:rPr>
          <w:rFonts w:ascii="Palatino Linotype" w:eastAsia="Calibri" w:hAnsi="Palatino Linotype" w:cs="Times New Roman"/>
          <w:color w:val="000000"/>
        </w:rPr>
      </w:pPr>
      <w:r w:rsidRPr="003F15AE">
        <w:rPr>
          <w:rFonts w:ascii="Palatino Linotype" w:eastAsia="Calibri" w:hAnsi="Palatino Linotype" w:cs="Times New Roman"/>
          <w:color w:val="000000"/>
        </w:rPr>
        <w:t>…”</w:t>
      </w:r>
    </w:p>
    <w:p w:rsidR="003F15AE" w:rsidRDefault="000B2A76" w:rsidP="002E2039">
      <w:pPr>
        <w:spacing w:after="0" w:line="360" w:lineRule="auto"/>
        <w:jc w:val="both"/>
        <w:rPr>
          <w:rFonts w:ascii="Palatino Linotype" w:hAnsi="Palatino Linotype"/>
          <w:sz w:val="23"/>
          <w:szCs w:val="23"/>
        </w:rPr>
      </w:pPr>
      <w:r w:rsidRPr="00940354">
        <w:rPr>
          <w:rFonts w:ascii="Palatino Linotype" w:hAnsi="Palatino Linotype"/>
          <w:sz w:val="23"/>
          <w:szCs w:val="23"/>
        </w:rPr>
        <w:t xml:space="preserve">Ante </w:t>
      </w:r>
      <w:r w:rsidR="00081965">
        <w:rPr>
          <w:rFonts w:ascii="Palatino Linotype" w:hAnsi="Palatino Linotype"/>
          <w:sz w:val="23"/>
          <w:szCs w:val="23"/>
        </w:rPr>
        <w:t>este acto d</w:t>
      </w:r>
      <w:r w:rsidRPr="00940354">
        <w:rPr>
          <w:rFonts w:ascii="Palatino Linotype" w:hAnsi="Palatino Linotype"/>
          <w:sz w:val="23"/>
          <w:szCs w:val="23"/>
        </w:rPr>
        <w:t>el Sujeto Obliga</w:t>
      </w:r>
      <w:r w:rsidR="00275288">
        <w:rPr>
          <w:rFonts w:ascii="Palatino Linotype" w:hAnsi="Palatino Linotype"/>
          <w:sz w:val="23"/>
          <w:szCs w:val="23"/>
        </w:rPr>
        <w:t>do, el particular se inconfor</w:t>
      </w:r>
      <w:r w:rsidR="002E2039">
        <w:rPr>
          <w:rFonts w:ascii="Palatino Linotype" w:hAnsi="Palatino Linotype"/>
          <w:sz w:val="23"/>
          <w:szCs w:val="23"/>
        </w:rPr>
        <w:t>ma, de manera medular por la</w:t>
      </w:r>
      <w:r w:rsidR="003F15AE">
        <w:rPr>
          <w:rFonts w:ascii="Palatino Linotype" w:hAnsi="Palatino Linotype"/>
          <w:sz w:val="23"/>
          <w:szCs w:val="23"/>
        </w:rPr>
        <w:t xml:space="preserve"> negativa de entrega de información, al expresar en su acto impugnado, lo siguiente: </w:t>
      </w:r>
    </w:p>
    <w:p w:rsidR="003F15AE" w:rsidRDefault="003F15AE" w:rsidP="003F15AE">
      <w:pPr>
        <w:spacing w:line="276" w:lineRule="auto"/>
        <w:ind w:left="567" w:right="567"/>
        <w:jc w:val="both"/>
        <w:rPr>
          <w:rFonts w:ascii="Palatino Linotype" w:hAnsi="Palatino Linotype"/>
          <w:sz w:val="23"/>
          <w:szCs w:val="23"/>
        </w:rPr>
      </w:pPr>
    </w:p>
    <w:p w:rsidR="003F15AE" w:rsidRPr="003F15AE" w:rsidRDefault="008E58A8" w:rsidP="003F15AE">
      <w:pPr>
        <w:spacing w:line="276" w:lineRule="auto"/>
        <w:ind w:left="567" w:right="567"/>
        <w:jc w:val="both"/>
        <w:rPr>
          <w:rFonts w:ascii="Palatino Linotype" w:eastAsia="Times New Roman" w:hAnsi="Palatino Linotype" w:cs="Tahoma"/>
          <w:b/>
          <w:bCs/>
          <w:i/>
          <w:szCs w:val="20"/>
          <w:lang w:eastAsia="es-ES"/>
        </w:rPr>
      </w:pPr>
      <w:r>
        <w:rPr>
          <w:rFonts w:ascii="Palatino Linotype" w:hAnsi="Palatino Linotype"/>
          <w:sz w:val="23"/>
          <w:szCs w:val="23"/>
        </w:rPr>
        <w:t xml:space="preserve"> </w:t>
      </w:r>
      <w:r w:rsidR="003F15AE" w:rsidRPr="003F15AE">
        <w:rPr>
          <w:rFonts w:ascii="Palatino Linotype" w:eastAsia="Times New Roman" w:hAnsi="Palatino Linotype" w:cs="Tahoma"/>
          <w:b/>
          <w:bCs/>
          <w:i/>
          <w:szCs w:val="20"/>
          <w:lang w:eastAsia="es-ES"/>
        </w:rPr>
        <w:t>“ACTO IMPUGNADO</w:t>
      </w:r>
    </w:p>
    <w:p w:rsidR="003F15AE" w:rsidRPr="003F15AE" w:rsidRDefault="003F15AE" w:rsidP="003F15AE">
      <w:pPr>
        <w:spacing w:after="0" w:line="276" w:lineRule="auto"/>
        <w:ind w:left="567" w:right="567"/>
        <w:jc w:val="both"/>
        <w:rPr>
          <w:rFonts w:ascii="Palatino Linotype" w:eastAsia="Times New Roman" w:hAnsi="Palatino Linotype" w:cs="Tahoma"/>
          <w:bCs/>
          <w:i/>
          <w:szCs w:val="20"/>
          <w:lang w:eastAsia="es-ES"/>
        </w:rPr>
      </w:pPr>
      <w:r w:rsidRPr="003F15AE">
        <w:rPr>
          <w:rFonts w:ascii="Palatino Linotype" w:eastAsia="Times New Roman" w:hAnsi="Palatino Linotype" w:cs="Tahoma"/>
          <w:bCs/>
          <w:i/>
          <w:szCs w:val="20"/>
          <w:lang w:eastAsia="es-ES"/>
        </w:rPr>
        <w:t>La información solicitada debe permanecer en la dependencia, toda vez que corresponde a una comprobación de egreso.” (Sic.)</w:t>
      </w:r>
    </w:p>
    <w:p w:rsidR="008C438F" w:rsidRDefault="008C438F" w:rsidP="002E2039">
      <w:pPr>
        <w:spacing w:after="0" w:line="360" w:lineRule="auto"/>
        <w:jc w:val="both"/>
        <w:rPr>
          <w:rFonts w:ascii="Palatino Linotype" w:hAnsi="Palatino Linotype"/>
          <w:sz w:val="23"/>
          <w:szCs w:val="23"/>
        </w:rPr>
      </w:pPr>
    </w:p>
    <w:p w:rsidR="002E2039" w:rsidRPr="003A52D3" w:rsidRDefault="00AF1499" w:rsidP="003F15AE">
      <w:pPr>
        <w:spacing w:line="360" w:lineRule="auto"/>
        <w:jc w:val="both"/>
        <w:rPr>
          <w:rFonts w:ascii="Palatino Linotype" w:eastAsia="Times New Roman" w:hAnsi="Palatino Linotype" w:cs="Tahoma"/>
          <w:color w:val="0D0D0D"/>
          <w:sz w:val="24"/>
          <w:szCs w:val="24"/>
          <w:highlight w:val="yellow"/>
          <w:lang w:val="es-ES" w:eastAsia="es-ES"/>
        </w:rPr>
      </w:pPr>
      <w:r w:rsidRPr="003A52D3">
        <w:rPr>
          <w:rFonts w:ascii="Palatino Linotype" w:hAnsi="Palatino Linotype"/>
          <w:sz w:val="24"/>
          <w:szCs w:val="24"/>
        </w:rPr>
        <w:t xml:space="preserve">Es de señalar que el Sujeto Obligado </w:t>
      </w:r>
      <w:r w:rsidR="00275288" w:rsidRPr="003A52D3">
        <w:rPr>
          <w:rFonts w:ascii="Palatino Linotype" w:hAnsi="Palatino Linotype"/>
          <w:sz w:val="24"/>
          <w:szCs w:val="24"/>
        </w:rPr>
        <w:t xml:space="preserve">rindió </w:t>
      </w:r>
      <w:r w:rsidR="000B2A76" w:rsidRPr="003A52D3">
        <w:rPr>
          <w:rFonts w:ascii="Palatino Linotype" w:hAnsi="Palatino Linotype"/>
          <w:sz w:val="24"/>
          <w:szCs w:val="24"/>
        </w:rPr>
        <w:t>Informe Justificado</w:t>
      </w:r>
      <w:r w:rsidR="00275288" w:rsidRPr="003A52D3">
        <w:rPr>
          <w:rFonts w:ascii="Palatino Linotype" w:hAnsi="Palatino Linotype"/>
          <w:sz w:val="24"/>
          <w:szCs w:val="24"/>
        </w:rPr>
        <w:t xml:space="preserve"> </w:t>
      </w:r>
      <w:r w:rsidR="003F15AE" w:rsidRPr="003A52D3">
        <w:rPr>
          <w:rFonts w:ascii="Palatino Linotype" w:eastAsia="Times New Roman" w:hAnsi="Palatino Linotype" w:cs="Tahoma"/>
          <w:bCs/>
          <w:noProof/>
          <w:color w:val="0D0D0D"/>
          <w:sz w:val="24"/>
          <w:szCs w:val="24"/>
          <w:lang w:eastAsia="es-ES"/>
        </w:rPr>
        <w:t>por medio del oficio HA/TM/SJ/1306/2022, del ocho de dicho mes y año, suscrito por la Tesorera Municipal, donde confirma su respuesta primigenia.</w:t>
      </w:r>
    </w:p>
    <w:p w:rsidR="00AF1499" w:rsidRPr="003A52D3" w:rsidRDefault="000B2A76" w:rsidP="004A63C4">
      <w:pPr>
        <w:autoSpaceDE w:val="0"/>
        <w:autoSpaceDN w:val="0"/>
        <w:adjustRightInd w:val="0"/>
        <w:spacing w:line="360" w:lineRule="auto"/>
        <w:contextualSpacing/>
        <w:jc w:val="both"/>
        <w:rPr>
          <w:rFonts w:ascii="Palatino Linotype" w:hAnsi="Palatino Linotype"/>
          <w:sz w:val="24"/>
          <w:szCs w:val="24"/>
        </w:rPr>
      </w:pPr>
      <w:r w:rsidRPr="003A52D3">
        <w:rPr>
          <w:rFonts w:ascii="Palatino Linotype" w:hAnsi="Palatino Linotype"/>
          <w:sz w:val="24"/>
          <w:szCs w:val="24"/>
        </w:rPr>
        <w:t xml:space="preserve">Por lo que, previo análisis de las constancias y de la naturaleza de la información, la Ponencia determinó </w:t>
      </w:r>
      <w:r w:rsidR="003F15AE" w:rsidRPr="003A52D3">
        <w:rPr>
          <w:rFonts w:ascii="Palatino Linotype" w:hAnsi="Palatino Linotype"/>
          <w:b/>
          <w:sz w:val="24"/>
          <w:szCs w:val="24"/>
        </w:rPr>
        <w:t>REVO</w:t>
      </w:r>
      <w:r w:rsidR="008E58A8" w:rsidRPr="003A52D3">
        <w:rPr>
          <w:rFonts w:ascii="Palatino Linotype" w:hAnsi="Palatino Linotype"/>
          <w:b/>
          <w:sz w:val="24"/>
          <w:szCs w:val="24"/>
        </w:rPr>
        <w:t>CAR</w:t>
      </w:r>
      <w:r w:rsidR="008E58A8" w:rsidRPr="003A52D3">
        <w:rPr>
          <w:rFonts w:ascii="Palatino Linotype" w:hAnsi="Palatino Linotype"/>
          <w:sz w:val="24"/>
          <w:szCs w:val="24"/>
        </w:rPr>
        <w:t xml:space="preserve"> la respuesta y </w:t>
      </w:r>
      <w:r w:rsidR="00081965" w:rsidRPr="003A52D3">
        <w:rPr>
          <w:rFonts w:ascii="Palatino Linotype" w:hAnsi="Palatino Linotype"/>
          <w:sz w:val="24"/>
          <w:szCs w:val="24"/>
        </w:rPr>
        <w:t>or</w:t>
      </w:r>
      <w:r w:rsidR="008E58A8" w:rsidRPr="003A52D3">
        <w:rPr>
          <w:rFonts w:ascii="Palatino Linotype" w:hAnsi="Palatino Linotype"/>
          <w:sz w:val="24"/>
          <w:szCs w:val="24"/>
        </w:rPr>
        <w:t xml:space="preserve">denar la entrega de información, </w:t>
      </w:r>
      <w:r w:rsidR="00AF1499" w:rsidRPr="003A52D3">
        <w:rPr>
          <w:rFonts w:ascii="Palatino Linotype" w:hAnsi="Palatino Linotype"/>
          <w:sz w:val="24"/>
          <w:szCs w:val="24"/>
        </w:rPr>
        <w:t xml:space="preserve"> posteriormente </w:t>
      </w:r>
      <w:r w:rsidRPr="003A52D3">
        <w:rPr>
          <w:rFonts w:ascii="Palatino Linotype" w:hAnsi="Palatino Linotype"/>
          <w:sz w:val="24"/>
          <w:szCs w:val="24"/>
        </w:rPr>
        <w:t xml:space="preserve">en su </w:t>
      </w:r>
      <w:r w:rsidRPr="003A52D3">
        <w:rPr>
          <w:rFonts w:ascii="Palatino Linotype" w:hAnsi="Palatino Linotype"/>
          <w:b/>
          <w:sz w:val="24"/>
          <w:szCs w:val="24"/>
        </w:rPr>
        <w:t>resolutivo SEGUNDO</w:t>
      </w:r>
      <w:r w:rsidR="00081965" w:rsidRPr="003A52D3">
        <w:rPr>
          <w:rFonts w:ascii="Palatino Linotype" w:hAnsi="Palatino Linotype"/>
          <w:sz w:val="24"/>
          <w:szCs w:val="24"/>
        </w:rPr>
        <w:t>, precisar al Sujeto Obligado que deberá remitir al particular, lo siguiente</w:t>
      </w:r>
      <w:r w:rsidR="00AF1499" w:rsidRPr="003A52D3">
        <w:rPr>
          <w:rFonts w:ascii="Palatino Linotype" w:hAnsi="Palatino Linotype"/>
          <w:sz w:val="24"/>
          <w:szCs w:val="24"/>
        </w:rPr>
        <w:t>:</w:t>
      </w:r>
    </w:p>
    <w:p w:rsidR="00AF1499"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rsidR="00081965" w:rsidRDefault="00AF1499" w:rsidP="00081965">
      <w:pPr>
        <w:autoSpaceDE w:val="0"/>
        <w:autoSpaceDN w:val="0"/>
        <w:adjustRightInd w:val="0"/>
        <w:spacing w:line="276" w:lineRule="auto"/>
        <w:ind w:left="567" w:right="990"/>
        <w:contextualSpacing/>
        <w:jc w:val="both"/>
        <w:rPr>
          <w:rFonts w:ascii="Palatino Linotype" w:hAnsi="Palatino Linotype"/>
          <w:b/>
          <w:bCs/>
          <w:i/>
          <w:szCs w:val="23"/>
        </w:rPr>
      </w:pPr>
      <w:r>
        <w:rPr>
          <w:rFonts w:ascii="Palatino Linotype" w:hAnsi="Palatino Linotype"/>
          <w:b/>
          <w:bCs/>
          <w:i/>
          <w:szCs w:val="23"/>
        </w:rPr>
        <w:t>“</w:t>
      </w:r>
      <w:r w:rsidR="00081965">
        <w:rPr>
          <w:rFonts w:ascii="Palatino Linotype" w:hAnsi="Palatino Linotype"/>
          <w:b/>
          <w:bCs/>
          <w:i/>
          <w:szCs w:val="23"/>
        </w:rPr>
        <w:t>…</w:t>
      </w:r>
    </w:p>
    <w:p w:rsidR="003F15AE" w:rsidRPr="003F15AE" w:rsidRDefault="003F15AE" w:rsidP="003F15AE">
      <w:pPr>
        <w:autoSpaceDE w:val="0"/>
        <w:autoSpaceDN w:val="0"/>
        <w:adjustRightInd w:val="0"/>
        <w:spacing w:line="276" w:lineRule="auto"/>
        <w:ind w:left="567" w:right="990"/>
        <w:contextualSpacing/>
        <w:jc w:val="both"/>
        <w:rPr>
          <w:rFonts w:ascii="Palatino Linotype" w:hAnsi="Palatino Linotype"/>
          <w:bCs/>
          <w:i/>
          <w:szCs w:val="23"/>
        </w:rPr>
      </w:pPr>
      <w:r w:rsidRPr="003F15AE">
        <w:rPr>
          <w:rFonts w:ascii="Palatino Linotype" w:hAnsi="Palatino Linotype"/>
          <w:bCs/>
          <w:i/>
          <w:szCs w:val="23"/>
        </w:rPr>
        <w:t>Se ORDENA al Ente Recurrido, a efecto de que, previa búsqueda exhaustiva y razonable en todas las áreas competentes, entregue, a través</w:t>
      </w:r>
      <w:r w:rsidRPr="003F15AE">
        <w:rPr>
          <w:rFonts w:ascii="Palatino Linotype" w:hAnsi="Palatino Linotype"/>
          <w:b/>
          <w:bCs/>
          <w:i/>
          <w:szCs w:val="23"/>
        </w:rPr>
        <w:t xml:space="preserve"> </w:t>
      </w:r>
      <w:r w:rsidRPr="003F15AE">
        <w:rPr>
          <w:rFonts w:ascii="Palatino Linotype" w:hAnsi="Palatino Linotype"/>
          <w:bCs/>
          <w:i/>
          <w:szCs w:val="23"/>
        </w:rPr>
        <w:t>del Sistema de Acceso a la Información Mexiquense (SAIMEX), en versión pública, lo siguiente:</w:t>
      </w:r>
    </w:p>
    <w:p w:rsidR="003F15AE" w:rsidRPr="003F15AE" w:rsidRDefault="003F15AE" w:rsidP="003F15AE">
      <w:pPr>
        <w:autoSpaceDE w:val="0"/>
        <w:autoSpaceDN w:val="0"/>
        <w:adjustRightInd w:val="0"/>
        <w:spacing w:line="276" w:lineRule="auto"/>
        <w:ind w:left="720" w:right="990"/>
        <w:contextualSpacing/>
        <w:jc w:val="both"/>
        <w:rPr>
          <w:rFonts w:ascii="Palatino Linotype" w:hAnsi="Palatino Linotype"/>
          <w:b/>
          <w:bCs/>
          <w:i/>
          <w:szCs w:val="23"/>
        </w:rPr>
      </w:pPr>
    </w:p>
    <w:p w:rsidR="003F15AE" w:rsidRPr="003F15AE" w:rsidRDefault="003F15AE" w:rsidP="003F15AE">
      <w:pPr>
        <w:numPr>
          <w:ilvl w:val="0"/>
          <w:numId w:val="9"/>
        </w:numPr>
        <w:autoSpaceDE w:val="0"/>
        <w:autoSpaceDN w:val="0"/>
        <w:adjustRightInd w:val="0"/>
        <w:spacing w:line="276" w:lineRule="auto"/>
        <w:ind w:left="567" w:right="990" w:firstLine="0"/>
        <w:contextualSpacing/>
        <w:jc w:val="both"/>
        <w:rPr>
          <w:rFonts w:ascii="Palatino Linotype" w:hAnsi="Palatino Linotype"/>
          <w:b/>
          <w:bCs/>
          <w:i/>
          <w:szCs w:val="23"/>
        </w:rPr>
      </w:pPr>
      <w:r w:rsidRPr="003F15AE">
        <w:rPr>
          <w:rFonts w:ascii="Palatino Linotype" w:hAnsi="Palatino Linotype"/>
          <w:b/>
          <w:bCs/>
          <w:i/>
          <w:szCs w:val="23"/>
        </w:rPr>
        <w:t>Los Comprobantes Bancarios de la Dispersión de la Nómina, de la primera quincena de enero a la segunda de diciembre de dos mil veintiuno.</w:t>
      </w:r>
    </w:p>
    <w:p w:rsidR="003F15AE" w:rsidRDefault="003F15AE" w:rsidP="003F15AE">
      <w:pPr>
        <w:autoSpaceDE w:val="0"/>
        <w:autoSpaceDN w:val="0"/>
        <w:adjustRightInd w:val="0"/>
        <w:spacing w:line="276" w:lineRule="auto"/>
        <w:ind w:left="720" w:right="990"/>
        <w:contextualSpacing/>
        <w:jc w:val="both"/>
        <w:rPr>
          <w:rFonts w:ascii="Palatino Linotype" w:hAnsi="Palatino Linotype"/>
          <w:b/>
          <w:bCs/>
          <w:i/>
          <w:szCs w:val="23"/>
        </w:rPr>
      </w:pPr>
    </w:p>
    <w:p w:rsidR="00AF1499" w:rsidRPr="003F15AE" w:rsidRDefault="003F15AE" w:rsidP="003F15AE">
      <w:pPr>
        <w:autoSpaceDE w:val="0"/>
        <w:autoSpaceDN w:val="0"/>
        <w:adjustRightInd w:val="0"/>
        <w:spacing w:line="276" w:lineRule="auto"/>
        <w:ind w:left="567" w:right="990"/>
        <w:contextualSpacing/>
        <w:jc w:val="both"/>
        <w:rPr>
          <w:rFonts w:ascii="Palatino Linotype" w:hAnsi="Palatino Linotype"/>
          <w:bCs/>
          <w:i/>
          <w:szCs w:val="23"/>
        </w:rPr>
      </w:pPr>
      <w:r w:rsidRPr="003F15AE">
        <w:rPr>
          <w:rFonts w:ascii="Palatino Linotype" w:hAnsi="Palatino Linotype"/>
          <w:bCs/>
          <w:i/>
          <w:szCs w:val="23"/>
        </w:rPr>
        <w:t>Además, deberá proporcionar el Acuerdo de Clasificación donde el Comité de Transparencia, confirme la eliminación de los datos clasificados, en la versión pública, de conformidad con los artículos 49, fracciones II y VIII, 132, fracción II y 149 de la Ley de Transparencia y Acceso a la Información Pública del Estado de México y Municipios.</w:t>
      </w:r>
      <w:r w:rsidR="00AF1499" w:rsidRPr="003F15AE">
        <w:rPr>
          <w:rFonts w:ascii="Palatino Linotype" w:hAnsi="Palatino Linotype"/>
          <w:i/>
          <w:szCs w:val="23"/>
          <w:lang w:val="es-ES"/>
        </w:rPr>
        <w:t xml:space="preserve">” (Sic) </w:t>
      </w:r>
    </w:p>
    <w:p w:rsidR="00AF1499" w:rsidRDefault="00AF1499" w:rsidP="004A63C4">
      <w:pPr>
        <w:autoSpaceDE w:val="0"/>
        <w:autoSpaceDN w:val="0"/>
        <w:adjustRightInd w:val="0"/>
        <w:spacing w:line="360" w:lineRule="auto"/>
        <w:contextualSpacing/>
        <w:jc w:val="both"/>
        <w:rPr>
          <w:rFonts w:ascii="Palatino Linotype" w:hAnsi="Palatino Linotype"/>
          <w:sz w:val="23"/>
          <w:szCs w:val="23"/>
        </w:rPr>
      </w:pP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toda vez que se determinó </w:t>
      </w:r>
      <w:r w:rsidR="00081965">
        <w:rPr>
          <w:rFonts w:ascii="Palatino Linotype" w:hAnsi="Palatino Linotype"/>
          <w:sz w:val="23"/>
          <w:szCs w:val="23"/>
        </w:rPr>
        <w:t xml:space="preserve">que </w:t>
      </w:r>
      <w:r w:rsidR="00081965" w:rsidRPr="00081965">
        <w:rPr>
          <w:rFonts w:ascii="Palatino Linotype" w:hAnsi="Palatino Linotype"/>
          <w:sz w:val="23"/>
          <w:szCs w:val="23"/>
        </w:rPr>
        <w:t>el Sujeto Obligado cuenta con una Dirección de Seguridad Pública, encargada de salvaguardar y garantizar el orden público y la paz social, así como de  la prevención, co</w:t>
      </w:r>
      <w:r w:rsidR="00F06A7B">
        <w:rPr>
          <w:rFonts w:ascii="Palatino Linotype" w:hAnsi="Palatino Linotype"/>
          <w:sz w:val="23"/>
          <w:szCs w:val="23"/>
        </w:rPr>
        <w:t xml:space="preserve">mbate y persecución de delitos, por lo que </w:t>
      </w:r>
      <w:r w:rsidR="00F06A7B" w:rsidRPr="00F06A7B">
        <w:rPr>
          <w:rFonts w:ascii="Palatino Linotype" w:hAnsi="Palatino Linotype"/>
          <w:b/>
          <w:sz w:val="23"/>
          <w:szCs w:val="23"/>
        </w:rPr>
        <w:t xml:space="preserve">para este Instituto </w:t>
      </w:r>
      <w:r w:rsidR="008E58A8">
        <w:rPr>
          <w:rFonts w:ascii="Palatino Linotype" w:hAnsi="Palatino Linotype"/>
          <w:b/>
          <w:bCs/>
          <w:color w:val="000000" w:themeColor="text1"/>
          <w:sz w:val="23"/>
          <w:szCs w:val="23"/>
        </w:rPr>
        <w:t>resultaba pertinente</w:t>
      </w:r>
      <w:r w:rsidR="00F06A7B" w:rsidRPr="00F06A7B">
        <w:rPr>
          <w:rFonts w:ascii="Palatino Linotype" w:hAnsi="Palatino Linotype"/>
          <w:b/>
          <w:bCs/>
          <w:color w:val="000000" w:themeColor="text1"/>
          <w:sz w:val="23"/>
          <w:szCs w:val="23"/>
        </w:rPr>
        <w:t xml:space="preserve"> </w:t>
      </w:r>
      <w:r w:rsidR="00D07D24" w:rsidRPr="00D07D24">
        <w:rPr>
          <w:rFonts w:ascii="Palatino Linotype" w:hAnsi="Palatino Linotype"/>
          <w:b/>
          <w:bCs/>
          <w:color w:val="000000" w:themeColor="text1"/>
          <w:sz w:val="23"/>
          <w:szCs w:val="23"/>
        </w:rPr>
        <w:t xml:space="preserve">la reserva </w:t>
      </w:r>
      <w:r w:rsidR="003F15AE" w:rsidRPr="003F15AE">
        <w:rPr>
          <w:rFonts w:ascii="Palatino Linotype" w:hAnsi="Palatino Linotype"/>
          <w:b/>
          <w:bCs/>
          <w:color w:val="000000" w:themeColor="text1"/>
          <w:sz w:val="23"/>
          <w:szCs w:val="23"/>
        </w:rPr>
        <w:t>del nombre de los elementos operativos de la Dirección de Seguridad Pública</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lastRenderedPageBreak/>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lastRenderedPageBreak/>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3F15AE">
        <w:rPr>
          <w:rFonts w:ascii="Palatino Linotype" w:hAnsi="Palatino Linotype"/>
          <w:b/>
          <w:bCs/>
          <w:sz w:val="23"/>
          <w:szCs w:val="23"/>
        </w:rPr>
        <w:t>3441</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rsidR="000B2A76" w:rsidRDefault="000B2A76" w:rsidP="000B2A76">
      <w:pPr>
        <w:jc w:val="both"/>
        <w:rPr>
          <w:rStyle w:val="normaltextrun"/>
          <w:rFonts w:ascii="Palatino Linotype" w:hAnsi="Palatino Linotype" w:cs="Segoe UI"/>
        </w:rPr>
      </w:pP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rsidR="00D36CD9" w:rsidRDefault="000B2A76" w:rsidP="000B2A76">
      <w:pPr>
        <w:spacing w:before="240" w:after="24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rsidR="000B2A76" w:rsidRDefault="00800878" w:rsidP="000B2A76">
      <w:pPr>
        <w:spacing w:before="240" w:after="240" w:line="360" w:lineRule="auto"/>
        <w:jc w:val="both"/>
        <w:rPr>
          <w:rFonts w:ascii="Palatino Linotype" w:hAnsi="Palatino Linotype"/>
          <w:sz w:val="23"/>
          <w:szCs w:val="23"/>
        </w:rPr>
      </w:pPr>
      <w:r>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14:anchorId="263086C7" wp14:editId="2EAF533D">
                <wp:simplePos x="0" y="0"/>
                <wp:positionH relativeFrom="column">
                  <wp:posOffset>82550</wp:posOffset>
                </wp:positionH>
                <wp:positionV relativeFrom="paragraph">
                  <wp:posOffset>549910</wp:posOffset>
                </wp:positionV>
                <wp:extent cx="5400675" cy="65341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400675" cy="6534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BB559"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43.3pt" to="431.75pt,5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" strokecolor="black [3200]" strokeweight=".5pt">
                <v:stroke joinstyle="miter"/>
              </v:line>
            </w:pict>
          </mc:Fallback>
        </mc:AlternateContent>
      </w:r>
      <w:r w:rsidR="000B2A76" w:rsidRPr="000D7039">
        <w:rPr>
          <w:rFonts w:ascii="Palatino Linotype" w:hAnsi="Palatino Linotype"/>
          <w:sz w:val="23"/>
          <w:szCs w:val="23"/>
        </w:rPr>
        <w:t>Lo expuesto, constituyen las razones y fu</w:t>
      </w:r>
      <w:r w:rsidR="000B2A76">
        <w:rPr>
          <w:rFonts w:ascii="Palatino Linotype" w:hAnsi="Palatino Linotype"/>
          <w:sz w:val="23"/>
          <w:szCs w:val="23"/>
        </w:rPr>
        <w:t xml:space="preserve">ndamentos que me llevan a emitir </w:t>
      </w:r>
      <w:r w:rsidR="000B2A76" w:rsidRPr="00FB2266">
        <w:rPr>
          <w:rFonts w:ascii="Palatino Linotype" w:hAnsi="Palatino Linotype"/>
          <w:sz w:val="23"/>
          <w:szCs w:val="23"/>
        </w:rPr>
        <w:t>la opinión</w:t>
      </w:r>
      <w:r w:rsidR="000B2A76">
        <w:rPr>
          <w:rFonts w:ascii="Palatino Linotype" w:hAnsi="Palatino Linotype"/>
          <w:sz w:val="23"/>
          <w:szCs w:val="23"/>
        </w:rPr>
        <w:t xml:space="preserve"> </w:t>
      </w:r>
      <w:r w:rsidR="000B2A76" w:rsidRPr="000D7039">
        <w:rPr>
          <w:rFonts w:ascii="Palatino Linotype" w:hAnsi="Palatino Linotype"/>
          <w:sz w:val="23"/>
          <w:szCs w:val="23"/>
        </w:rPr>
        <w:t xml:space="preserve">particular que se ha expresado. </w:t>
      </w:r>
    </w:p>
    <w:p w:rsidR="000B2A76" w:rsidRDefault="000B2A76" w:rsidP="000B2A76">
      <w:pPr>
        <w:spacing w:before="240" w:after="240" w:line="360" w:lineRule="auto"/>
        <w:jc w:val="both"/>
        <w:rPr>
          <w:rFonts w:ascii="Palatino Linotype" w:hAnsi="Palatino Linotype"/>
          <w:sz w:val="23"/>
          <w:szCs w:val="23"/>
        </w:rPr>
      </w:pPr>
    </w:p>
    <w:p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rsidR="000B2A76" w:rsidRPr="000D7039" w:rsidRDefault="000B2A76" w:rsidP="000B2A76">
      <w:pPr>
        <w:spacing w:before="240" w:after="240" w:line="360" w:lineRule="auto"/>
        <w:jc w:val="both"/>
        <w:rPr>
          <w:rFonts w:ascii="Palatino Linotype" w:hAnsi="Palatino Linotype"/>
          <w:sz w:val="23"/>
          <w:szCs w:val="23"/>
        </w:rPr>
      </w:pPr>
    </w:p>
    <w:p w:rsidR="000B2A76" w:rsidRPr="000D7039" w:rsidRDefault="000B2A76" w:rsidP="000B2A76">
      <w:pPr>
        <w:spacing w:before="240" w:after="240" w:line="360" w:lineRule="auto"/>
        <w:jc w:val="center"/>
        <w:rPr>
          <w:rFonts w:ascii="Palatino Linotype" w:hAnsi="Palatino Linotype"/>
          <w:b/>
          <w:sz w:val="23"/>
          <w:szCs w:val="23"/>
        </w:rPr>
      </w:pPr>
    </w:p>
    <w:p w:rsidR="000B2A76" w:rsidRPr="000D7039" w:rsidRDefault="000B2A76" w:rsidP="000B2A76">
      <w:pPr>
        <w:spacing w:after="0" w:line="240" w:lineRule="auto"/>
        <w:jc w:val="center"/>
        <w:rPr>
          <w:rFonts w:ascii="Palatino Linotype" w:hAnsi="Palatino Linotype"/>
          <w:sz w:val="23"/>
          <w:szCs w:val="23"/>
        </w:rPr>
      </w:pPr>
    </w:p>
    <w:p w:rsidR="000B2A76" w:rsidRPr="000D7039" w:rsidRDefault="000B2A76" w:rsidP="000B2A76">
      <w:pPr>
        <w:spacing w:before="240" w:after="240" w:line="360" w:lineRule="auto"/>
        <w:rPr>
          <w:rFonts w:ascii="Palatino Linotype" w:hAnsi="Palatino Linotype"/>
          <w:sz w:val="24"/>
          <w:szCs w:val="24"/>
        </w:rPr>
      </w:pPr>
    </w:p>
    <w:p w:rsidR="000B2A76" w:rsidRDefault="000B2A76" w:rsidP="000B2A76"/>
    <w:p w:rsidR="000B2A76" w:rsidRDefault="000B2A76" w:rsidP="000B2A76"/>
    <w:p w:rsidR="00A1078F" w:rsidRDefault="005D3CDB"/>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DDD" w:rsidRDefault="002A5DDD" w:rsidP="000B2A76">
      <w:pPr>
        <w:spacing w:after="0" w:line="240" w:lineRule="auto"/>
      </w:pPr>
      <w:r>
        <w:separator/>
      </w:r>
    </w:p>
  </w:endnote>
  <w:endnote w:type="continuationSeparator" w:id="0">
    <w:p w:rsidR="002A5DDD" w:rsidRDefault="002A5DDD"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D3CDB">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D3CDB">
      <w:rPr>
        <w:rFonts w:ascii="Arial" w:hAnsi="Arial" w:cs="Arial"/>
        <w:b/>
        <w:bCs/>
        <w:noProof/>
        <w:sz w:val="20"/>
        <w:szCs w:val="20"/>
      </w:rPr>
      <w:t>9</w:t>
    </w:r>
    <w:r w:rsidRPr="00986599">
      <w:rPr>
        <w:rFonts w:ascii="Arial" w:hAnsi="Arial" w:cs="Arial"/>
        <w:b/>
        <w:bCs/>
        <w:sz w:val="20"/>
        <w:szCs w:val="20"/>
      </w:rPr>
      <w:fldChar w:fldCharType="end"/>
    </w:r>
  </w:p>
  <w:p w:rsidR="00D758BE" w:rsidRDefault="005D3CDB"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DDD" w:rsidRDefault="002A5DDD" w:rsidP="000B2A76">
      <w:pPr>
        <w:spacing w:after="0" w:line="240" w:lineRule="auto"/>
      </w:pPr>
      <w:r>
        <w:separator/>
      </w:r>
    </w:p>
  </w:footnote>
  <w:footnote w:type="continuationSeparator" w:id="0">
    <w:p w:rsidR="002A5DDD" w:rsidRDefault="002A5DDD"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5D3CD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38E550CA" wp14:editId="50591D3D">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5C38E6C" wp14:editId="3A3B6FDF">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3F15AE">
      <w:rPr>
        <w:rFonts w:ascii="Palatino Linotype" w:hAnsi="Palatino Linotype" w:cs="Arial"/>
        <w:b/>
        <w:sz w:val="22"/>
        <w:szCs w:val="22"/>
      </w:rPr>
      <w:t>3441</w:t>
    </w:r>
    <w:r w:rsidRPr="00FB2266">
      <w:rPr>
        <w:rFonts w:ascii="Palatino Linotype" w:hAnsi="Palatino Linotype" w:cs="Arial"/>
        <w:b/>
        <w:sz w:val="22"/>
        <w:szCs w:val="22"/>
      </w:rPr>
      <w:t>/INFOEM/IP/RR/2022</w:t>
    </w:r>
  </w:p>
  <w:p w:rsidR="000B1C1F" w:rsidRPr="000D4A99" w:rsidRDefault="005D3CDB"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5D3CD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C2" w:rsidRPr="000D4A99" w:rsidRDefault="005D3CDB" w:rsidP="007263BB">
    <w:pPr>
      <w:pStyle w:val="Encabezado"/>
      <w:jc w:val="right"/>
      <w:rPr>
        <w:rFonts w:ascii="Arial" w:hAnsi="Arial" w:cs="Arial"/>
        <w:sz w:val="20"/>
        <w:szCs w:val="20"/>
      </w:rPr>
    </w:pPr>
  </w:p>
  <w:p w:rsidR="00F029C2" w:rsidRPr="000D4A99" w:rsidRDefault="005D3CDB" w:rsidP="007263BB">
    <w:pPr>
      <w:pStyle w:val="Encabezado"/>
      <w:jc w:val="right"/>
      <w:rPr>
        <w:rFonts w:ascii="Arial" w:hAnsi="Arial" w:cs="Arial"/>
        <w:sz w:val="20"/>
        <w:szCs w:val="20"/>
      </w:rPr>
    </w:pPr>
  </w:p>
  <w:p w:rsidR="00F029C2" w:rsidRPr="000D4A99" w:rsidRDefault="005D3CDB" w:rsidP="007263BB">
    <w:pPr>
      <w:pStyle w:val="Encabezado"/>
      <w:jc w:val="right"/>
      <w:rPr>
        <w:rFonts w:ascii="Arial" w:hAnsi="Arial" w:cs="Arial"/>
        <w:sz w:val="20"/>
        <w:szCs w:val="20"/>
      </w:rPr>
    </w:pPr>
  </w:p>
  <w:p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rsidR="00F029C2" w:rsidRPr="000D4A99" w:rsidRDefault="005D3CDB" w:rsidP="007263BB">
    <w:pPr>
      <w:pStyle w:val="Encabezado"/>
      <w:jc w:val="right"/>
      <w:rPr>
        <w:rFonts w:ascii="Palatino Linotype" w:hAnsi="Palatino Linotype" w:cs="Arial"/>
        <w:sz w:val="20"/>
        <w:szCs w:val="20"/>
      </w:rPr>
    </w:pPr>
  </w:p>
  <w:p w:rsidR="00F029C2" w:rsidRPr="000D4A99" w:rsidRDefault="005D3CDB"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52B3F4D"/>
    <w:multiLevelType w:val="hybridMultilevel"/>
    <w:tmpl w:val="7C2C4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6"/>
  </w:num>
  <w:num w:numId="6">
    <w:abstractNumId w:val="5"/>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275288"/>
    <w:rsid w:val="002A05DA"/>
    <w:rsid w:val="002A5DDD"/>
    <w:rsid w:val="002E2039"/>
    <w:rsid w:val="003A52D3"/>
    <w:rsid w:val="003F15AE"/>
    <w:rsid w:val="004A63C4"/>
    <w:rsid w:val="004A7D0F"/>
    <w:rsid w:val="005D3CDB"/>
    <w:rsid w:val="007213EF"/>
    <w:rsid w:val="00800878"/>
    <w:rsid w:val="0081741B"/>
    <w:rsid w:val="008626F2"/>
    <w:rsid w:val="008C438F"/>
    <w:rsid w:val="008E58A8"/>
    <w:rsid w:val="00977DEC"/>
    <w:rsid w:val="00A0212F"/>
    <w:rsid w:val="00A22313"/>
    <w:rsid w:val="00AF1499"/>
    <w:rsid w:val="00AF53CA"/>
    <w:rsid w:val="00BA53BA"/>
    <w:rsid w:val="00BD6E2C"/>
    <w:rsid w:val="00D07D24"/>
    <w:rsid w:val="00D36CD9"/>
    <w:rsid w:val="00DF0E55"/>
    <w:rsid w:val="00E1501A"/>
    <w:rsid w:val="00EB4154"/>
    <w:rsid w:val="00EE5423"/>
    <w:rsid w:val="00EF5CE8"/>
    <w:rsid w:val="00F06A7B"/>
    <w:rsid w:val="00F7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1743</Words>
  <Characters>9588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cp:revision>
  <cp:lastPrinted>2022-07-11T15:21:00Z</cp:lastPrinted>
  <dcterms:created xsi:type="dcterms:W3CDTF">2022-07-11T15:21:00Z</dcterms:created>
  <dcterms:modified xsi:type="dcterms:W3CDTF">2022-07-11T15:22:00Z</dcterms:modified>
</cp:coreProperties>
</file>