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89DA8" w14:textId="77777777" w:rsidR="00182301" w:rsidRDefault="00182301" w:rsidP="00182301">
      <w:pPr>
        <w:widowControl w:val="0"/>
        <w:pBdr>
          <w:top w:val="nil"/>
          <w:left w:val="nil"/>
          <w:bottom w:val="nil"/>
          <w:right w:val="nil"/>
          <w:between w:val="nil"/>
        </w:pBdr>
        <w:spacing w:after="0" w:line="276" w:lineRule="auto"/>
        <w:rPr>
          <w:rFonts w:ascii="Palatino Linotype" w:eastAsia="Palatino Linotype" w:hAnsi="Palatino Linotype" w:cs="Palatino Linotype"/>
          <w:b/>
          <w:sz w:val="24"/>
          <w:szCs w:val="24"/>
        </w:rPr>
      </w:pPr>
    </w:p>
    <w:p w14:paraId="7445363B" w14:textId="77777777" w:rsidR="009839CA" w:rsidRDefault="00D379E2" w:rsidP="002F08DC">
      <w:pPr>
        <w:widowControl w:val="0"/>
        <w:pBdr>
          <w:top w:val="nil"/>
          <w:left w:val="nil"/>
          <w:bottom w:val="nil"/>
          <w:right w:val="nil"/>
          <w:between w:val="nil"/>
        </w:pBdr>
        <w:spacing w:after="0" w:line="276" w:lineRule="auto"/>
        <w:jc w:val="both"/>
        <w:rPr>
          <w:rFonts w:ascii="Palatino Linotype" w:eastAsia="Palatino Linotype" w:hAnsi="Palatino Linotype" w:cs="Palatino Linotype"/>
          <w:b/>
          <w:sz w:val="24"/>
          <w:szCs w:val="24"/>
        </w:rPr>
      </w:pPr>
      <w:r>
        <w:pict w14:anchorId="37798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50pt;height:50pt;z-index:251657728;visibility:hidden">
            <o:lock v:ext="edit" selection="t"/>
          </v:shape>
        </w:pict>
      </w:r>
      <w:r>
        <w:pict w14:anchorId="4C0503AE">
          <v:shape id="_x0000_s1030" type="#_x0000_t136" style="position:absolute;left:0;text-align:left;margin-left:0;margin-top:0;width:50pt;height:50pt;z-index:251656704;visibility:hidden">
            <o:lock v:ext="edit" selection="t"/>
          </v:shape>
        </w:pict>
      </w:r>
      <w:r>
        <w:pict w14:anchorId="6161830E">
          <v:shape id="_x0000_s1027" type="#_x0000_t136" style="position:absolute;left:0;text-align:left;margin-left:0;margin-top:0;width:50pt;height:50pt;z-index:251658752;visibility:hidden">
            <o:lock v:ext="edit" selection="t"/>
          </v:shape>
        </w:pict>
      </w:r>
      <w:r>
        <w:pict w14:anchorId="5958092E">
          <v:shape id="_x0000_s1026" type="#_x0000_t136" style="position:absolute;left:0;text-align:left;margin-left:0;margin-top:0;width:50pt;height:50pt;z-index:251659776;visibility:hidden">
            <o:lock v:ext="edit" selection="t"/>
          </v:shape>
        </w:pict>
      </w:r>
      <w:r w:rsidR="002F08DC">
        <w:rPr>
          <w:rFonts w:ascii="Palatino Linotype" w:eastAsia="Palatino Linotype" w:hAnsi="Palatino Linotype" w:cs="Palatino Linotype"/>
          <w:b/>
          <w:sz w:val="24"/>
          <w:szCs w:val="24"/>
        </w:rPr>
        <w:t>OPINIÓN PARTICULAR QUE FORMULA LA COMISIONADA GUADALUPE RAMÍREZ PEÑA, EN RELACIÓN CON LA RESOLUCIÓN DICTADA POR EL PLENO DEL INSTITUTO DE TRANSPARENCIA, ACCESO A LA INFORMACIÓN PÚBLICA Y PROTECCIÓN DE DATOS PERSONALES DEL ESTADO DE MÉXICO Y MUNIC</w:t>
      </w:r>
      <w:bookmarkStart w:id="0" w:name="_GoBack"/>
      <w:bookmarkEnd w:id="0"/>
      <w:r w:rsidR="002F08DC">
        <w:rPr>
          <w:rFonts w:ascii="Palatino Linotype" w:eastAsia="Palatino Linotype" w:hAnsi="Palatino Linotype" w:cs="Palatino Linotype"/>
          <w:b/>
          <w:sz w:val="24"/>
          <w:szCs w:val="24"/>
        </w:rPr>
        <w:t>IPIOS, EN LA CUADRAGÉSIMA TERCERA SESIÓN ORDINARIA DEL TREINTA DE NOVIEMBRE DE DOS MIL VEINTIDÓS, EN EL RECURSO DE REVISIÓN 05541/INFOEM/IP/RR/2022.</w:t>
      </w:r>
    </w:p>
    <w:p w14:paraId="5CBA73C6" w14:textId="3A5A83E5" w:rsidR="009839CA" w:rsidRDefault="002F08D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pleno del Instituto de Transparencia, Acceso a la Información Pública y Protección de Datos Personales del Estado de </w:t>
      </w:r>
      <w:r w:rsidR="002827A0">
        <w:rPr>
          <w:rFonts w:ascii="Palatino Linotype" w:eastAsia="Palatino Linotype" w:hAnsi="Palatino Linotype" w:cs="Palatino Linotype"/>
          <w:sz w:val="24"/>
          <w:szCs w:val="24"/>
        </w:rPr>
        <w:t xml:space="preserve">México y Municipios, aprobó por unanimidad </w:t>
      </w:r>
      <w:r>
        <w:rPr>
          <w:rFonts w:ascii="Palatino Linotype" w:eastAsia="Palatino Linotype" w:hAnsi="Palatino Linotype" w:cs="Palatino Linotype"/>
          <w:sz w:val="24"/>
          <w:szCs w:val="24"/>
        </w:rPr>
        <w:t xml:space="preserve">de votos, la resolución relativa al recurso de revisión </w:t>
      </w:r>
      <w:r w:rsidR="00B17C0C" w:rsidRPr="00B17C0C">
        <w:rPr>
          <w:rFonts w:ascii="Palatino Linotype" w:eastAsia="Palatino Linotype" w:hAnsi="Palatino Linotype" w:cs="Palatino Linotype"/>
          <w:b/>
          <w:sz w:val="24"/>
          <w:szCs w:val="24"/>
        </w:rPr>
        <w:t>05541</w:t>
      </w:r>
      <w:r>
        <w:rPr>
          <w:rFonts w:ascii="Palatino Linotype" w:eastAsia="Palatino Linotype" w:hAnsi="Palatino Linotype" w:cs="Palatino Linotype"/>
          <w:b/>
          <w:sz w:val="24"/>
          <w:szCs w:val="24"/>
        </w:rPr>
        <w:t>/INFOEM/IP/RR/2022,</w:t>
      </w:r>
      <w:r>
        <w:rPr>
          <w:rFonts w:ascii="Palatino Linotype" w:eastAsia="Palatino Linotype" w:hAnsi="Palatino Linotype" w:cs="Palatino Linotype"/>
          <w:sz w:val="24"/>
          <w:szCs w:val="24"/>
        </w:rPr>
        <w:t xml:space="preserve"> presentada por el Comisionado Luis Gustavo Parra Noriega, respecto de la cual, la suscrita formula </w:t>
      </w:r>
      <w:r>
        <w:rPr>
          <w:rFonts w:ascii="Palatino Linotype" w:eastAsia="Palatino Linotype" w:hAnsi="Palatino Linotype" w:cs="Palatino Linotype"/>
          <w:b/>
          <w:sz w:val="24"/>
          <w:szCs w:val="24"/>
        </w:rPr>
        <w:t>OPINIÓN  PARTICULAR</w:t>
      </w:r>
      <w:r>
        <w:rPr>
          <w:rFonts w:ascii="Palatino Linotype" w:eastAsia="Palatino Linotype" w:hAnsi="Palatino Linotype" w:cs="Palatino Linotype"/>
          <w:sz w:val="24"/>
          <w:szCs w:val="24"/>
        </w:rPr>
        <w:t>,  con fundamento en el artículo 14 fracción XI del Reglamento Interior del Instituto de Transparencia, Acceso a la Información Pública y Protección de Datos Personales del Estado de México y Municipios.</w:t>
      </w:r>
    </w:p>
    <w:p w14:paraId="0C865AE0" w14:textId="77777777" w:rsidR="009839CA" w:rsidRDefault="002F08D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14:paraId="19590A8F" w14:textId="77777777" w:rsidR="009839CA" w:rsidRDefault="002F08DC">
      <w:pPr>
        <w:spacing w:before="240" w:after="240" w:line="360" w:lineRule="auto"/>
        <w:jc w:val="both"/>
        <w:rPr>
          <w:rFonts w:ascii="Palatino Linotype" w:eastAsia="Palatino Linotype" w:hAnsi="Palatino Linotype" w:cs="Palatino Linotype"/>
          <w:sz w:val="24"/>
          <w:szCs w:val="24"/>
        </w:rPr>
      </w:pPr>
      <w:bookmarkStart w:id="1" w:name="_heading=h.gjdgxs" w:colFirst="0" w:colLast="0"/>
      <w:bookmarkEnd w:id="1"/>
      <w:r>
        <w:rPr>
          <w:rFonts w:ascii="Palatino Linotype" w:eastAsia="Palatino Linotype" w:hAnsi="Palatino Linotype" w:cs="Palatino Linotype"/>
          <w:sz w:val="24"/>
          <w:szCs w:val="24"/>
        </w:rPr>
        <w:t xml:space="preserve">En el caso concreto,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requirió al Ayuntamiento de </w:t>
      </w:r>
      <w:r w:rsidR="00B17C0C">
        <w:rPr>
          <w:rFonts w:ascii="Palatino Linotype" w:eastAsia="Palatino Linotype" w:hAnsi="Palatino Linotype" w:cs="Palatino Linotype"/>
          <w:sz w:val="24"/>
          <w:szCs w:val="24"/>
        </w:rPr>
        <w:t>Tenango del Aire</w:t>
      </w:r>
      <w:r>
        <w:rPr>
          <w:rFonts w:ascii="Palatino Linotype" w:eastAsia="Palatino Linotype" w:hAnsi="Palatino Linotype" w:cs="Palatino Linotype"/>
          <w:sz w:val="24"/>
          <w:szCs w:val="24"/>
        </w:rPr>
        <w:t xml:space="preserve">, la siguiente información: </w:t>
      </w:r>
    </w:p>
    <w:p w14:paraId="07F6D8DC" w14:textId="77777777" w:rsidR="009839CA" w:rsidRDefault="002F08DC">
      <w:pPr>
        <w:tabs>
          <w:tab w:val="left" w:pos="567"/>
        </w:tabs>
        <w:spacing w:after="0" w:line="276" w:lineRule="auto"/>
        <w:ind w:left="567" w:right="99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“1</w:t>
      </w:r>
      <w:r w:rsidR="00B17C0C" w:rsidRPr="00B17C0C">
        <w:t xml:space="preserve"> </w:t>
      </w:r>
      <w:r w:rsidR="00B17C0C" w:rsidRPr="00B17C0C">
        <w:rPr>
          <w:rFonts w:ascii="Palatino Linotype" w:eastAsia="Palatino Linotype" w:hAnsi="Palatino Linotype" w:cs="Palatino Linotype"/>
          <w:i/>
          <w:color w:val="000000"/>
        </w:rPr>
        <w:t xml:space="preserve">Informe Mensual Municipal Presentado al OSFEM correspondiente a enero de 2020. - Informe Mensual Municipal Presentado al OSFEM correspondiente a febrero de 2020. - Informe Mensual Municipal Presentado al OSFEM correspondiente a marzo de 2020. - Informe Mensual Municipal Presentado al OSFEM correspondiente a abril de 2020. - Informe Mensual Municipal Presentado al OSFEM correspondiente a mayo de 2020. - Informe Mensual Municipal Presentado al OSFEM correspondiente a junio de 2020. - Informe Mensual Municipal Presentado al OSFEM correspondiente a julio de 2020. - Informe Mensual Municipal Presentado al OSFEM correspondiente a agosto de 2020. - Informe Mensual Municipal Presentado al OSFEM correspondiente a septiembre de 2020. - Informe Mensual Municipal Presentado al OSFEM correspondiente a octubre de 2020. - Informe Mensual Municipal Presentado al OSFEM correspondiente a noviembre de 2020. - Informe Mensual Municipal Presentado al OSFEM correspondiente a diciembre de 2020. CONSIDERACIONES ADICIONALES • Archivos en Excel • Archivos Digitalizados.” (Sic) </w:t>
      </w:r>
    </w:p>
    <w:p w14:paraId="23EA1949" w14:textId="77777777" w:rsidR="009839CA" w:rsidRDefault="002F08D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notificó, a través del Sistema de Acceso a la Información Mexiquense (SAIMEX), la respuesta medularmente en los siguientes términos: </w:t>
      </w:r>
    </w:p>
    <w:p w14:paraId="66D8C32F" w14:textId="77777777" w:rsidR="00B17C0C" w:rsidRPr="00B17C0C" w:rsidRDefault="00B17C0C" w:rsidP="00B17C0C">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sidR="002F08DC">
        <w:rPr>
          <w:rFonts w:ascii="Palatino Linotype" w:eastAsia="Palatino Linotype" w:hAnsi="Palatino Linotype" w:cs="Palatino Linotype"/>
          <w:i/>
        </w:rPr>
        <w:t>“…</w:t>
      </w:r>
      <w:r w:rsidRPr="00B17C0C">
        <w:rPr>
          <w:rFonts w:ascii="Palatino Linotype" w:eastAsia="Palatino Linotype" w:hAnsi="Palatino Linotype" w:cs="Palatino Linotype"/>
          <w:i/>
        </w:rPr>
        <w:t xml:space="preserve">me permito hacer de su conocimiento que la información solicitada está a su disposición y consulta en la página web del municipio, siendo dicha página la siguiente https://tenangodelaire.gob.mx/transparencia/ayuntamiento. </w:t>
      </w:r>
    </w:p>
    <w:p w14:paraId="24C4CEB9" w14:textId="77777777" w:rsidR="009839CA" w:rsidRDefault="00B17C0C" w:rsidP="00B17C0C">
      <w:pPr>
        <w:spacing w:after="0" w:line="276" w:lineRule="auto"/>
        <w:ind w:left="567" w:right="990"/>
        <w:jc w:val="both"/>
        <w:rPr>
          <w:rFonts w:ascii="Palatino Linotype" w:eastAsia="Palatino Linotype" w:hAnsi="Palatino Linotype" w:cs="Palatino Linotype"/>
          <w:i/>
        </w:rPr>
      </w:pPr>
      <w:r w:rsidRPr="00B17C0C">
        <w:rPr>
          <w:rFonts w:ascii="Palatino Linotype" w:eastAsia="Palatino Linotype" w:hAnsi="Palatino Linotype" w:cs="Palatino Linotype"/>
          <w:i/>
        </w:rPr>
        <w:t>…”</w:t>
      </w:r>
      <w:r w:rsidR="002F08DC">
        <w:rPr>
          <w:rFonts w:ascii="Palatino Linotype" w:eastAsia="Palatino Linotype" w:hAnsi="Palatino Linotype" w:cs="Palatino Linotype"/>
          <w:i/>
        </w:rPr>
        <w:t>.</w:t>
      </w:r>
    </w:p>
    <w:p w14:paraId="374B12DE" w14:textId="77777777" w:rsidR="00FF150C" w:rsidRDefault="00FF150C">
      <w:pPr>
        <w:spacing w:line="360" w:lineRule="auto"/>
        <w:jc w:val="both"/>
        <w:rPr>
          <w:rFonts w:ascii="Palatino Linotype" w:eastAsia="Palatino Linotype" w:hAnsi="Palatino Linotype" w:cs="Palatino Linotype"/>
          <w:i/>
        </w:rPr>
      </w:pPr>
    </w:p>
    <w:p w14:paraId="561F9082" w14:textId="5F5A22C6" w:rsidR="00FF150C" w:rsidRDefault="00FF150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conocida la respuesta por la parte recurrente, interpuso el presente medio de impugnación en el que expresó como razones o motivos de inconformidad </w:t>
      </w:r>
      <w:r w:rsidR="00371059">
        <w:rPr>
          <w:rFonts w:ascii="Palatino Linotype" w:eastAsia="Palatino Linotype" w:hAnsi="Palatino Linotype" w:cs="Palatino Linotype"/>
        </w:rPr>
        <w:t xml:space="preserve">lo siguiente: </w:t>
      </w:r>
    </w:p>
    <w:p w14:paraId="13839459" w14:textId="5D67B071" w:rsidR="00371059" w:rsidRPr="00371059" w:rsidRDefault="00371059" w:rsidP="00371059">
      <w:pPr>
        <w:spacing w:after="0" w:line="360" w:lineRule="auto"/>
        <w:ind w:left="851" w:right="706"/>
        <w:rPr>
          <w:rFonts w:ascii="Palatino Linotype" w:hAnsi="Palatino Linotype"/>
          <w:i/>
        </w:rPr>
      </w:pPr>
      <w:r>
        <w:rPr>
          <w:rFonts w:ascii="Palatino Linotype" w:hAnsi="Palatino Linotype"/>
          <w:i/>
        </w:rPr>
        <w:t>“</w:t>
      </w:r>
      <w:r w:rsidRPr="00371059">
        <w:rPr>
          <w:rFonts w:ascii="Palatino Linotype" w:hAnsi="Palatino Linotype"/>
          <w:i/>
        </w:rPr>
        <w:t>no sirve el portal https://tenangodelaire.gob.mx/transparencia/ayuntamiento es complicado dificil carente no se le ha dado respuesta a mi solicitud” (Sic.)</w:t>
      </w:r>
    </w:p>
    <w:p w14:paraId="57A7AC28" w14:textId="5F1DD374" w:rsidR="009839CA" w:rsidRDefault="004F43E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rPr>
        <w:lastRenderedPageBreak/>
        <w:t>A</w:t>
      </w:r>
      <w:r w:rsidR="002F08DC">
        <w:rPr>
          <w:rFonts w:ascii="Palatino Linotype" w:eastAsia="Palatino Linotype" w:hAnsi="Palatino Linotype" w:cs="Palatino Linotype"/>
          <w:sz w:val="24"/>
          <w:szCs w:val="24"/>
        </w:rPr>
        <w:t>dmitido el presente recurso de revisión, en términos del artículo 185 fracción II</w:t>
      </w:r>
      <w:r w:rsidR="002F08DC">
        <w:rPr>
          <w:sz w:val="24"/>
          <w:szCs w:val="24"/>
          <w:vertAlign w:val="superscript"/>
        </w:rPr>
        <w:footnoteReference w:id="1"/>
      </w:r>
      <w:r w:rsidR="002F08DC">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sin embargo, las partes fueron omisas en remitir información alguna.</w:t>
      </w:r>
    </w:p>
    <w:p w14:paraId="19C1BD4F" w14:textId="77777777" w:rsidR="009839CA" w:rsidRDefault="002F08D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previo análisis de las constancias y de la naturaleza de la información, la Ponencia que resolvió determinó que las razones y/o motivos de inconformidad del particular son fundados y procedió a ordenar la entrega de información, como se advierte en el </w:t>
      </w:r>
      <w:r>
        <w:rPr>
          <w:rFonts w:ascii="Palatino Linotype" w:eastAsia="Palatino Linotype" w:hAnsi="Palatino Linotype" w:cs="Palatino Linotype"/>
          <w:b/>
          <w:sz w:val="24"/>
          <w:szCs w:val="24"/>
        </w:rPr>
        <w:t>resolutivo SEGUNDO</w:t>
      </w:r>
      <w:r>
        <w:rPr>
          <w:rFonts w:ascii="Palatino Linotype" w:eastAsia="Palatino Linotype" w:hAnsi="Palatino Linotype" w:cs="Palatino Linotype"/>
          <w:sz w:val="24"/>
          <w:szCs w:val="24"/>
        </w:rPr>
        <w:t>:</w:t>
      </w:r>
    </w:p>
    <w:p w14:paraId="38884D7A" w14:textId="77777777" w:rsidR="009839CA" w:rsidRDefault="009839CA">
      <w:pPr>
        <w:spacing w:after="0" w:line="276" w:lineRule="auto"/>
        <w:ind w:left="567" w:right="990"/>
        <w:jc w:val="both"/>
        <w:rPr>
          <w:rFonts w:ascii="Palatino Linotype" w:eastAsia="Palatino Linotype" w:hAnsi="Palatino Linotype" w:cs="Palatino Linotype"/>
          <w:b/>
          <w:i/>
        </w:rPr>
      </w:pPr>
    </w:p>
    <w:p w14:paraId="601109A0" w14:textId="77777777" w:rsidR="00514496" w:rsidRPr="00514496" w:rsidRDefault="002F08DC" w:rsidP="004F43E5">
      <w:pPr>
        <w:widowControl w:val="0"/>
        <w:spacing w:after="0" w:line="276" w:lineRule="auto"/>
        <w:ind w:left="851" w:right="706"/>
        <w:jc w:val="both"/>
        <w:rPr>
          <w:rFonts w:ascii="Palatino Linotype" w:hAnsi="Palatino Linotype" w:cs="Tahoma"/>
          <w:bCs/>
          <w:i/>
          <w:iCs/>
          <w:lang w:val="es-ES" w:eastAsia="es-ES_tradnl"/>
        </w:rPr>
      </w:pPr>
      <w:r w:rsidRPr="00514496">
        <w:rPr>
          <w:rFonts w:ascii="Palatino Linotype" w:eastAsia="Palatino Linotype" w:hAnsi="Palatino Linotype" w:cs="Palatino Linotype"/>
          <w:i/>
        </w:rPr>
        <w:t>“</w:t>
      </w:r>
      <w:r w:rsidR="00514496" w:rsidRPr="00514496">
        <w:rPr>
          <w:rFonts w:ascii="Palatino Linotype" w:hAnsi="Palatino Linotype" w:cs="Tahoma"/>
          <w:b/>
          <w:bCs/>
          <w:i/>
        </w:rPr>
        <w:t xml:space="preserve">SEGUNDO. </w:t>
      </w:r>
      <w:r w:rsidR="00514496" w:rsidRPr="00514496">
        <w:rPr>
          <w:rFonts w:ascii="Palatino Linotype" w:hAnsi="Palatino Linotype" w:cs="Tahoma"/>
          <w:i/>
        </w:rPr>
        <w:t xml:space="preserve">Se </w:t>
      </w:r>
      <w:r w:rsidR="00514496" w:rsidRPr="00514496">
        <w:rPr>
          <w:rFonts w:ascii="Palatino Linotype" w:hAnsi="Palatino Linotype" w:cs="Tahoma"/>
          <w:b/>
          <w:i/>
        </w:rPr>
        <w:t xml:space="preserve">ORDENA </w:t>
      </w:r>
      <w:r w:rsidR="00514496" w:rsidRPr="00514496">
        <w:rPr>
          <w:rFonts w:ascii="Palatino Linotype" w:hAnsi="Palatino Linotype" w:cs="Tahoma"/>
          <w:bCs/>
          <w:i/>
        </w:rPr>
        <w:t xml:space="preserve">al </w:t>
      </w:r>
      <w:r w:rsidR="00514496" w:rsidRPr="00514496">
        <w:rPr>
          <w:rFonts w:ascii="Palatino Linotype" w:hAnsi="Palatino Linotype" w:cs="Tahoma"/>
          <w:i/>
        </w:rPr>
        <w:t xml:space="preserve">Ente Recurrido, a efecto de que, previa búsqueda exhaustiva y razonable en las unidades administrativas competentes, entregue </w:t>
      </w:r>
      <w:r w:rsidR="00514496" w:rsidRPr="00514496">
        <w:rPr>
          <w:rFonts w:ascii="Palatino Linotype" w:hAnsi="Palatino Linotype" w:cs="Tahoma"/>
          <w:i/>
          <w:iCs/>
          <w:lang w:eastAsia="es-ES_tradnl"/>
        </w:rPr>
        <w:t xml:space="preserve">a través del Sistema de Acceso a la Información Mexiquense (SAIMEX), en su caso, en versión pública, en formato digitalizado, en “.XLS”, o en que haya sido generados, </w:t>
      </w:r>
      <w:r w:rsidR="00514496" w:rsidRPr="00514496">
        <w:rPr>
          <w:rFonts w:ascii="Palatino Linotype" w:hAnsi="Palatino Linotype" w:cs="Tahoma"/>
          <w:bCs/>
          <w:i/>
          <w:iCs/>
          <w:lang w:val="es-ES" w:eastAsia="es-ES_tradnl"/>
        </w:rPr>
        <w:t>lo siguiente:</w:t>
      </w:r>
    </w:p>
    <w:p w14:paraId="08AB23D5" w14:textId="77777777" w:rsidR="00514496" w:rsidRPr="00514496" w:rsidRDefault="00514496" w:rsidP="004F43E5">
      <w:pPr>
        <w:widowControl w:val="0"/>
        <w:spacing w:after="0" w:line="276" w:lineRule="auto"/>
        <w:ind w:left="851" w:right="706"/>
        <w:jc w:val="both"/>
        <w:rPr>
          <w:rFonts w:ascii="Palatino Linotype" w:hAnsi="Palatino Linotype" w:cs="Tahoma"/>
          <w:bCs/>
          <w:i/>
          <w:iCs/>
          <w:lang w:val="es-ES" w:eastAsia="es-ES_tradnl"/>
        </w:rPr>
      </w:pPr>
    </w:p>
    <w:p w14:paraId="288A5AA7" w14:textId="77777777" w:rsidR="00514496" w:rsidRPr="00514496" w:rsidRDefault="00514496" w:rsidP="004F43E5">
      <w:pPr>
        <w:pStyle w:val="Prrafodelista"/>
        <w:widowControl w:val="0"/>
        <w:numPr>
          <w:ilvl w:val="0"/>
          <w:numId w:val="3"/>
        </w:numPr>
        <w:spacing w:line="276" w:lineRule="auto"/>
        <w:ind w:left="851" w:right="706" w:firstLine="0"/>
        <w:jc w:val="both"/>
        <w:rPr>
          <w:rFonts w:ascii="Palatino Linotype" w:eastAsia="Calibri" w:hAnsi="Palatino Linotype" w:cs="Tahoma"/>
          <w:i/>
          <w:color w:val="000000"/>
          <w:lang w:val="es-ES" w:eastAsia="es-MX"/>
        </w:rPr>
      </w:pPr>
      <w:r w:rsidRPr="00514496">
        <w:rPr>
          <w:rFonts w:ascii="Palatino Linotype" w:eastAsia="Calibri" w:hAnsi="Palatino Linotype" w:cs="Tahoma"/>
          <w:bCs/>
          <w:i/>
          <w:iCs/>
          <w:lang w:val="es-ES" w:eastAsia="es-ES_tradnl"/>
        </w:rPr>
        <w:t xml:space="preserve">Los </w:t>
      </w:r>
      <w:r w:rsidRPr="00514496">
        <w:rPr>
          <w:rFonts w:ascii="Palatino Linotype" w:hAnsi="Palatino Linotype" w:cs="Tahoma"/>
          <w:bCs/>
          <w:i/>
          <w:lang w:val="es-ES"/>
        </w:rPr>
        <w:t>documentos de los seis discos compactos que conforman los Informes Mensuales entregados al Órgano Superior de Fiscalización del Estado de México, de los meses de enero a diciembre de dos mil veinte.</w:t>
      </w:r>
    </w:p>
    <w:p w14:paraId="32D41DD4" w14:textId="77777777" w:rsidR="00514496" w:rsidRPr="00514496" w:rsidRDefault="00514496" w:rsidP="004F43E5">
      <w:pPr>
        <w:tabs>
          <w:tab w:val="left" w:pos="4962"/>
        </w:tabs>
        <w:spacing w:after="0" w:line="276" w:lineRule="auto"/>
        <w:ind w:left="851" w:right="706"/>
        <w:jc w:val="both"/>
        <w:rPr>
          <w:rFonts w:ascii="Palatino Linotype" w:hAnsi="Palatino Linotype" w:cs="Tahoma"/>
          <w:bCs/>
          <w:i/>
          <w:iCs/>
          <w:lang w:val="es-ES"/>
        </w:rPr>
      </w:pPr>
      <w:r w:rsidRPr="00514496">
        <w:rPr>
          <w:rFonts w:ascii="Palatino Linotype" w:hAnsi="Palatino Linotype" w:cs="Tahoma"/>
          <w:bCs/>
          <w:i/>
          <w:iCs/>
          <w:lang w:val="es-ES"/>
        </w:rPr>
        <w:t xml:space="preserve">Además, de ser necesario, deberá proporcionar el Acuerdo de Clasificación donde el Comité de Transparencia, confirme la eliminación de los datos o información clasificada, en la versión pública, de conformidad con los artículos 49, fracciones II </w:t>
      </w:r>
      <w:r w:rsidRPr="00514496">
        <w:rPr>
          <w:rFonts w:ascii="Palatino Linotype" w:hAnsi="Palatino Linotype" w:cs="Tahoma"/>
          <w:bCs/>
          <w:i/>
          <w:iCs/>
          <w:lang w:val="es-ES"/>
        </w:rPr>
        <w:lastRenderedPageBreak/>
        <w:t>y VIII y 132, fracción II de la Ley de Transparencia y Acceso a la Información Pública del Estado de México y Municipios.</w:t>
      </w:r>
    </w:p>
    <w:p w14:paraId="0E890DDC" w14:textId="77777777" w:rsidR="00514496" w:rsidRPr="00514496" w:rsidRDefault="00514496" w:rsidP="004F43E5">
      <w:pPr>
        <w:spacing w:after="0" w:line="276" w:lineRule="auto"/>
        <w:ind w:left="851" w:right="706"/>
        <w:jc w:val="both"/>
        <w:rPr>
          <w:rFonts w:ascii="Palatino Linotype" w:eastAsia="Times New Roman" w:hAnsi="Palatino Linotype" w:cs="Tahoma"/>
          <w:bCs/>
          <w:i/>
          <w:lang w:eastAsia="es-ES"/>
        </w:rPr>
      </w:pPr>
    </w:p>
    <w:p w14:paraId="3AE55B1B" w14:textId="77777777" w:rsidR="00514496" w:rsidRPr="00514496" w:rsidRDefault="00514496" w:rsidP="004F43E5">
      <w:pPr>
        <w:autoSpaceDE w:val="0"/>
        <w:autoSpaceDN w:val="0"/>
        <w:adjustRightInd w:val="0"/>
        <w:spacing w:after="0" w:line="276" w:lineRule="auto"/>
        <w:ind w:left="851" w:right="706"/>
        <w:jc w:val="both"/>
        <w:rPr>
          <w:rFonts w:ascii="Palatino Linotype" w:hAnsi="Palatino Linotype" w:cs="Times New Roman"/>
          <w:i/>
          <w:color w:val="000000"/>
        </w:rPr>
      </w:pPr>
      <w:r w:rsidRPr="00514496">
        <w:rPr>
          <w:rFonts w:ascii="Palatino Linotype" w:hAnsi="Palatino Linotype" w:cs="Times New Roman"/>
          <w:i/>
          <w:color w:val="000000"/>
        </w:rPr>
        <w:t>Para el caso de que exista algún impedimento para proporcionar la documentación que dé cuenta de lo solicitado, a través del Sistema de Acceso a la Información Mexiquense (SAIMEX), conforme a lo señalado en el Considerando QUINTO, deberá informárselo al ahora Recurrente, de manera fundada y motivada, así como, poner a disposición la información en otras modalidades, en atención al formato en que se encuentre la documentación, tales como, en un vínculo electrónico, disco compacto o dispositivo de almacenamiento, con posibilidad de entrega en la Unidad de Transparencia o a domicilio por correo certificado, previo pago de los derechos correspondientes. En su caso podrá acceder de manera gratuita a la información si proporciona el medio electrónico y recoge la información en la Unidad de Transparencia.</w:t>
      </w:r>
    </w:p>
    <w:p w14:paraId="0BE4FEC4" w14:textId="77777777" w:rsidR="00514496" w:rsidRPr="00514496" w:rsidRDefault="00514496" w:rsidP="004F43E5">
      <w:pPr>
        <w:autoSpaceDE w:val="0"/>
        <w:autoSpaceDN w:val="0"/>
        <w:adjustRightInd w:val="0"/>
        <w:spacing w:after="0" w:line="276" w:lineRule="auto"/>
        <w:ind w:left="851" w:right="706"/>
        <w:jc w:val="both"/>
        <w:rPr>
          <w:rFonts w:ascii="Palatino Linotype" w:hAnsi="Palatino Linotype" w:cs="Times New Roman"/>
          <w:i/>
          <w:color w:val="000000"/>
        </w:rPr>
      </w:pPr>
    </w:p>
    <w:p w14:paraId="6B0E6484" w14:textId="77777777" w:rsidR="009839CA" w:rsidRPr="00514496" w:rsidRDefault="00514496" w:rsidP="004F43E5">
      <w:pPr>
        <w:autoSpaceDE w:val="0"/>
        <w:autoSpaceDN w:val="0"/>
        <w:adjustRightInd w:val="0"/>
        <w:spacing w:after="0" w:line="276" w:lineRule="auto"/>
        <w:ind w:left="851" w:right="706"/>
        <w:jc w:val="both"/>
        <w:rPr>
          <w:rFonts w:ascii="Palatino Linotype" w:hAnsi="Palatino Linotype" w:cs="Tahoma"/>
          <w:bCs/>
          <w:i/>
          <w:iCs/>
          <w:color w:val="000000"/>
          <w:lang w:val="es-ES"/>
        </w:rPr>
      </w:pPr>
      <w:r w:rsidRPr="00514496">
        <w:rPr>
          <w:rFonts w:ascii="Palatino Linotype" w:hAnsi="Palatino Linotype" w:cs="Tahoma"/>
          <w:bCs/>
          <w:i/>
          <w:iCs/>
          <w:color w:val="000000"/>
          <w:lang w:val="es-ES"/>
        </w:rPr>
        <w:t>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w:t>
      </w:r>
      <w:r w:rsidR="002F08DC" w:rsidRPr="00514496">
        <w:rPr>
          <w:rFonts w:ascii="Palatino Linotype" w:eastAsia="Palatino Linotype" w:hAnsi="Palatino Linotype" w:cs="Palatino Linotype"/>
          <w:i/>
        </w:rPr>
        <w:t xml:space="preserve">. “(Sic) </w:t>
      </w:r>
    </w:p>
    <w:p w14:paraId="22330874" w14:textId="77777777" w:rsidR="009839CA" w:rsidRPr="00514496" w:rsidRDefault="009839CA" w:rsidP="00514496">
      <w:pPr>
        <w:spacing w:after="0" w:line="360" w:lineRule="auto"/>
        <w:ind w:left="851" w:right="706"/>
        <w:jc w:val="both"/>
        <w:rPr>
          <w:rFonts w:ascii="Palatino Linotype" w:eastAsia="Palatino Linotype" w:hAnsi="Palatino Linotype" w:cs="Palatino Linotype"/>
          <w:i/>
          <w:sz w:val="23"/>
          <w:szCs w:val="23"/>
        </w:rPr>
      </w:pPr>
    </w:p>
    <w:p w14:paraId="1AD7FE38" w14:textId="77777777" w:rsidR="009839CA" w:rsidRDefault="002F08DC">
      <w:pPr>
        <w:spacing w:line="360" w:lineRule="auto"/>
        <w:jc w:val="both"/>
        <w:rPr>
          <w:rFonts w:ascii="Palatino Linotype" w:eastAsia="Palatino Linotype" w:hAnsi="Palatino Linotype" w:cs="Palatino Linotype"/>
          <w:sz w:val="24"/>
          <w:szCs w:val="24"/>
        </w:rPr>
      </w:pPr>
      <w:bookmarkStart w:id="2" w:name="_heading=h.1fob9te" w:colFirst="0" w:colLast="0"/>
      <w:bookmarkEnd w:id="2"/>
      <w:r>
        <w:rPr>
          <w:rFonts w:ascii="Palatino Linotype" w:eastAsia="Palatino Linotype" w:hAnsi="Palatino Linotype" w:cs="Palatino Linotype"/>
          <w:sz w:val="24"/>
          <w:szCs w:val="24"/>
        </w:rPr>
        <w:t>En ese sentido debe mencionarse qu</w:t>
      </w:r>
      <w:r w:rsidR="0066248D">
        <w:rPr>
          <w:rFonts w:ascii="Palatino Linotype" w:eastAsia="Palatino Linotype" w:hAnsi="Palatino Linotype" w:cs="Palatino Linotype"/>
          <w:sz w:val="24"/>
          <w:szCs w:val="24"/>
        </w:rPr>
        <w:t>e, toda vez que la Ponencia</w:t>
      </w:r>
      <w:r>
        <w:rPr>
          <w:rFonts w:ascii="Palatino Linotype" w:eastAsia="Palatino Linotype" w:hAnsi="Palatino Linotype" w:cs="Palatino Linotype"/>
          <w:sz w:val="24"/>
          <w:szCs w:val="24"/>
        </w:rPr>
        <w:t xml:space="preserve"> determinó</w:t>
      </w:r>
      <w:r w:rsidR="0066248D">
        <w:rPr>
          <w:rFonts w:ascii="Palatino Linotype" w:eastAsia="Palatino Linotype" w:hAnsi="Palatino Linotype" w:cs="Palatino Linotype"/>
          <w:sz w:val="24"/>
          <w:szCs w:val="24"/>
        </w:rPr>
        <w:t xml:space="preserve"> que </w:t>
      </w: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cuenta con una </w:t>
      </w:r>
      <w:r w:rsidR="00514496">
        <w:rPr>
          <w:rFonts w:ascii="Palatino Linotype" w:eastAsia="Palatino Linotype" w:hAnsi="Palatino Linotype" w:cs="Palatino Linotype"/>
          <w:b/>
          <w:sz w:val="24"/>
          <w:szCs w:val="24"/>
        </w:rPr>
        <w:t xml:space="preserve">Dirección de Seguridad Pública </w:t>
      </w:r>
      <w:r w:rsidR="0066248D">
        <w:rPr>
          <w:rFonts w:ascii="Palatino Linotype" w:eastAsia="Palatino Linotype" w:hAnsi="Palatino Linotype" w:cs="Palatino Linotype"/>
          <w:b/>
          <w:sz w:val="24"/>
          <w:szCs w:val="24"/>
        </w:rPr>
        <w:t>y Vialidad Municipal,</w:t>
      </w:r>
      <w:r w:rsidR="0066248D">
        <w:rPr>
          <w:rFonts w:ascii="Palatino Linotype" w:eastAsia="Palatino Linotype" w:hAnsi="Palatino Linotype" w:cs="Palatino Linotype"/>
          <w:sz w:val="24"/>
          <w:szCs w:val="24"/>
        </w:rPr>
        <w:t xml:space="preserve"> de conformidad con lo dispuesto en los artículos 25, 292, y 293 del Bando Municipal de dos mil veinte de Tenango del Aire, </w:t>
      </w:r>
      <w:r w:rsidR="00077095">
        <w:rPr>
          <w:rFonts w:ascii="Palatino Linotype" w:eastAsia="Palatino Linotype" w:hAnsi="Palatino Linotype" w:cs="Palatino Linotype"/>
          <w:sz w:val="24"/>
          <w:szCs w:val="24"/>
        </w:rPr>
        <w:t xml:space="preserve">la cual es la </w:t>
      </w:r>
      <w:r w:rsidR="00514496" w:rsidRPr="00514496">
        <w:rPr>
          <w:rFonts w:ascii="Palatino Linotype" w:eastAsia="Palatino Linotype" w:hAnsi="Palatino Linotype" w:cs="Palatino Linotype"/>
          <w:sz w:val="24"/>
          <w:szCs w:val="24"/>
        </w:rPr>
        <w:t>e</w:t>
      </w:r>
      <w:r>
        <w:rPr>
          <w:rFonts w:ascii="Palatino Linotype" w:eastAsia="Palatino Linotype" w:hAnsi="Palatino Linotype" w:cs="Palatino Linotype"/>
          <w:sz w:val="24"/>
          <w:szCs w:val="24"/>
        </w:rPr>
        <w:t>ncargada de salvaguardar</w:t>
      </w:r>
      <w:r w:rsidR="00077095">
        <w:rPr>
          <w:rFonts w:ascii="Palatino Linotype" w:eastAsia="Palatino Linotype" w:hAnsi="Palatino Linotype" w:cs="Palatino Linotype"/>
          <w:sz w:val="24"/>
          <w:szCs w:val="24"/>
        </w:rPr>
        <w:t xml:space="preserve"> la integridad física y patrimonial de la población, para conservar la paz, la tranquilidad y el orden público; este </w:t>
      </w:r>
      <w:r>
        <w:rPr>
          <w:rFonts w:ascii="Palatino Linotype" w:eastAsia="Palatino Linotype" w:hAnsi="Palatino Linotype" w:cs="Palatino Linotype"/>
          <w:b/>
          <w:sz w:val="24"/>
          <w:szCs w:val="24"/>
        </w:rPr>
        <w:t xml:space="preserve">Instituto </w:t>
      </w:r>
      <w:r w:rsidR="00077095">
        <w:rPr>
          <w:rFonts w:ascii="Palatino Linotype" w:eastAsia="Palatino Linotype" w:hAnsi="Palatino Linotype" w:cs="Palatino Linotype"/>
          <w:b/>
          <w:sz w:val="24"/>
          <w:szCs w:val="24"/>
        </w:rPr>
        <w:t>considera</w:t>
      </w:r>
      <w:r>
        <w:rPr>
          <w:rFonts w:ascii="Palatino Linotype" w:eastAsia="Palatino Linotype" w:hAnsi="Palatino Linotype" w:cs="Palatino Linotype"/>
          <w:b/>
          <w:sz w:val="24"/>
          <w:szCs w:val="24"/>
        </w:rPr>
        <w:t xml:space="preserve"> pertinente la reserva del nombre de los elementos operativos de la Dirección de Seguridad Pública</w:t>
      </w:r>
      <w:r w:rsidR="00077095">
        <w:rPr>
          <w:rFonts w:ascii="Palatino Linotype" w:eastAsia="Palatino Linotype" w:hAnsi="Palatino Linotype" w:cs="Palatino Linotype"/>
          <w:b/>
          <w:sz w:val="24"/>
          <w:szCs w:val="24"/>
        </w:rPr>
        <w:t xml:space="preserve"> y </w:t>
      </w:r>
      <w:r w:rsidR="00077095">
        <w:rPr>
          <w:rFonts w:ascii="Palatino Linotype" w:eastAsia="Palatino Linotype" w:hAnsi="Palatino Linotype" w:cs="Palatino Linotype"/>
          <w:b/>
          <w:sz w:val="24"/>
          <w:szCs w:val="24"/>
        </w:rPr>
        <w:lastRenderedPageBreak/>
        <w:t>Vialidad Municipal</w:t>
      </w:r>
      <w:r>
        <w:rPr>
          <w:rFonts w:ascii="Palatino Linotype" w:eastAsia="Palatino Linotype" w:hAnsi="Palatino Linotype" w:cs="Palatino Linotype"/>
          <w:sz w:val="24"/>
          <w:szCs w:val="24"/>
        </w:rPr>
        <w:t xml:space="preserve">, para lo que es necesario el desarrollo de la prueba de daño,  </w:t>
      </w:r>
      <w:r>
        <w:rPr>
          <w:rFonts w:ascii="Palatino Linotype" w:eastAsia="Palatino Linotype" w:hAnsi="Palatino Linotype" w:cs="Palatino Linotype"/>
          <w:b/>
          <w:sz w:val="24"/>
          <w:szCs w:val="24"/>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Pr>
          <w:rFonts w:ascii="Palatino Linotype" w:eastAsia="Palatino Linotype" w:hAnsi="Palatino Linotype" w:cs="Palatino Linotype"/>
          <w:sz w:val="24"/>
          <w:szCs w:val="24"/>
        </w:rPr>
        <w:t xml:space="preserve">. 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 </w:t>
      </w:r>
    </w:p>
    <w:p w14:paraId="6B406709" w14:textId="77777777" w:rsidR="009839CA" w:rsidRDefault="002F08D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esta perspectiva, el Acuerdo de Clasificación de Información tiene como propósito primordial </w:t>
      </w:r>
      <w:r>
        <w:rPr>
          <w:rFonts w:ascii="Palatino Linotype" w:eastAsia="Palatino Linotype" w:hAnsi="Palatino Linotype" w:cs="Palatino Linotype"/>
          <w:b/>
          <w:sz w:val="24"/>
          <w:szCs w:val="24"/>
        </w:rPr>
        <w:t>que los particulares conozcan de manera completa las condiciones y circunstancias que determinaron negar el acceso a la información</w:t>
      </w:r>
      <w:r>
        <w:rPr>
          <w:rFonts w:ascii="Palatino Linotype" w:eastAsia="Palatino Linotype" w:hAnsi="Palatino Linotype" w:cs="Palatino Linotype"/>
          <w:sz w:val="24"/>
          <w:szCs w:val="24"/>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w:t>
      </w:r>
      <w:r>
        <w:rPr>
          <w:rFonts w:ascii="Palatino Linotype" w:eastAsia="Palatino Linotype" w:hAnsi="Palatino Linotype" w:cs="Palatino Linotype"/>
          <w:sz w:val="24"/>
          <w:szCs w:val="24"/>
        </w:rPr>
        <w:lastRenderedPageBreak/>
        <w:t xml:space="preserve">e identificable al superar el interés público de que se difunda atendiendo al principio de proporcionalidad y el medio menos restrictivo disponible para evitar perjuicio. </w:t>
      </w:r>
    </w:p>
    <w:p w14:paraId="20BDA30E" w14:textId="77777777" w:rsidR="009839CA" w:rsidRDefault="002F08D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14:paraId="26252163" w14:textId="77777777" w:rsidR="009839CA" w:rsidRDefault="002F08DC">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"Trigésimo tercero. Para la aplicación de la prueba de daño a la que hace referencia el artículo 104 de la Ley General, los sujetos obligados atenderán lo siguiente: </w:t>
      </w:r>
    </w:p>
    <w:p w14:paraId="797E8982" w14:textId="77777777" w:rsidR="009839CA" w:rsidRDefault="002F08DC">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14:paraId="066E496D" w14:textId="77777777" w:rsidR="009839CA" w:rsidRDefault="002F08DC">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II. Mediante la ponderación de los intereses en conflicto, los sujetos obligados </w:t>
      </w:r>
      <w:r>
        <w:rPr>
          <w:rFonts w:ascii="Palatino Linotype" w:eastAsia="Palatino Linotype" w:hAnsi="Palatino Linotype" w:cs="Palatino Linotype"/>
          <w:b/>
          <w:i/>
          <w:color w:val="000000"/>
        </w:rPr>
        <w:t>deberán demostrar que la publicidad de la información solicitada generaría un riesgo de perjuicio y por lo tanto, tendrán que acreditar que este último rebasa el interés público protegido por la reserva</w:t>
      </w:r>
      <w:r>
        <w:rPr>
          <w:rFonts w:ascii="Palatino Linotype" w:eastAsia="Palatino Linotype" w:hAnsi="Palatino Linotype" w:cs="Palatino Linotype"/>
          <w:i/>
          <w:color w:val="000000"/>
        </w:rPr>
        <w:t>;</w:t>
      </w:r>
    </w:p>
    <w:p w14:paraId="50037E30" w14:textId="77777777" w:rsidR="009839CA" w:rsidRDefault="002F08DC">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w:t>
      </w:r>
      <w:r>
        <w:rPr>
          <w:rFonts w:ascii="Palatino Linotype" w:eastAsia="Palatino Linotype" w:hAnsi="Palatino Linotype" w:cs="Palatino Linotype"/>
          <w:i/>
          <w:color w:val="000000"/>
        </w:rPr>
        <w:tab/>
        <w:t>Se debe de acreditar el vínculo entre la difusión de la información y la afectación del interés jurídico tutelado de que se trate;</w:t>
      </w:r>
    </w:p>
    <w:p w14:paraId="310CDBFE" w14:textId="77777777" w:rsidR="009839CA" w:rsidRDefault="002F08DC">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w:t>
      </w:r>
      <w:r>
        <w:rPr>
          <w:rFonts w:ascii="Palatino Linotype" w:eastAsia="Palatino Linotype" w:hAnsi="Palatino Linotype" w:cs="Palatino Linotype"/>
          <w:i/>
          <w:color w:val="000000"/>
        </w:rPr>
        <w:tab/>
        <w:t>Precisar las razones objetivas por las que la apertura de la información generaría una afectación, a través de los elementos de un riesgo real, demostrable e identificable;</w:t>
      </w:r>
    </w:p>
    <w:p w14:paraId="55606FF8" w14:textId="77777777" w:rsidR="009839CA" w:rsidRDefault="002F08DC">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w:t>
      </w:r>
      <w:r>
        <w:rPr>
          <w:rFonts w:ascii="Palatino Linotype" w:eastAsia="Palatino Linotype" w:hAnsi="Palatino Linotype" w:cs="Palatino Linotype"/>
          <w:i/>
          <w:color w:val="000000"/>
        </w:rPr>
        <w:tab/>
        <w:t xml:space="preserve">En la motivación de la clasificación, </w:t>
      </w:r>
      <w:r>
        <w:rPr>
          <w:rFonts w:ascii="Palatino Linotype" w:eastAsia="Palatino Linotype" w:hAnsi="Palatino Linotype" w:cs="Palatino Linotype"/>
          <w:b/>
          <w:i/>
          <w:color w:val="000000"/>
        </w:rPr>
        <w:t>el sujeto obligado deberá acreditar las circunstancias de modo, tiempo y lugar del daño</w:t>
      </w:r>
      <w:r>
        <w:rPr>
          <w:rFonts w:ascii="Palatino Linotype" w:eastAsia="Palatino Linotype" w:hAnsi="Palatino Linotype" w:cs="Palatino Linotype"/>
          <w:i/>
          <w:color w:val="000000"/>
        </w:rPr>
        <w:t>, y</w:t>
      </w:r>
    </w:p>
    <w:p w14:paraId="6FB46EFB" w14:textId="77777777" w:rsidR="009839CA" w:rsidRDefault="002F08DC">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w:t>
      </w:r>
      <w:r>
        <w:rPr>
          <w:rFonts w:ascii="Palatino Linotype" w:eastAsia="Palatino Linotype" w:hAnsi="Palatino Linotype" w:cs="Palatino Linotype"/>
          <w:i/>
          <w:color w:val="000000"/>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14:paraId="781296FB" w14:textId="77777777" w:rsidR="009839CA" w:rsidRDefault="009839CA">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p>
    <w:p w14:paraId="7C370880" w14:textId="77777777" w:rsidR="009839CA" w:rsidRDefault="002F08D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conclusión, para convalidar la clasificación como información reservada, </w:t>
      </w:r>
      <w:r>
        <w:rPr>
          <w:rFonts w:ascii="Palatino Linotype" w:eastAsia="Palatino Linotype" w:hAnsi="Palatino Linotype" w:cs="Palatino Linotype"/>
          <w:b/>
          <w:sz w:val="24"/>
          <w:szCs w:val="24"/>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Pr>
          <w:rFonts w:ascii="Palatino Linotype" w:eastAsia="Palatino Linotype" w:hAnsi="Palatino Linotype" w:cs="Palatino Linotype"/>
          <w:sz w:val="24"/>
          <w:szCs w:val="24"/>
        </w:rPr>
        <w:t>, como es la figura de la clasificación de la información para verificar que se acredita la prueba de daño.</w:t>
      </w:r>
    </w:p>
    <w:p w14:paraId="664E174D" w14:textId="77777777" w:rsidR="009839CA" w:rsidRDefault="002F08D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Bajo este contexto, se analizó la resolución del recurso de revisión </w:t>
      </w:r>
      <w:r w:rsidR="00077095">
        <w:rPr>
          <w:rFonts w:ascii="Palatino Linotype" w:eastAsia="Palatino Linotype" w:hAnsi="Palatino Linotype" w:cs="Palatino Linotype"/>
          <w:b/>
          <w:sz w:val="24"/>
          <w:szCs w:val="24"/>
        </w:rPr>
        <w:t>05541</w:t>
      </w:r>
      <w:r>
        <w:rPr>
          <w:rFonts w:ascii="Palatino Linotype" w:eastAsia="Palatino Linotype" w:hAnsi="Palatino Linotype" w:cs="Palatino Linotype"/>
          <w:b/>
          <w:sz w:val="24"/>
          <w:szCs w:val="24"/>
        </w:rPr>
        <w:t>/INFOEM/IP/RR/2022</w:t>
      </w:r>
      <w:r>
        <w:rPr>
          <w:rFonts w:ascii="Palatino Linotype" w:eastAsia="Palatino Linotype" w:hAnsi="Palatino Linotype" w:cs="Palatino Linotype"/>
          <w:sz w:val="24"/>
          <w:szCs w:val="24"/>
        </w:rPr>
        <w:t xml:space="preserve">, en la cual, el Comisionado Ponente, desarrolla la prueba de daño, circunstancia que a consideración de la suscrita y derivado de lo antes señalado, </w:t>
      </w:r>
      <w:r>
        <w:rPr>
          <w:rFonts w:ascii="Palatino Linotype" w:eastAsia="Palatino Linotype" w:hAnsi="Palatino Linotype" w:cs="Palatino Linotype"/>
          <w:b/>
          <w:sz w:val="24"/>
          <w:szCs w:val="24"/>
        </w:rPr>
        <w:t>les corresponde comprobar y desarrollar a los Sujetos Obligados</w:t>
      </w:r>
      <w:r>
        <w:rPr>
          <w:rFonts w:ascii="Palatino Linotype" w:eastAsia="Palatino Linotype" w:hAnsi="Palatino Linotype" w:cs="Palatino Linotype"/>
          <w:sz w:val="24"/>
          <w:szCs w:val="24"/>
        </w:rPr>
        <w:t>,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14:paraId="5CE0C81A" w14:textId="77777777" w:rsidR="009839CA" w:rsidRDefault="002F08DC">
      <w:pPr>
        <w:pBdr>
          <w:top w:val="nil"/>
          <w:left w:val="nil"/>
          <w:bottom w:val="nil"/>
          <w:right w:val="nil"/>
          <w:between w:val="nil"/>
        </w:pBdr>
        <w:spacing w:after="0" w:line="240"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“XXXIII. Prueba de Daño: </w:t>
      </w:r>
      <w:r>
        <w:rPr>
          <w:rFonts w:ascii="Palatino Linotype" w:eastAsia="Palatino Linotype" w:hAnsi="Palatino Linotype" w:cs="Palatino Linotype"/>
          <w:b/>
          <w:i/>
          <w:color w:val="000000"/>
          <w:u w:val="single"/>
        </w:rPr>
        <w:t>Responsabilidad de los sujetos obligados de demostrar de manera fundada y motivada que la divulgación de información lesiona el interés jurídicamente protegido por la Ley,</w:t>
      </w:r>
      <w:r>
        <w:rPr>
          <w:rFonts w:ascii="Palatino Linotype" w:eastAsia="Palatino Linotype" w:hAnsi="Palatino Linotype" w:cs="Palatino Linotype"/>
          <w:i/>
          <w:color w:val="000000"/>
        </w:rPr>
        <w:t xml:space="preserve"> y que el menoscabo o daño que puede producirse con la publicidad de la información es mayor que el interés de conocerla y por consiguiente debe clasificarse como reservada…” (Sic)</w:t>
      </w:r>
    </w:p>
    <w:p w14:paraId="36697333" w14:textId="77777777" w:rsidR="009839CA" w:rsidRDefault="009839CA">
      <w:pPr>
        <w:jc w:val="both"/>
        <w:rPr>
          <w:rFonts w:ascii="Palatino Linotype" w:eastAsia="Palatino Linotype" w:hAnsi="Palatino Linotype" w:cs="Palatino Linotype"/>
        </w:rPr>
      </w:pPr>
    </w:p>
    <w:p w14:paraId="067538A2" w14:textId="77777777" w:rsidR="009839CA" w:rsidRDefault="002F08D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Precepto legal en donde establece que </w:t>
      </w:r>
      <w:r>
        <w:rPr>
          <w:rFonts w:ascii="Palatino Linotype" w:eastAsia="Palatino Linotype" w:hAnsi="Palatino Linotype" w:cs="Palatino Linotype"/>
          <w:b/>
          <w:sz w:val="24"/>
          <w:szCs w:val="24"/>
        </w:rPr>
        <w:t>es obligación de los Sujeto Obligados, realizar la prueba de daño;</w:t>
      </w:r>
      <w:r>
        <w:rPr>
          <w:rFonts w:ascii="Palatino Linotype" w:eastAsia="Palatino Linotype" w:hAnsi="Palatino Linotype" w:cs="Palatino Linotype"/>
          <w:sz w:val="24"/>
          <w:szCs w:val="24"/>
        </w:rPr>
        <w:t xml:space="preserve"> es decir, que los Sujetos Obligados que generan, </w:t>
      </w:r>
      <w:r>
        <w:rPr>
          <w:rFonts w:ascii="Palatino Linotype" w:eastAsia="Palatino Linotype" w:hAnsi="Palatino Linotype" w:cs="Palatino Linotype"/>
          <w:sz w:val="24"/>
          <w:szCs w:val="24"/>
        </w:rPr>
        <w:lastRenderedPageBreak/>
        <w:t>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14:paraId="5A0A4ECE" w14:textId="77777777" w:rsidR="009839CA" w:rsidRDefault="002F08DC">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Esto es, que, a través de la prueba de daño, </w:t>
      </w:r>
      <w:r>
        <w:rPr>
          <w:rFonts w:ascii="Palatino Linotype" w:eastAsia="Palatino Linotype" w:hAnsi="Palatino Linotype" w:cs="Palatino Linotype"/>
          <w:b/>
          <w:sz w:val="24"/>
          <w:szCs w:val="24"/>
        </w:rPr>
        <w:t xml:space="preserve">los sujetos obligados expongan las razones, motivos o circunstancias especiales que los lleven a concluir que la información adquiere el carácter de reservada, y se ajusta a los supuestos previstos en la normatividad como fundamento. </w:t>
      </w:r>
    </w:p>
    <w:p w14:paraId="587E1844" w14:textId="77777777" w:rsidR="009839CA" w:rsidRDefault="002F08D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necesarios para su clasificación. </w:t>
      </w:r>
    </w:p>
    <w:p w14:paraId="4686A40E" w14:textId="77777777" w:rsidR="009839CA" w:rsidRDefault="002F08DC">
      <w:pPr>
        <w:spacing w:before="240" w:after="240" w:line="360" w:lineRule="auto"/>
        <w:jc w:val="both"/>
        <w:rPr>
          <w:rFonts w:ascii="Palatino Linotype" w:eastAsia="Palatino Linotype" w:hAnsi="Palatino Linotype" w:cs="Palatino Linotype"/>
          <w:sz w:val="24"/>
          <w:szCs w:val="24"/>
        </w:rPr>
        <w:sectPr w:rsidR="009839CA">
          <w:headerReference w:type="even" r:id="rId8"/>
          <w:headerReference w:type="default" r:id="rId9"/>
          <w:footerReference w:type="default" r:id="rId10"/>
          <w:headerReference w:type="first" r:id="rId11"/>
          <w:pgSz w:w="12240" w:h="15840"/>
          <w:pgMar w:top="1983" w:right="1327" w:bottom="2836" w:left="1985" w:header="709" w:footer="586" w:gutter="0"/>
          <w:pgNumType w:start="1"/>
          <w:cols w:space="720"/>
        </w:sectPr>
      </w:pPr>
      <w:bookmarkStart w:id="3" w:name="_heading=h.30j0zll" w:colFirst="0" w:colLast="0"/>
      <w:bookmarkEnd w:id="3"/>
      <w:r>
        <w:rPr>
          <w:rFonts w:ascii="Palatino Linotype" w:eastAsia="Palatino Linotype" w:hAnsi="Palatino Linotype" w:cs="Palatino Linotype"/>
          <w:sz w:val="24"/>
          <w:szCs w:val="24"/>
        </w:rPr>
        <w:t xml:space="preserve">Lo expuesto, constituyen las razones y fundamentos que me llevan a emitir la opinión particular que se ha expresado. </w:t>
      </w:r>
    </w:p>
    <w:p w14:paraId="3650752B" w14:textId="77777777" w:rsidR="009839CA" w:rsidRDefault="009839CA">
      <w:pPr>
        <w:spacing w:before="240" w:after="240" w:line="360" w:lineRule="auto"/>
        <w:jc w:val="both"/>
        <w:rPr>
          <w:rFonts w:ascii="Palatino Linotype" w:eastAsia="Palatino Linotype" w:hAnsi="Palatino Linotype" w:cs="Palatino Linotype"/>
          <w:sz w:val="23"/>
          <w:szCs w:val="23"/>
        </w:rPr>
      </w:pPr>
    </w:p>
    <w:p w14:paraId="47ABC26B" w14:textId="77777777" w:rsidR="009839CA" w:rsidRDefault="009839CA">
      <w:pPr>
        <w:spacing w:before="240" w:after="240" w:line="360" w:lineRule="auto"/>
        <w:jc w:val="center"/>
        <w:rPr>
          <w:rFonts w:ascii="Palatino Linotype" w:eastAsia="Palatino Linotype" w:hAnsi="Palatino Linotype" w:cs="Palatino Linotype"/>
          <w:b/>
          <w:sz w:val="23"/>
          <w:szCs w:val="23"/>
        </w:rPr>
      </w:pPr>
    </w:p>
    <w:p w14:paraId="234E6DDF" w14:textId="77777777" w:rsidR="009839CA" w:rsidRDefault="009839CA">
      <w:pPr>
        <w:spacing w:after="0" w:line="240" w:lineRule="auto"/>
        <w:jc w:val="center"/>
        <w:rPr>
          <w:rFonts w:ascii="Palatino Linotype" w:eastAsia="Palatino Linotype" w:hAnsi="Palatino Linotype" w:cs="Palatino Linotype"/>
          <w:sz w:val="23"/>
          <w:szCs w:val="23"/>
        </w:rPr>
      </w:pPr>
    </w:p>
    <w:p w14:paraId="12D9C62D" w14:textId="77777777" w:rsidR="009839CA" w:rsidRDefault="009839CA">
      <w:pPr>
        <w:spacing w:before="240" w:after="240" w:line="360" w:lineRule="auto"/>
        <w:rPr>
          <w:rFonts w:ascii="Palatino Linotype" w:eastAsia="Palatino Linotype" w:hAnsi="Palatino Linotype" w:cs="Palatino Linotype"/>
          <w:sz w:val="24"/>
          <w:szCs w:val="24"/>
        </w:rPr>
      </w:pPr>
    </w:p>
    <w:p w14:paraId="47946EBC" w14:textId="77777777" w:rsidR="009839CA" w:rsidRDefault="009839CA">
      <w:pPr>
        <w:rPr>
          <w:rFonts w:ascii="Palatino Linotype" w:eastAsia="Palatino Linotype" w:hAnsi="Palatino Linotype" w:cs="Palatino Linotype"/>
        </w:rPr>
      </w:pPr>
    </w:p>
    <w:p w14:paraId="2468F997" w14:textId="77777777" w:rsidR="009839CA" w:rsidRDefault="009839CA">
      <w:pPr>
        <w:rPr>
          <w:rFonts w:ascii="Palatino Linotype" w:eastAsia="Palatino Linotype" w:hAnsi="Palatino Linotype" w:cs="Palatino Linotype"/>
        </w:rPr>
      </w:pPr>
    </w:p>
    <w:p w14:paraId="6A3BE0C8" w14:textId="77777777" w:rsidR="009839CA" w:rsidRDefault="009839CA">
      <w:pPr>
        <w:rPr>
          <w:rFonts w:ascii="Palatino Linotype" w:eastAsia="Palatino Linotype" w:hAnsi="Palatino Linotype" w:cs="Palatino Linotype"/>
        </w:rPr>
      </w:pPr>
    </w:p>
    <w:sectPr w:rsidR="009839CA">
      <w:headerReference w:type="default" r:id="rId12"/>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3481B" w14:textId="77777777" w:rsidR="00D379E2" w:rsidRDefault="00D379E2">
      <w:pPr>
        <w:spacing w:after="0" w:line="240" w:lineRule="auto"/>
      </w:pPr>
      <w:r>
        <w:separator/>
      </w:r>
    </w:p>
  </w:endnote>
  <w:endnote w:type="continuationSeparator" w:id="0">
    <w:p w14:paraId="7314B7D6" w14:textId="77777777" w:rsidR="00D379E2" w:rsidRDefault="00D37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089B6" w14:textId="77777777" w:rsidR="009839CA" w:rsidRDefault="002F08D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36C53">
      <w:rPr>
        <w:rFonts w:ascii="Arial" w:eastAsia="Arial" w:hAnsi="Arial" w:cs="Arial"/>
        <w:b/>
        <w:noProof/>
        <w:color w:val="000000"/>
        <w:sz w:val="20"/>
        <w:szCs w:val="20"/>
      </w:rPr>
      <w:t>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36C53">
      <w:rPr>
        <w:rFonts w:ascii="Arial" w:eastAsia="Arial" w:hAnsi="Arial" w:cs="Arial"/>
        <w:b/>
        <w:noProof/>
        <w:color w:val="000000"/>
        <w:sz w:val="20"/>
        <w:szCs w:val="20"/>
      </w:rPr>
      <w:t>9</w:t>
    </w:r>
    <w:r>
      <w:rPr>
        <w:rFonts w:ascii="Arial" w:eastAsia="Arial" w:hAnsi="Arial" w:cs="Arial"/>
        <w:b/>
        <w:color w:val="000000"/>
        <w:sz w:val="20"/>
        <w:szCs w:val="20"/>
      </w:rPr>
      <w:fldChar w:fldCharType="end"/>
    </w:r>
  </w:p>
  <w:p w14:paraId="50800BD8" w14:textId="77777777" w:rsidR="009839CA" w:rsidRDefault="009839CA">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4E539" w14:textId="77777777" w:rsidR="00D379E2" w:rsidRDefault="00D379E2">
      <w:pPr>
        <w:spacing w:after="0" w:line="240" w:lineRule="auto"/>
      </w:pPr>
      <w:r>
        <w:separator/>
      </w:r>
    </w:p>
  </w:footnote>
  <w:footnote w:type="continuationSeparator" w:id="0">
    <w:p w14:paraId="36CD4173" w14:textId="77777777" w:rsidR="00D379E2" w:rsidRDefault="00D379E2">
      <w:pPr>
        <w:spacing w:after="0" w:line="240" w:lineRule="auto"/>
      </w:pPr>
      <w:r>
        <w:continuationSeparator/>
      </w:r>
    </w:p>
  </w:footnote>
  <w:footnote w:id="1">
    <w:p w14:paraId="6E248402" w14:textId="77777777" w:rsidR="009839CA" w:rsidRDefault="002F08DC">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9E92EA6" w14:textId="77777777" w:rsidR="009839CA" w:rsidRDefault="002F08D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BBDB6" w14:textId="77777777" w:rsidR="009839CA" w:rsidRDefault="00D379E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66D9C702">
        <v:shapetype id="_x0000_m2052"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rFonts w:ascii="Times New Roman" w:eastAsia="Times New Roman" w:hAnsi="Times New Roman" w:cs="Times New Roman"/>
        <w:color w:val="000000"/>
        <w:sz w:val="24"/>
        <w:szCs w:val="24"/>
      </w:rPr>
      <w:pict w14:anchorId="64D47514">
        <v:shape id="PowerPlusWaterMarkObject2" o:spid="_x0000_s2049" type="#_x0000_m2052" style="position:absolute;margin-left:0;margin-top:0;width:518.25pt;height:111.05pt;rotation:315;z-index:-251656192;mso-position-horizontal:center;mso-position-horizontal-relative:margin;mso-position-vertical:center;mso-position-vertical-relative:margin" o:spt="136" adj="10800" path="m@7,l@8,m@5,21600l@6,21600e" fillcolor="#c45911"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VOTO PARTICULAR "/>
          <o:lock v:ext="edit" text="t" shapetype="t"/>
          <w10:wrap anchorx="margin" anchory="margin"/>
        </v:shape>
      </w:pict>
    </w:r>
    <w:r w:rsidR="002F08DC">
      <w:rPr>
        <w:rFonts w:ascii="Times New Roman" w:eastAsia="Times New Roman" w:hAnsi="Times New Roman" w:cs="Times New Roman"/>
        <w:noProof/>
        <w:color w:val="000000"/>
        <w:sz w:val="24"/>
        <w:szCs w:val="24"/>
      </w:rPr>
      <mc:AlternateContent>
        <mc:Choice Requires="wps">
          <w:drawing>
            <wp:anchor distT="0" distB="0" distL="0" distR="0" simplePos="0" relativeHeight="251656192" behindDoc="1" locked="0" layoutInCell="1" hidden="0" allowOverlap="1">
              <wp:simplePos x="0" y="0"/>
              <wp:positionH relativeFrom="margin">
                <wp:align>center</wp:align>
              </wp:positionH>
              <wp:positionV relativeFrom="margin">
                <wp:align>center</wp:align>
              </wp:positionV>
              <wp:extent cx="10636406" cy="10636406"/>
              <wp:effectExtent l="0" t="0" r="0" b="0"/>
              <wp:wrapNone/>
              <wp:docPr id="10" name="Rectángulo 10"/>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14:paraId="16B9B495" w14:textId="77777777" w:rsidR="009839CA" w:rsidRDefault="002F08DC">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rect id="_x0000_s1026" style="position:absolute;margin-left:0;margin-top:0;width:837.5pt;height:837.5pt;rotation:-45;z-index:-251660288;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" filled="f" stroked="f">
              <v:textbox inset="2.53958mm,2.53958mm,2.53958mm,2.53958mm">
                <w:txbxContent>
                  <w:p w:rsidR="009839CA" w:rsidRDefault="002F08DC">
                    <w:pPr>
                      <w:spacing w:after="0" w:line="240" w:lineRule="auto"/>
                      <w:jc w:val="center"/>
                      <w:textDirection w:val="btLr"/>
                    </w:pPr>
                    <w:r>
                      <w:rPr>
                        <w:rFonts w:ascii="Arial" w:eastAsia="Arial" w:hAnsi="Arial" w:cs="Arial"/>
                        <w:color w:val="ED7D31"/>
                        <w:sz w:val="144"/>
                      </w:rPr>
                      <w:t>VOTO DISIDENTE</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191D5" w14:textId="77777777" w:rsidR="009839CA" w:rsidRDefault="002F08DC">
    <w:pPr>
      <w:pBdr>
        <w:top w:val="nil"/>
        <w:left w:val="nil"/>
        <w:bottom w:val="nil"/>
        <w:right w:val="nil"/>
        <w:between w:val="nil"/>
      </w:pBdr>
      <w:tabs>
        <w:tab w:val="center" w:pos="4419"/>
        <w:tab w:val="right" w:pos="8838"/>
      </w:tabs>
      <w:spacing w:after="0" w:line="240" w:lineRule="auto"/>
      <w:ind w:left="1843"/>
      <w:jc w:val="right"/>
      <w:rPr>
        <w:rFonts w:ascii="Arial" w:eastAsia="Arial" w:hAnsi="Arial" w:cs="Arial"/>
        <w:color w:val="000000"/>
        <w:sz w:val="20"/>
        <w:szCs w:val="20"/>
      </w:rPr>
    </w:pPr>
    <w:r>
      <w:rPr>
        <w:noProof/>
      </w:rPr>
      <w:drawing>
        <wp:anchor distT="0" distB="0" distL="0" distR="0" simplePos="0" relativeHeight="251655168" behindDoc="1" locked="0" layoutInCell="1" hidden="0" allowOverlap="1">
          <wp:simplePos x="0" y="0"/>
          <wp:positionH relativeFrom="column">
            <wp:posOffset>-1114011</wp:posOffset>
          </wp:positionH>
          <wp:positionV relativeFrom="paragraph">
            <wp:posOffset>-449577</wp:posOffset>
          </wp:positionV>
          <wp:extent cx="7510628" cy="988377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42448C71" w14:textId="77777777" w:rsidR="009839CA" w:rsidRDefault="002F08DC">
    <w:pPr>
      <w:pBdr>
        <w:top w:val="nil"/>
        <w:left w:val="nil"/>
        <w:bottom w:val="nil"/>
        <w:right w:val="nil"/>
        <w:between w:val="nil"/>
      </w:pBdr>
      <w:tabs>
        <w:tab w:val="center" w:pos="4419"/>
        <w:tab w:val="right" w:pos="8838"/>
        <w:tab w:val="left" w:pos="5685"/>
        <w:tab w:val="right" w:pos="8928"/>
      </w:tabs>
      <w:spacing w:after="0" w:line="240" w:lineRule="auto"/>
      <w:ind w:left="4419"/>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rPr>
      <w:t xml:space="preserve">OPINIÓN PARTICULAR </w:t>
    </w:r>
  </w:p>
  <w:p w14:paraId="5ACCB2C0" w14:textId="77777777" w:rsidR="009839CA" w:rsidRDefault="002F08DC">
    <w:pPr>
      <w:pBdr>
        <w:top w:val="nil"/>
        <w:left w:val="nil"/>
        <w:bottom w:val="nil"/>
        <w:right w:val="nil"/>
        <w:between w:val="nil"/>
      </w:pBdr>
      <w:tabs>
        <w:tab w:val="center" w:pos="4419"/>
        <w:tab w:val="right" w:pos="8838"/>
      </w:tabs>
      <w:spacing w:after="0" w:line="240" w:lineRule="auto"/>
      <w:ind w:left="1134"/>
      <w:jc w:val="right"/>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rPr>
      <w:t>RECURSO DE REVISIÓN 05541/INFOEM/IP/RR/2022</w:t>
    </w:r>
  </w:p>
  <w:p w14:paraId="79F25892" w14:textId="77777777" w:rsidR="009839CA" w:rsidRDefault="009839CA">
    <w:pPr>
      <w:pBdr>
        <w:top w:val="nil"/>
        <w:left w:val="nil"/>
        <w:bottom w:val="nil"/>
        <w:right w:val="nil"/>
        <w:between w:val="nil"/>
      </w:pBdr>
      <w:tabs>
        <w:tab w:val="center" w:pos="4419"/>
        <w:tab w:val="right" w:pos="8838"/>
      </w:tabs>
      <w:spacing w:after="0" w:line="240" w:lineRule="auto"/>
      <w:jc w:val="cente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99F3C" w14:textId="77777777" w:rsidR="009839CA" w:rsidRDefault="00D379E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11BE8968">
        <v:shapetype id="_x0000_m2051"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rFonts w:ascii="Times New Roman" w:eastAsia="Times New Roman" w:hAnsi="Times New Roman" w:cs="Times New Roman"/>
        <w:color w:val="000000"/>
        <w:sz w:val="24"/>
        <w:szCs w:val="24"/>
      </w:rPr>
      <w:pict w14:anchorId="78002B00">
        <v:shape id="PowerPlusWaterMarkObject1" o:spid="_x0000_s2050" type="#_x0000_m2051" style="position:absolute;margin-left:0;margin-top:0;width:518.25pt;height:111.05pt;rotation:315;z-index:-251657216;mso-position-horizontal:center;mso-position-horizontal-relative:margin;mso-position-vertical:center;mso-position-vertical-relative:margin" o:spt="136" adj="10800" path="m@7,l@8,m@5,21600l@6,21600e" fillcolor="#c45911"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VOTO PARTICULAR "/>
          <o:lock v:ext="edit" text="t" shapetype="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BD964" w14:textId="77777777" w:rsidR="009839CA" w:rsidRDefault="009839C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13FFA1BB" w14:textId="77777777" w:rsidR="009839CA" w:rsidRDefault="009839C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50EC3296" w14:textId="77777777" w:rsidR="009839CA" w:rsidRDefault="009839C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105D926A" w14:textId="77777777" w:rsidR="009839CA" w:rsidRDefault="002F08DC">
    <w:pPr>
      <w:pBdr>
        <w:top w:val="nil"/>
        <w:left w:val="nil"/>
        <w:bottom w:val="nil"/>
        <w:right w:val="nil"/>
        <w:between w:val="nil"/>
      </w:pBdr>
      <w:tabs>
        <w:tab w:val="center" w:pos="4419"/>
        <w:tab w:val="right" w:pos="8838"/>
        <w:tab w:val="left" w:pos="5685"/>
        <w:tab w:val="right" w:pos="892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p>
  <w:p w14:paraId="70C6B1E4" w14:textId="77777777" w:rsidR="009839CA" w:rsidRDefault="009839C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p w14:paraId="11A35950" w14:textId="77777777" w:rsidR="009839CA" w:rsidRDefault="009839C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C57BB"/>
    <w:multiLevelType w:val="hybridMultilevel"/>
    <w:tmpl w:val="E42AB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B623733"/>
    <w:multiLevelType w:val="multilevel"/>
    <w:tmpl w:val="D70C9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FC62B2"/>
    <w:multiLevelType w:val="multilevel"/>
    <w:tmpl w:val="03BE13E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CA"/>
    <w:rsid w:val="00077095"/>
    <w:rsid w:val="00182301"/>
    <w:rsid w:val="002130AB"/>
    <w:rsid w:val="002827A0"/>
    <w:rsid w:val="002F08DC"/>
    <w:rsid w:val="00371059"/>
    <w:rsid w:val="004568EB"/>
    <w:rsid w:val="004F43E5"/>
    <w:rsid w:val="00514496"/>
    <w:rsid w:val="00631A5F"/>
    <w:rsid w:val="00636C53"/>
    <w:rsid w:val="0066248D"/>
    <w:rsid w:val="00942F6D"/>
    <w:rsid w:val="009839CA"/>
    <w:rsid w:val="00A57800"/>
    <w:rsid w:val="00B17C0C"/>
    <w:rsid w:val="00D379E2"/>
    <w:rsid w:val="00FF15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F762D9"/>
  <w15:docId w15:val="{14B0ED92-BC71-4FF8-A112-6DB32038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9F0FA7"/>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 w:type="paragraph" w:styleId="Textodeglobo">
    <w:name w:val="Balloon Text"/>
    <w:basedOn w:val="Normal"/>
    <w:link w:val="TextodegloboCar"/>
    <w:uiPriority w:val="99"/>
    <w:semiHidden/>
    <w:unhideWhenUsed/>
    <w:rsid w:val="002827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NrZXnSAkldlXgOhcvXlO4rtrBnA==">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2001</Words>
  <Characters>11006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2022-12-05T21:04:00Z</cp:lastPrinted>
  <dcterms:created xsi:type="dcterms:W3CDTF">2022-12-05T21:02:00Z</dcterms:created>
  <dcterms:modified xsi:type="dcterms:W3CDTF">2022-12-05T21:04:00Z</dcterms:modified>
</cp:coreProperties>
</file>