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sz w:val="23"/>
          <w:szCs w:val="23"/>
        </w:rPr>
      </w:pPr>
      <w:r w:rsidDel="00000000" w:rsidR="00000000" w:rsidRPr="00000000">
        <w:rPr>
          <w:rFonts w:ascii="Palatino Linotype" w:cs="Palatino Linotype" w:eastAsia="Palatino Linotype" w:hAnsi="Palatino Linotype"/>
          <w:b w:val="1"/>
          <w:sz w:val="23"/>
          <w:szCs w:val="23"/>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DÉCIMA QUINTA SESIÓN ORDINARIA DEL VEINTISIETE DE ABRIL DE DOS MIL VEINTIDÓS, EN LOS RECURSOS DE REVISIÓN NÚMEROS 01006/INFOEM/IP/RR/2022, 01008/INFOEM/IP/RR/2022, 01009/INFOEM/IP/RR/2022, 01013/INFOEM/IP/RR/2022, 01014/INFOEM/IP/RR/2022, 01015/INFOEM/IP/RR/2022 y 01016/INFOEM/IP/RR/2022 ACUMULADOS.</w:t>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El Pleno del Instituto de Transparencia, Acceso a la Información Pública y Protección de Datos Personales del Estado de México y Municipios, aprobó por unanimidad de votos, la resolución relativa a los recursos de revisión números </w:t>
      </w:r>
      <w:r w:rsidDel="00000000" w:rsidR="00000000" w:rsidRPr="00000000">
        <w:rPr>
          <w:rFonts w:ascii="Palatino Linotype" w:cs="Palatino Linotype" w:eastAsia="Palatino Linotype" w:hAnsi="Palatino Linotype"/>
          <w:b w:val="1"/>
          <w:sz w:val="23"/>
          <w:szCs w:val="23"/>
          <w:rtl w:val="0"/>
        </w:rPr>
        <w:t xml:space="preserve">01006/INFOEM/IP/RR/2022, 01008/INFOEM/IP/RR/2022, 01009/INFOEM/IP/RR/2022, 01013/INFOEM/IP/RR/2022, 01014/INFOEM/IP/RR/2022, 01015/INFOEM/IP/RR/2022 y 01016/INFOEM/IP/RR/2022 ACUMULADOS</w:t>
      </w:r>
      <w:r w:rsidDel="00000000" w:rsidR="00000000" w:rsidRPr="00000000">
        <w:rPr>
          <w:rFonts w:ascii="Palatino Linotype" w:cs="Palatino Linotype" w:eastAsia="Palatino Linotype" w:hAnsi="Palatino Linotype"/>
          <w:sz w:val="23"/>
          <w:szCs w:val="23"/>
          <w:rtl w:val="0"/>
        </w:rPr>
        <w:t xml:space="preserve">, presentada por el Comisionado Luis Gustavo Parra Noriega, respecto de la cual, la suscrita formula </w:t>
      </w:r>
      <w:r w:rsidDel="00000000" w:rsidR="00000000" w:rsidRPr="00000000">
        <w:rPr>
          <w:rFonts w:ascii="Palatino Linotype" w:cs="Palatino Linotype" w:eastAsia="Palatino Linotype" w:hAnsi="Palatino Linotype"/>
          <w:b w:val="1"/>
          <w:sz w:val="23"/>
          <w:szCs w:val="23"/>
          <w:rtl w:val="0"/>
        </w:rPr>
        <w:t xml:space="preserve">OPINIÓN PARTICULAR, </w:t>
      </w:r>
      <w:r w:rsidDel="00000000" w:rsidR="00000000" w:rsidRPr="00000000">
        <w:rPr>
          <w:rFonts w:ascii="Palatino Linotype" w:cs="Palatino Linotype" w:eastAsia="Palatino Linotype" w:hAnsi="Palatino Linotype"/>
          <w:sz w:val="23"/>
          <w:szCs w:val="23"/>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el caso concreto el hoy Recurrente requirió al Ayuntamiento de Tenancingo, que en esencia se le proporcionara</w:t>
      </w:r>
      <w:r w:rsidDel="00000000" w:rsidR="00000000" w:rsidRPr="00000000">
        <w:rPr>
          <w:rFonts w:ascii="Palatino Linotype" w:cs="Palatino Linotype" w:eastAsia="Palatino Linotype" w:hAnsi="Palatino Linotype"/>
          <w:i w:val="1"/>
          <w:color w:val="000000"/>
          <w:rtl w:val="0"/>
        </w:rPr>
        <w:t xml:space="preserve"> </w:t>
      </w:r>
      <w:r w:rsidDel="00000000" w:rsidR="00000000" w:rsidRPr="00000000">
        <w:rPr>
          <w:rFonts w:ascii="Palatino Linotype" w:cs="Palatino Linotype" w:eastAsia="Palatino Linotype" w:hAnsi="Palatino Linotype"/>
          <w:sz w:val="23"/>
          <w:szCs w:val="23"/>
          <w:rtl w:val="0"/>
        </w:rPr>
        <w:t xml:space="preserve">información de todo el personal que labora en el Ayuntamiento, el título y cédula profesional de todos los titulares que conforman la nueva administración, el directorio del ayuntamiento, que contuviera el nombre del titular, domicilio en que se encuentra su oficina, teléfonos, extensión, correo electrónico, los recibos de nómina en PDF de todos los servidores públicos del Ayuntamiento que laboran o laboraban en la primera quincena de enero de los años 2019, 2020, 2021, 2022, todas las altas y bajas de personal que se han generado del 01 de enero de 2022 a la fecha de su solicitud, el formato único de movimiento de personal, o cualquier otra denominación que se le otorgue a dicho formato para realizar altas o bajas de personal, todos los avisos de rescisión laboral que le fueron entregados a las personas que despidieron, desde el 01 de enero de 2022 a la fecha de su solicitud y todas las bajas de ISSEMYM en el formato que se imprime del prisma, de todas las personas que dieron de baja del 01 de enero de 2022 a la fecha de su solicitud.</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El Sujeto Obligado, proporcionó respuestas a través de los oficios MTM058/DAE00RH/00199/2022, MTM058/DAE00RH/00425/2022, MTM058/DAE00RH/00551/2022 y MTM058/DAE00RH/00528/2022 signados por el Coordinador de Recursos Humanos, PMT058/SA/85/2022 signado el Secretario del Ayuntamiento, PMT058/SP/07/2022, firmado por el titular de la Secretaria Particular de Presidencia, Oficio PMT/058/TM/0066/2022, signado por el Tesorero Municipal y P.M.T.058/C.J./074/2022, suscrito por el Consejero Jurídico.</w:t>
      </w:r>
    </w:p>
    <w:p w:rsidR="00000000" w:rsidDel="00000000" w:rsidP="00000000" w:rsidRDefault="00000000" w:rsidRPr="00000000" w14:paraId="00000007">
      <w:pPr>
        <w:tabs>
          <w:tab w:val="left" w:pos="567"/>
        </w:tabs>
        <w:spacing w:after="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Ante la respuesta proporcionada por el Sujeto Obligado, el particular se inconforma, considerando que en lo que respecta a las solicitudes </w:t>
      </w:r>
      <w:r w:rsidDel="00000000" w:rsidR="00000000" w:rsidRPr="00000000">
        <w:rPr>
          <w:rFonts w:ascii="Palatino Linotype" w:cs="Palatino Linotype" w:eastAsia="Palatino Linotype" w:hAnsi="Palatino Linotype"/>
          <w:b w:val="1"/>
          <w:sz w:val="23"/>
          <w:szCs w:val="23"/>
          <w:rtl w:val="0"/>
        </w:rPr>
        <w:t xml:space="preserve">00017/TENANCIN/IP/2022, 00020/TENANCIN/IP/2022 y 00049/TENANCIN/IP/2022,</w:t>
      </w:r>
      <w:r w:rsidDel="00000000" w:rsidR="00000000" w:rsidRPr="00000000">
        <w:rPr>
          <w:rFonts w:ascii="Palatino Linotype" w:cs="Palatino Linotype" w:eastAsia="Palatino Linotype" w:hAnsi="Palatino Linotype"/>
          <w:sz w:val="23"/>
          <w:szCs w:val="23"/>
          <w:rtl w:val="0"/>
        </w:rPr>
        <w:t xml:space="preserve"> se le proporcionó información incompleta y respecto de las solicitudes </w:t>
      </w:r>
      <w:r w:rsidDel="00000000" w:rsidR="00000000" w:rsidRPr="00000000">
        <w:rPr>
          <w:rFonts w:ascii="Palatino Linotype" w:cs="Palatino Linotype" w:eastAsia="Palatino Linotype" w:hAnsi="Palatino Linotype"/>
          <w:b w:val="1"/>
          <w:sz w:val="23"/>
          <w:szCs w:val="23"/>
          <w:rtl w:val="0"/>
        </w:rPr>
        <w:t xml:space="preserve">00021/TENANCIN/IP/2022, 00034/TENANCIN/IP/2022, 00041/TENANCIN/IP/2022 </w:t>
      </w:r>
      <w:r w:rsidDel="00000000" w:rsidR="00000000" w:rsidRPr="00000000">
        <w:rPr>
          <w:rFonts w:ascii="Palatino Linotype" w:cs="Palatino Linotype" w:eastAsia="Palatino Linotype" w:hAnsi="Palatino Linotype"/>
          <w:sz w:val="23"/>
          <w:szCs w:val="23"/>
          <w:rtl w:val="0"/>
        </w:rPr>
        <w:t xml:space="preserve">y</w:t>
      </w:r>
      <w:r w:rsidDel="00000000" w:rsidR="00000000" w:rsidRPr="00000000">
        <w:rPr>
          <w:rFonts w:ascii="Palatino Linotype" w:cs="Palatino Linotype" w:eastAsia="Palatino Linotype" w:hAnsi="Palatino Linotype"/>
          <w:b w:val="1"/>
          <w:sz w:val="23"/>
          <w:szCs w:val="23"/>
          <w:rtl w:val="0"/>
        </w:rPr>
        <w:t xml:space="preserve"> 00048/TENANCIN/IP/2022 </w:t>
      </w:r>
      <w:r w:rsidDel="00000000" w:rsidR="00000000" w:rsidRPr="00000000">
        <w:rPr>
          <w:rFonts w:ascii="Palatino Linotype" w:cs="Palatino Linotype" w:eastAsia="Palatino Linotype" w:hAnsi="Palatino Linotype"/>
          <w:sz w:val="23"/>
          <w:szCs w:val="23"/>
          <w:rtl w:val="0"/>
        </w:rPr>
        <w:t xml:space="preserve">no se le proporcionó información requerida, lo que viola su derecho de acceso a la información pública reconocido en el artículo 6 de la Constitución Política de los Estados Unidos Mexicanos, el artículo 13 de la Convención Americana sobre Derechos Humanos, el artículo 19 del Pacto Internacional de Derechos Civiles y Políticos, la Ley General y la Ley Local.</w:t>
      </w:r>
    </w:p>
    <w:p w:rsidR="00000000" w:rsidDel="00000000" w:rsidP="00000000" w:rsidRDefault="00000000" w:rsidRPr="00000000" w14:paraId="00000008">
      <w:pPr>
        <w:tabs>
          <w:tab w:val="left" w:pos="567"/>
        </w:tabs>
        <w:spacing w:after="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09">
      <w:pPr>
        <w:spacing w:after="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Es preciso establecer que el Sujeto Obligado, no presentó Informe Justificado, en este sentido, la ponencia determinó que las respuestas otorgadas a las solicitudes </w:t>
      </w:r>
      <w:r w:rsidDel="00000000" w:rsidR="00000000" w:rsidRPr="00000000">
        <w:rPr>
          <w:rFonts w:ascii="Palatino Linotype" w:cs="Palatino Linotype" w:eastAsia="Palatino Linotype" w:hAnsi="Palatino Linotype"/>
          <w:b w:val="1"/>
          <w:sz w:val="23"/>
          <w:szCs w:val="23"/>
          <w:rtl w:val="0"/>
        </w:rPr>
        <w:t xml:space="preserve">00049/TENANCIN/IP/2022, 00017/TENANCIN/IP/2022, 00021/TENANCIN/IP/2022, 00020/TENANCIN/IP/2022, 00034/TENANCIN/IP/2022 y 00041/TENANCIN/IP/2022 </w:t>
      </w:r>
      <w:r w:rsidDel="00000000" w:rsidR="00000000" w:rsidRPr="00000000">
        <w:rPr>
          <w:rFonts w:ascii="Palatino Linotype" w:cs="Palatino Linotype" w:eastAsia="Palatino Linotype" w:hAnsi="Palatino Linotype"/>
          <w:sz w:val="23"/>
          <w:szCs w:val="23"/>
          <w:rtl w:val="0"/>
        </w:rPr>
        <w:t xml:space="preserve">no satisfacen el requerimiento hecho por el Particular.</w:t>
      </w:r>
    </w:p>
    <w:p w:rsidR="00000000" w:rsidDel="00000000" w:rsidP="00000000" w:rsidRDefault="00000000" w:rsidRPr="00000000" w14:paraId="0000000A">
      <w:pPr>
        <w:spacing w:after="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 </w:t>
      </w:r>
    </w:p>
    <w:p w:rsidR="00000000" w:rsidDel="00000000" w:rsidP="00000000" w:rsidRDefault="00000000" w:rsidRPr="00000000" w14:paraId="0000000B">
      <w:pPr>
        <w:spacing w:after="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sz w:val="23"/>
          <w:szCs w:val="23"/>
          <w:rtl w:val="0"/>
        </w:rPr>
        <w:t xml:space="preserve">Por lo que, previo análisis de las constancias y de la naturaleza de la información la Ponencia Resolutora determinó en su resolutivo CUARTO ordenar: </w:t>
      </w:r>
      <w:r w:rsidDel="00000000" w:rsidR="00000000" w:rsidRPr="00000000">
        <w:rPr>
          <w:rFonts w:ascii="Palatino Linotype" w:cs="Palatino Linotype" w:eastAsia="Palatino Linotype" w:hAnsi="Palatino Linotype"/>
          <w:i w:val="1"/>
          <w:sz w:val="23"/>
          <w:szCs w:val="23"/>
          <w:rtl w:val="0"/>
        </w:rPr>
        <w:t xml:space="preserve">“…al </w:t>
      </w:r>
      <w:r w:rsidDel="00000000" w:rsidR="00000000" w:rsidRPr="00000000">
        <w:rPr>
          <w:rFonts w:ascii="Palatino Linotype" w:cs="Palatino Linotype" w:eastAsia="Palatino Linotype" w:hAnsi="Palatino Linotype"/>
          <w:b w:val="1"/>
          <w:i w:val="1"/>
          <w:sz w:val="23"/>
          <w:szCs w:val="23"/>
          <w:rtl w:val="0"/>
        </w:rPr>
        <w:t xml:space="preserve">Ayuntamiento de Tenancingo</w:t>
      </w:r>
      <w:r w:rsidDel="00000000" w:rsidR="00000000" w:rsidRPr="00000000">
        <w:rPr>
          <w:rFonts w:ascii="Palatino Linotype" w:cs="Palatino Linotype" w:eastAsia="Palatino Linotype" w:hAnsi="Palatino Linotype"/>
          <w:i w:val="1"/>
          <w:sz w:val="23"/>
          <w:szCs w:val="23"/>
          <w:rtl w:val="0"/>
        </w:rPr>
        <w:t xml:space="preserve"> a efecto de que, remita a través del Sistema de Acceso a la Información Mexiquense (SAIMEX), en su caso en versión pública, los documentos que den cuenta de lo siguiente:</w:t>
      </w:r>
    </w:p>
    <w:p w:rsidR="00000000" w:rsidDel="00000000" w:rsidP="00000000" w:rsidRDefault="00000000" w:rsidRPr="00000000" w14:paraId="0000000C">
      <w:pPr>
        <w:spacing w:after="0" w:lineRule="auto"/>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0D">
      <w:pPr>
        <w:numPr>
          <w:ilvl w:val="0"/>
          <w:numId w:val="1"/>
        </w:numPr>
        <w:spacing w:after="0" w:line="259" w:lineRule="auto"/>
        <w:ind w:left="720" w:hanging="36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Del nombre competo, área de adscripción, sueldo que perciben y la fecha de ingreso de todos los servidores públicos del Sujeto Obligado, al 10 de enero de 2022.</w:t>
      </w:r>
    </w:p>
    <w:p w:rsidR="00000000" w:rsidDel="00000000" w:rsidP="00000000" w:rsidRDefault="00000000" w:rsidRPr="00000000" w14:paraId="0000000E">
      <w:pPr>
        <w:spacing w:after="0" w:lineRule="auto"/>
        <w:ind w:left="720" w:firstLine="0"/>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0F">
      <w:pPr>
        <w:numPr>
          <w:ilvl w:val="0"/>
          <w:numId w:val="1"/>
        </w:numPr>
        <w:spacing w:line="259" w:lineRule="auto"/>
        <w:ind w:left="720" w:hanging="36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Título y cédulas profesionales de los titulares de las áreas administrativas que integran la estructura orgánica del Sujeto Obligado, al 10 de enero de 2022.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alatino Linotype" w:cs="Palatino Linotype" w:eastAsia="Palatino Linotype" w:hAnsi="Palatino Linotype"/>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1">
      <w:pPr>
        <w:spacing w:after="0" w:lineRule="auto"/>
        <w:ind w:left="720" w:firstLine="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Para el caso de los titulares de área cuyo requisito de acceso al cargo es contar con título profesional, en términos de la Ley Orgánica Municipal del Estado de México, para el caso de que tengan más de seis meses en el cargo, si el documento no obra en los archivos del Sujeto Obligado se deberá emitir acuerdo de inexistencia.</w:t>
      </w:r>
    </w:p>
    <w:p w:rsidR="00000000" w:rsidDel="00000000" w:rsidP="00000000" w:rsidRDefault="00000000" w:rsidRPr="00000000" w14:paraId="00000012">
      <w:pPr>
        <w:spacing w:after="0" w:lineRule="auto"/>
        <w:ind w:left="720" w:firstLine="0"/>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3">
      <w:pPr>
        <w:numPr>
          <w:ilvl w:val="0"/>
          <w:numId w:val="1"/>
        </w:numPr>
        <w:spacing w:after="0" w:line="259" w:lineRule="auto"/>
        <w:ind w:left="720" w:hanging="36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Directorio que obre en sus archivos al diez de enero de 2022, preferentemente que contenga nombre de los servidores públicos, su dirección oficial, teléfono de oficinas y correo electrónico institucional, incluidos jefes de departamento y los servidores públicos de menor rango que correspondan a los supuestos de la Ley de Transparencia y Acceso a la Información Pública del Estado de México y Municipios.</w:t>
      </w:r>
    </w:p>
    <w:p w:rsidR="00000000" w:rsidDel="00000000" w:rsidP="00000000" w:rsidRDefault="00000000" w:rsidRPr="00000000" w14:paraId="00000014">
      <w:pPr>
        <w:spacing w:after="0" w:lineRule="auto"/>
        <w:ind w:left="720" w:firstLine="0"/>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5">
      <w:pPr>
        <w:numPr>
          <w:ilvl w:val="0"/>
          <w:numId w:val="1"/>
        </w:numPr>
        <w:spacing w:after="0" w:line="259" w:lineRule="auto"/>
        <w:ind w:left="720" w:hanging="36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Recibos de nómina de todos los servidores públicos correspondientes al periodo del 1° al 15 de enero de los años 2019, 2020, 2021 y 2022.</w:t>
      </w:r>
    </w:p>
    <w:p w:rsidR="00000000" w:rsidDel="00000000" w:rsidP="00000000" w:rsidRDefault="00000000" w:rsidRPr="00000000" w14:paraId="00000016">
      <w:pPr>
        <w:spacing w:after="0" w:lineRule="auto"/>
        <w:ind w:left="720" w:firstLine="0"/>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7">
      <w:pPr>
        <w:numPr>
          <w:ilvl w:val="0"/>
          <w:numId w:val="1"/>
        </w:numPr>
        <w:spacing w:after="0" w:line="259" w:lineRule="auto"/>
        <w:ind w:left="720" w:hanging="36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Documentos que den cuenta de las altas y bajas del personal que se dio de baja y alta durante el periodo que va del 1° al 19 de enero de 2022.</w:t>
      </w:r>
    </w:p>
    <w:p w:rsidR="00000000" w:rsidDel="00000000" w:rsidP="00000000" w:rsidRDefault="00000000" w:rsidRPr="00000000" w14:paraId="00000018">
      <w:pPr>
        <w:spacing w:after="0" w:lineRule="auto"/>
        <w:ind w:left="720" w:firstLine="0"/>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9">
      <w:pPr>
        <w:spacing w:after="0" w:lineRule="auto"/>
        <w:ind w:left="720" w:firstLine="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Para el caso de que no se hayan emitidos las altas de personal, que entró a laborar el primero de enero, por falta de presupuesto autorizado, se deberá emitir acuerdo de inexistencia, de conformidad con lo establecido en los artículos 19, párrafo tercero y 169 de la Ley de Transparencia y Acceso a la Información Pública del Estado de México y Municipios. </w:t>
      </w:r>
    </w:p>
    <w:p w:rsidR="00000000" w:rsidDel="00000000" w:rsidP="00000000" w:rsidRDefault="00000000" w:rsidRPr="00000000" w14:paraId="0000001A">
      <w:pPr>
        <w:spacing w:after="0" w:lineRule="auto"/>
        <w:ind w:left="720" w:firstLine="0"/>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B">
      <w:pPr>
        <w:numPr>
          <w:ilvl w:val="0"/>
          <w:numId w:val="1"/>
        </w:numPr>
        <w:spacing w:after="0" w:line="259" w:lineRule="auto"/>
        <w:ind w:left="720" w:hanging="36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Los formatos de baja de los servidores públicos restantes. </w:t>
      </w:r>
    </w:p>
    <w:p w:rsidR="00000000" w:rsidDel="00000000" w:rsidP="00000000" w:rsidRDefault="00000000" w:rsidRPr="00000000" w14:paraId="0000001C">
      <w:pPr>
        <w:spacing w:after="0" w:lineRule="auto"/>
        <w:ind w:left="720" w:firstLine="0"/>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D">
      <w:pPr>
        <w:spacing w:after="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Junto con la documentación se deberá entregar el Acuerdo del Comité de Transparencia mediante el cual se funde y motive la eliminación de los datos y documentos clasificados como confidenciales, en términos de los artículos 49, fracciones II y VII, 140, fracción IV, 143, fracción I y 149, de la Ley de Transparencia y Acceso a la Información Pública del Estado de México y Municipios.</w:t>
      </w:r>
    </w:p>
    <w:p w:rsidR="00000000" w:rsidDel="00000000" w:rsidP="00000000" w:rsidRDefault="00000000" w:rsidRPr="00000000" w14:paraId="0000001E">
      <w:pPr>
        <w:spacing w:after="0" w:lineRule="auto"/>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1F">
      <w:pPr>
        <w:spacing w:after="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De lo ordenado en los puntos 2 y 3; para el caso de no contar con cédulas profesionales, o que los servidores públicos no cuenten con correos electrónicos oficiales, bastará que se lo haga del conocimiento al Recurrente de forma clara y precisa. </w:t>
      </w:r>
    </w:p>
    <w:p w:rsidR="00000000" w:rsidDel="00000000" w:rsidP="00000000" w:rsidRDefault="00000000" w:rsidRPr="00000000" w14:paraId="00000020">
      <w:pPr>
        <w:tabs>
          <w:tab w:val="left" w:pos="4962"/>
        </w:tabs>
        <w:spacing w:line="360" w:lineRule="auto"/>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 (SIC)</w:t>
      </w:r>
    </w:p>
    <w:p w:rsidR="00000000" w:rsidDel="00000000" w:rsidP="00000000" w:rsidRDefault="00000000" w:rsidRPr="00000000" w14:paraId="00000021">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ese sentido debe mencionarse, que como fue acordado, tratándose de información reservada como lo son los </w:t>
      </w:r>
      <w:r w:rsidDel="00000000" w:rsidR="00000000" w:rsidRPr="00000000">
        <w:rPr>
          <w:rFonts w:ascii="Palatino Linotype" w:cs="Palatino Linotype" w:eastAsia="Palatino Linotype" w:hAnsi="Palatino Linotype"/>
          <w:b w:val="1"/>
          <w:rtl w:val="0"/>
        </w:rPr>
        <w:t xml:space="preserve">nombres de los elementos operativos de la Dirección de Seguridad Pública Municipal</w:t>
      </w:r>
      <w:r w:rsidDel="00000000" w:rsidR="00000000" w:rsidRPr="00000000">
        <w:rPr>
          <w:rFonts w:ascii="Palatino Linotype" w:cs="Palatino Linotype" w:eastAsia="Palatino Linotype" w:hAnsi="Palatino Linotype"/>
          <w:b w:val="1"/>
          <w:sz w:val="23"/>
          <w:szCs w:val="23"/>
          <w:rtl w:val="0"/>
        </w:rPr>
        <w:t xml:space="preserve">,</w:t>
      </w:r>
      <w:r w:rsidDel="00000000" w:rsidR="00000000" w:rsidRPr="00000000">
        <w:rPr>
          <w:rFonts w:ascii="Palatino Linotype" w:cs="Palatino Linotype" w:eastAsia="Palatino Linotype" w:hAnsi="Palatino Linotype"/>
          <w:sz w:val="23"/>
          <w:szCs w:val="23"/>
          <w:rtl w:val="0"/>
        </w:rPr>
        <w:t xml:space="preserve"> se deberá clasificar como información reservada aquella que sea relativa a los nombres de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aquellos funcionarios púbicos que realicen actividades operativas en materia de seguridad, </w:t>
      </w:r>
      <w:r w:rsidDel="00000000" w:rsidR="00000000" w:rsidRPr="00000000">
        <w:rPr>
          <w:rFonts w:ascii="Palatino Linotype" w:cs="Palatino Linotype" w:eastAsia="Palatino Linotype" w:hAnsi="Palatino Linotype"/>
          <w:sz w:val="23"/>
          <w:szCs w:val="23"/>
          <w:rtl w:val="0"/>
        </w:rPr>
        <w:t xml:space="preserve">para lo que es necesario el desarrollo de la prueba de daño,  </w:t>
      </w:r>
      <w:r w:rsidDel="00000000" w:rsidR="00000000" w:rsidRPr="00000000">
        <w:rPr>
          <w:rFonts w:ascii="Palatino Linotype" w:cs="Palatino Linotype" w:eastAsia="Palatino Linotype" w:hAnsi="Palatino Linotype"/>
          <w:b w:val="1"/>
          <w:sz w:val="23"/>
          <w:szCs w:val="23"/>
          <w:rtl w:val="0"/>
        </w:rPr>
        <w:t xml:space="preserve">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Del="00000000" w:rsidR="00000000" w:rsidRPr="00000000">
        <w:rPr>
          <w:rFonts w:ascii="Palatino Linotype" w:cs="Palatino Linotype" w:eastAsia="Palatino Linotype" w:hAnsi="Palatino Linotype"/>
          <w:sz w:val="23"/>
          <w:szCs w:val="23"/>
          <w:rtl w:val="0"/>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000000" w:rsidDel="00000000" w:rsidP="00000000" w:rsidRDefault="00000000" w:rsidRPr="00000000" w14:paraId="00000022">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esta perspectiva, el Acuerdo de Clasificación de Información tiene como propósito primordial </w:t>
      </w:r>
      <w:r w:rsidDel="00000000" w:rsidR="00000000" w:rsidRPr="00000000">
        <w:rPr>
          <w:rFonts w:ascii="Palatino Linotype" w:cs="Palatino Linotype" w:eastAsia="Palatino Linotype" w:hAnsi="Palatino Linotype"/>
          <w:b w:val="1"/>
          <w:sz w:val="23"/>
          <w:szCs w:val="23"/>
          <w:rtl w:val="0"/>
        </w:rPr>
        <w:t xml:space="preserve">que los particulares conozcan de manera completa las condiciones y circunstancias que determinaron negar el acceso a la información</w:t>
      </w:r>
      <w:r w:rsidDel="00000000" w:rsidR="00000000" w:rsidRPr="00000000">
        <w:rPr>
          <w:rFonts w:ascii="Palatino Linotype" w:cs="Palatino Linotype" w:eastAsia="Palatino Linotype" w:hAnsi="Palatino Linotype"/>
          <w:sz w:val="23"/>
          <w:szCs w:val="23"/>
          <w:rtl w:val="0"/>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00000" w:rsidDel="00000000" w:rsidP="00000000" w:rsidRDefault="00000000" w:rsidRPr="00000000" w14:paraId="00000023">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"Trigésimo tercero. Para la aplicación de la prueba de daño a la que hace referencia el artículo 104 de la Ley General, los sujetos obligados atenderán lo siguiente: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II. Mediante la ponderación de los intereses en conflicto, los sujetos obligados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deberán demostrar que la publicidad de la información solicitada generaría un riesgo de perjuicio y por lo tanto, tendrán que acreditar que este último rebasa el interés público protegido por la reserva</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III.</w:t>
        <w:tab/>
        <w:t xml:space="preserve">Se debe de acreditar el vínculo entre la difusión de la información y la afectación del interés jurídico tutelado de que se trate;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IV.</w:t>
        <w:tab/>
        <w:t xml:space="preserve">Precisar las razones objetivas por las que la apertura de la información generaría una afectación, a través de los elementos de un riesgo real, demostrable e identificable;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V.</w:t>
        <w:tab/>
        <w:t xml:space="preserve">En la motivación de la clasificación,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el sujeto obligado deberá acreditar las circunstancias de modo, tiempo y lugar del daño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VI.</w:t>
        <w:tab/>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conclusión, para convalidar la clasificación como información reservada, </w:t>
      </w:r>
      <w:r w:rsidDel="00000000" w:rsidR="00000000" w:rsidRPr="00000000">
        <w:rPr>
          <w:rFonts w:ascii="Palatino Linotype" w:cs="Palatino Linotype" w:eastAsia="Palatino Linotype" w:hAnsi="Palatino Linotype"/>
          <w:b w:val="1"/>
          <w:sz w:val="23"/>
          <w:szCs w:val="23"/>
          <w:rtl w:val="0"/>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Del="00000000" w:rsidR="00000000" w:rsidRPr="00000000">
        <w:rPr>
          <w:rFonts w:ascii="Palatino Linotype" w:cs="Palatino Linotype" w:eastAsia="Palatino Linotype" w:hAnsi="Palatino Linotype"/>
          <w:sz w:val="23"/>
          <w:szCs w:val="23"/>
          <w:rtl w:val="0"/>
        </w:rPr>
        <w:t xml:space="preserve">, como es la figura de la clasificación de la información para verificar que se acredita la prueba de daño.</w:t>
      </w:r>
    </w:p>
    <w:p w:rsidR="00000000" w:rsidDel="00000000" w:rsidP="00000000" w:rsidRDefault="00000000" w:rsidRPr="00000000" w14:paraId="0000002D">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Bajo este contexto, se analizó la resolución de los recursos de revisión </w:t>
      </w:r>
      <w:r w:rsidDel="00000000" w:rsidR="00000000" w:rsidRPr="00000000">
        <w:rPr>
          <w:rFonts w:ascii="Palatino Linotype" w:cs="Palatino Linotype" w:eastAsia="Palatino Linotype" w:hAnsi="Palatino Linotype"/>
          <w:b w:val="1"/>
          <w:sz w:val="23"/>
          <w:szCs w:val="23"/>
          <w:rtl w:val="0"/>
        </w:rPr>
        <w:t xml:space="preserve">01006/INFOEM/IP/RR/2022, 01008/INFOEM/IP/RR/2022, 01009/INFOEM/IP/RR/2022, 01013/INFOEM/IP/RR/2022, 01014/INFOEM/IP/RR/2022, 01015/INFOEM/IP/RR/2022 y 01016/INFOEM/IP/RR/2022 ACUMULADOS</w:t>
      </w:r>
      <w:r w:rsidDel="00000000" w:rsidR="00000000" w:rsidRPr="00000000">
        <w:rPr>
          <w:rFonts w:ascii="Palatino Linotype" w:cs="Palatino Linotype" w:eastAsia="Palatino Linotype" w:hAnsi="Palatino Linotype"/>
          <w:sz w:val="23"/>
          <w:szCs w:val="23"/>
          <w:rtl w:val="0"/>
        </w:rPr>
        <w:t xml:space="preserve">, en la cual, el Comisionado Ponente, realiza la prueba de daño a partir de los elementos proporcionados por las partes,  circunstancias que, a consideración de la suscrita y derivado de lo antes señalado, </w:t>
      </w:r>
      <w:r w:rsidDel="00000000" w:rsidR="00000000" w:rsidRPr="00000000">
        <w:rPr>
          <w:rFonts w:ascii="Palatino Linotype" w:cs="Palatino Linotype" w:eastAsia="Palatino Linotype" w:hAnsi="Palatino Linotype"/>
          <w:b w:val="1"/>
          <w:sz w:val="23"/>
          <w:szCs w:val="23"/>
          <w:rtl w:val="0"/>
        </w:rPr>
        <w:t xml:space="preserve">les corresponde desarrollar a los Sujetos Obligados</w:t>
      </w:r>
      <w:r w:rsidDel="00000000" w:rsidR="00000000" w:rsidRPr="00000000">
        <w:rPr>
          <w:rFonts w:ascii="Palatino Linotype" w:cs="Palatino Linotype" w:eastAsia="Palatino Linotype" w:hAnsi="Palatino Linotype"/>
          <w:sz w:val="23"/>
          <w:szCs w:val="23"/>
          <w:rtl w:val="0"/>
        </w:rPr>
        <w:t xml:space="preserve">,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899"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“XXXIII. Prueba de Daño: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Responsabilidad de los sujetos obligados de demostrar de manera fundada y motivada que la divulgación de información lesiona el interés jurídicamente protegido por la Ley,</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y que el menoscabo o daño que puede producirse con la publicidad de la información es mayor que el interés de conocerla y por consiguiente debe clasificarse como reservada…” (Sic)</w:t>
      </w:r>
      <w:r w:rsidDel="00000000" w:rsidR="00000000" w:rsidRPr="00000000">
        <w:rPr>
          <w:rtl w:val="0"/>
        </w:rPr>
      </w:r>
    </w:p>
    <w:p w:rsidR="00000000" w:rsidDel="00000000" w:rsidP="00000000" w:rsidRDefault="00000000" w:rsidRPr="00000000" w14:paraId="0000002F">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0">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Precepto legal en donde establece que </w:t>
      </w:r>
      <w:r w:rsidDel="00000000" w:rsidR="00000000" w:rsidRPr="00000000">
        <w:rPr>
          <w:rFonts w:ascii="Palatino Linotype" w:cs="Palatino Linotype" w:eastAsia="Palatino Linotype" w:hAnsi="Palatino Linotype"/>
          <w:b w:val="1"/>
          <w:sz w:val="23"/>
          <w:szCs w:val="23"/>
          <w:rtl w:val="0"/>
        </w:rPr>
        <w:t xml:space="preserve">los encargados de realizar la prueba de daño, son los Sujeto Obligados;</w:t>
      </w:r>
      <w:r w:rsidDel="00000000" w:rsidR="00000000" w:rsidRPr="00000000">
        <w:rPr>
          <w:rFonts w:ascii="Palatino Linotype" w:cs="Palatino Linotype" w:eastAsia="Palatino Linotype" w:hAnsi="Palatino Linotype"/>
          <w:sz w:val="23"/>
          <w:szCs w:val="23"/>
          <w:rtl w:val="0"/>
        </w:rPr>
        <w:t xml:space="preserve">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00000" w:rsidDel="00000000" w:rsidP="00000000" w:rsidRDefault="00000000" w:rsidRPr="00000000" w14:paraId="00000031">
      <w:pPr>
        <w:spacing w:line="360" w:lineRule="auto"/>
        <w:jc w:val="both"/>
        <w:rPr>
          <w:rFonts w:ascii="Palatino Linotype" w:cs="Palatino Linotype" w:eastAsia="Palatino Linotype" w:hAnsi="Palatino Linotype"/>
          <w:b w:val="1"/>
          <w:sz w:val="23"/>
          <w:szCs w:val="23"/>
        </w:rPr>
      </w:pPr>
      <w:r w:rsidDel="00000000" w:rsidR="00000000" w:rsidRPr="00000000">
        <w:rPr>
          <w:rFonts w:ascii="Palatino Linotype" w:cs="Palatino Linotype" w:eastAsia="Palatino Linotype" w:hAnsi="Palatino Linotype"/>
          <w:sz w:val="23"/>
          <w:szCs w:val="23"/>
          <w:rtl w:val="0"/>
        </w:rPr>
        <w:t xml:space="preserve">Esto es, que, a través de la prueba de daño, </w:t>
      </w:r>
      <w:r w:rsidDel="00000000" w:rsidR="00000000" w:rsidRPr="00000000">
        <w:rPr>
          <w:rFonts w:ascii="Palatino Linotype" w:cs="Palatino Linotype" w:eastAsia="Palatino Linotype" w:hAnsi="Palatino Linotype"/>
          <w:b w:val="1"/>
          <w:sz w:val="23"/>
          <w:szCs w:val="23"/>
          <w:rtl w:val="0"/>
        </w:rPr>
        <w:t xml:space="preserve">los sujetos obligados expongan las razones, motivos o circunstancias especiales que los lleven a concluir que la información adquiere el carácter de reservada, y se ajusta a los supuestos previstos en la normatividad como fundamento. </w:t>
      </w:r>
    </w:p>
    <w:p w:rsidR="00000000" w:rsidDel="00000000" w:rsidP="00000000" w:rsidRDefault="00000000" w:rsidRPr="00000000" w14:paraId="00000032">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Por lo que, en opinión de la Suscrita, y en términos de lo dispuesto por la normatividad en la materia, son los Sujetos Obligados los que deben aportar los elementos desarrollar la prueba de daño necesaria y suficiente, a fin de garantizar la reserva de información y la adecuada temporalidad de esta, aportando elementos necesarios para su clasificación y favoreciendo la entrega de documentos mediante la versión pública.</w:t>
      </w:r>
    </w:p>
    <w:p w:rsidR="00000000" w:rsidDel="00000000" w:rsidP="00000000" w:rsidRDefault="00000000" w:rsidRPr="00000000" w14:paraId="00000033">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 Lo expuesto, constituyen las razones y fundamentos que me llevan a emitir la opinión particular que se ha expresado. </w:t>
      </w:r>
    </w:p>
    <w:p w:rsidR="00000000" w:rsidDel="00000000" w:rsidP="00000000" w:rsidRDefault="00000000" w:rsidRPr="00000000" w14:paraId="00000034">
      <w:pPr>
        <w:spacing w:after="240" w:before="240" w:line="360" w:lineRule="auto"/>
        <w:jc w:val="both"/>
        <w:rPr>
          <w:rFonts w:ascii="Palatino Linotype" w:cs="Palatino Linotype" w:eastAsia="Palatino Linotype" w:hAnsi="Palatino Linotype"/>
          <w:sz w:val="23"/>
          <w:szCs w:val="23"/>
        </w:rPr>
        <w:sectPr>
          <w:headerReference r:id="rId7" w:type="default"/>
          <w:headerReference r:id="rId8" w:type="first"/>
          <w:headerReference r:id="rId9" w:type="even"/>
          <w:footerReference r:id="rId10" w:type="default"/>
          <w:pgSz w:h="15840" w:w="12240" w:orient="portrait"/>
          <w:pgMar w:bottom="2836" w:top="1871" w:left="1985" w:right="1327" w:header="709" w:footer="586"/>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314950" cy="5448300"/>
                <wp:effectExtent b="0" l="0" r="0" t="0"/>
                <wp:wrapNone/>
                <wp:docPr id="5" name=""/>
                <a:graphic>
                  <a:graphicData uri="http://schemas.microsoft.com/office/word/2010/wordprocessingShape">
                    <wps:wsp>
                      <wps:cNvCnPr/>
                      <wps:spPr>
                        <a:xfrm>
                          <a:off x="2693288" y="1060613"/>
                          <a:ext cx="5305425" cy="543877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314950" cy="5448300"/>
                <wp:effectExtent b="0" l="0" r="0" t="0"/>
                <wp:wrapNone/>
                <wp:docPr id="5"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314950" cy="5448300"/>
                        </a:xfrm>
                        <a:prstGeom prst="rect"/>
                        <a:ln/>
                      </pic:spPr>
                    </pic:pic>
                  </a:graphicData>
                </a:graphic>
              </wp:anchor>
            </w:drawing>
          </mc:Fallback>
        </mc:AlternateContent>
      </w:r>
    </w:p>
    <w:p w:rsidR="00000000" w:rsidDel="00000000" w:rsidP="00000000" w:rsidRDefault="00000000" w:rsidRPr="00000000" w14:paraId="00000035">
      <w:pPr>
        <w:spacing w:after="240" w:before="24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36">
      <w:pPr>
        <w:spacing w:after="240" w:before="240" w:line="360" w:lineRule="auto"/>
        <w:jc w:val="center"/>
        <w:rPr>
          <w:rFonts w:ascii="Palatino Linotype" w:cs="Palatino Linotype" w:eastAsia="Palatino Linotype" w:hAnsi="Palatino Linotype"/>
          <w:b w:val="1"/>
          <w:sz w:val="23"/>
          <w:szCs w:val="23"/>
        </w:rPr>
      </w:pPr>
      <w:r w:rsidDel="00000000" w:rsidR="00000000" w:rsidRPr="00000000">
        <w:rPr>
          <w:rtl w:val="0"/>
        </w:rPr>
      </w:r>
    </w:p>
    <w:p w:rsidR="00000000" w:rsidDel="00000000" w:rsidP="00000000" w:rsidRDefault="00000000" w:rsidRPr="00000000" w14:paraId="00000037">
      <w:pPr>
        <w:spacing w:after="0" w:line="240" w:lineRule="auto"/>
        <w:jc w:val="center"/>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38">
      <w:pPr>
        <w:spacing w:after="240" w:before="24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headerReference r:id="rId12"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1843"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-1087144</wp:posOffset>
          </wp:positionH>
          <wp:positionV relativeFrom="paragraph">
            <wp:posOffset>-449579</wp:posOffset>
          </wp:positionV>
          <wp:extent cx="7510628" cy="9883775"/>
          <wp:effectExtent b="0" l="0" r="0" t="0"/>
          <wp:wrapNone/>
          <wp:docPr id="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85"/>
        <w:tab w:val="right"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r w:rsidDel="00000000" w:rsidR="00000000" w:rsidRPr="00000000">
      <w:rPr>
        <w:rFonts w:ascii="Palatino Linotype" w:cs="Palatino Linotype" w:eastAsia="Palatino Linotype" w:hAnsi="Palatino Linotype"/>
        <w:b w:val="1"/>
        <w:i w:val="0"/>
        <w:smallCaps w:val="0"/>
        <w:strike w:val="0"/>
        <w:color w:val="000000"/>
        <w:sz w:val="18"/>
        <w:szCs w:val="18"/>
        <w:u w:val="none"/>
        <w:shd w:fill="auto" w:val="clear"/>
        <w:vertAlign w:val="baseline"/>
        <w:rtl w:val="0"/>
      </w:rPr>
      <w:t xml:space="preserve">OPINIÓN PARTICULAR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1134" w:right="0" w:firstLine="0"/>
      <w:jc w:val="righ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18"/>
        <w:szCs w:val="18"/>
        <w:u w:val="none"/>
        <w:shd w:fill="auto" w:val="clear"/>
        <w:vertAlign w:val="baseline"/>
        <w:rtl w:val="0"/>
      </w:rPr>
      <w:t xml:space="preserve">RECURSOS DE REVISIÓN 01006/INFOEM/IP/RR/2022, 01008/INFOEM/IP/RR/2022, 01009/INFOEM/IP/RR/2022, 01013/INFOEM/IP/RR/2022, 01014/INFOEM/IP/RR/2022, 01015/INFOEM/IP/RR/2022 y 01016/INFOEM/IP/RR/2022 ACUMULADOS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6" name=""/>
              <a:graphic>
                <a:graphicData uri="http://schemas.microsoft.com/office/word/2010/wordprocessingShape">
                  <wps:wsp>
                    <wps:cNvSpPr/>
                    <wps:cNvPr id="3" name="Shape 3"/>
                    <wps:spPr>
                      <a:xfrm rot="-2700000">
                        <a:off x="2440875" y="2945610"/>
                        <a:ext cx="5810250" cy="166878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01943" cy="5301943"/>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85"/>
        <w:tab w:val="right"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F4A05"/>
    <w:pPr>
      <w:spacing w:line="256" w:lineRule="auto"/>
    </w:pPr>
    <w:rPr>
      <w:lang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F4A05"/>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FF4A05"/>
    <w:rPr>
      <w:rFonts w:ascii="Times New Roman" w:cs="Times New Roman" w:eastAsia="Times New Roman" w:hAnsi="Times New Roman"/>
      <w:sz w:val="24"/>
      <w:szCs w:val="24"/>
      <w:lang w:eastAsia="es-ES"/>
    </w:rPr>
  </w:style>
  <w:style w:type="paragraph" w:styleId="Piedepgina">
    <w:name w:val="footer"/>
    <w:basedOn w:val="Normal"/>
    <w:link w:val="PiedepginaCar"/>
    <w:uiPriority w:val="99"/>
    <w:unhideWhenUsed w:val="1"/>
    <w:rsid w:val="00FF4A05"/>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FF4A05"/>
    <w:rPr>
      <w:rFonts w:ascii="Times New Roman" w:cs="Times New Roman" w:eastAsia="Times New Roman" w:hAnsi="Times New Roman"/>
      <w:sz w:val="24"/>
      <w:szCs w:val="24"/>
      <w:lang w:eastAsia="es-ES"/>
    </w:rPr>
  </w:style>
  <w:style w:type="paragraph" w:styleId="NormalWeb">
    <w:name w:val="Normal (Web)"/>
    <w:basedOn w:val="Normal"/>
    <w:uiPriority w:val="99"/>
    <w:rsid w:val="00FF4A05"/>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val="1"/>
    <w:rsid w:val="00FF4A05"/>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4A05"/>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val="1"/>
    <w:rsid w:val="00FF4A05"/>
    <w:rPr>
      <w:vertAlign w:val="superscript"/>
    </w:rPr>
  </w:style>
  <w:style w:type="paragraph" w:styleId="m5127500252372250437gmail-paragraph" w:customStyle="1">
    <w:name w:val="m_5127500252372250437gmail-paragraph"/>
    <w:basedOn w:val="Normal"/>
    <w:rsid w:val="00FF4A05"/>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C5ABB"/>
    <w:pPr>
      <w:spacing w:after="0" w:line="240" w:lineRule="auto"/>
      <w:ind w:left="720"/>
      <w:contextualSpacing w:val="1"/>
    </w:pPr>
    <w:rPr>
      <w:rFonts w:eastAsiaTheme="minorEastAsia"/>
      <w:sz w:val="24"/>
      <w:szCs w:val="24"/>
      <w:lang w:eastAsia="es-ES" w:val="es-ES_tradnl"/>
    </w:rPr>
  </w:style>
  <w:style w:type="character" w:styleId="Hipervnculo">
    <w:name w:val="Hyperlink"/>
    <w:basedOn w:val="Fuentedeprrafopredeter"/>
    <w:uiPriority w:val="99"/>
    <w:unhideWhenUsed w:val="1"/>
    <w:rsid w:val="00EE49A8"/>
    <w:rPr>
      <w:color w:val="0000ff"/>
      <w:u w:val="single"/>
    </w:rPr>
  </w:style>
  <w:style w:type="paragraph" w:styleId="Default" w:customStyle="1">
    <w:name w:val="Default"/>
    <w:rsid w:val="00EE051D"/>
    <w:pPr>
      <w:autoSpaceDE w:val="0"/>
      <w:autoSpaceDN w:val="0"/>
      <w:adjustRightInd w:val="0"/>
      <w:spacing w:after="0" w:line="240" w:lineRule="auto"/>
    </w:pPr>
    <w:rPr>
      <w:rFonts w:ascii="Palatino Linotype" w:cs="Palatino Linotype" w:hAnsi="Palatino Linotype"/>
      <w:color w:val="000000"/>
      <w:sz w:val="24"/>
      <w:szCs w:val="24"/>
      <w:lang w:val="en-US"/>
    </w:rPr>
  </w:style>
  <w:style w:type="character" w:styleId="normaltextrun" w:customStyle="1">
    <w:name w:val="normaltextrun"/>
    <w:basedOn w:val="Fuentedeprrafopredeter"/>
    <w:rsid w:val="00A408AE"/>
  </w:style>
  <w:style w:type="paragraph" w:styleId="Sinespaciado">
    <w:name w:val="No Spacing"/>
    <w:aliases w:val="Francesa"/>
    <w:link w:val="SinespaciadoCar"/>
    <w:uiPriority w:val="1"/>
    <w:qFormat w:val="1"/>
    <w:rsid w:val="00A408AE"/>
    <w:pPr>
      <w:spacing w:after="0" w:line="240" w:lineRule="auto"/>
    </w:pPr>
    <w:rPr>
      <w:rFonts w:ascii="Times New Roman" w:cs="Times New Roman" w:eastAsia="Times New Roman" w:hAnsi="Times New Roman"/>
      <w:sz w:val="24"/>
      <w:szCs w:val="24"/>
      <w:lang w:eastAsia="es-ES" w:val="es-MX"/>
    </w:rPr>
  </w:style>
  <w:style w:type="character" w:styleId="SinespaciadoCar" w:customStyle="1">
    <w:name w:val="Sin espaciado Car"/>
    <w:aliases w:val="Francesa Car"/>
    <w:link w:val="Sinespaciado"/>
    <w:uiPriority w:val="1"/>
    <w:locked w:val="1"/>
    <w:rsid w:val="00A408AE"/>
    <w:rPr>
      <w:rFonts w:ascii="Times New Roman" w:cs="Times New Roman" w:eastAsia="Times New Roman" w:hAnsi="Times New Roman"/>
      <w:sz w:val="24"/>
      <w:szCs w:val="24"/>
      <w:lang w:eastAsia="es-ES" w:val="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val="1"/>
    <w:locked w:val="1"/>
    <w:rsid w:val="00C32ADF"/>
    <w:rPr>
      <w:rFonts w:eastAsiaTheme="minorEastAsia"/>
      <w:sz w:val="24"/>
      <w:szCs w:val="24"/>
      <w:lang w:eastAsia="es-ES" w:val="es-ES_tradnl"/>
    </w:rPr>
  </w:style>
  <w:style w:type="character" w:styleId="Refdecomentario">
    <w:name w:val="annotation reference"/>
    <w:basedOn w:val="Fuentedeprrafopredeter"/>
    <w:uiPriority w:val="99"/>
    <w:semiHidden w:val="1"/>
    <w:unhideWhenUsed w:val="1"/>
    <w:rsid w:val="00B52780"/>
    <w:rPr>
      <w:sz w:val="16"/>
      <w:szCs w:val="16"/>
    </w:rPr>
  </w:style>
  <w:style w:type="paragraph" w:styleId="Textocomentario">
    <w:name w:val="annotation text"/>
    <w:basedOn w:val="Normal"/>
    <w:link w:val="TextocomentarioCar"/>
    <w:uiPriority w:val="99"/>
    <w:semiHidden w:val="1"/>
    <w:unhideWhenUsed w:val="1"/>
    <w:rsid w:val="00B5278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B52780"/>
    <w:rPr>
      <w:sz w:val="20"/>
      <w:szCs w:val="20"/>
      <w:lang w:val="es-MX"/>
    </w:rPr>
  </w:style>
  <w:style w:type="paragraph" w:styleId="Asuntodelcomentario">
    <w:name w:val="annotation subject"/>
    <w:basedOn w:val="Textocomentario"/>
    <w:next w:val="Textocomentario"/>
    <w:link w:val="AsuntodelcomentarioCar"/>
    <w:uiPriority w:val="99"/>
    <w:semiHidden w:val="1"/>
    <w:unhideWhenUsed w:val="1"/>
    <w:rsid w:val="00B52780"/>
    <w:rPr>
      <w:b w:val="1"/>
      <w:bCs w:val="1"/>
    </w:rPr>
  </w:style>
  <w:style w:type="character" w:styleId="AsuntodelcomentarioCar" w:customStyle="1">
    <w:name w:val="Asunto del comentario Car"/>
    <w:basedOn w:val="TextocomentarioCar"/>
    <w:link w:val="Asuntodelcomentario"/>
    <w:uiPriority w:val="99"/>
    <w:semiHidden w:val="1"/>
    <w:rsid w:val="00B52780"/>
    <w:rPr>
      <w:b w:val="1"/>
      <w:bCs w:val="1"/>
      <w:sz w:val="20"/>
      <w:szCs w:val="20"/>
      <w:lang w:val="es-MX"/>
    </w:rPr>
  </w:style>
  <w:style w:type="paragraph" w:styleId="Textodeglobo">
    <w:name w:val="Balloon Text"/>
    <w:basedOn w:val="Normal"/>
    <w:link w:val="TextodegloboCar"/>
    <w:uiPriority w:val="99"/>
    <w:semiHidden w:val="1"/>
    <w:unhideWhenUsed w:val="1"/>
    <w:rsid w:val="00B52780"/>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52780"/>
    <w:rPr>
      <w:rFonts w:ascii="Segoe UI" w:cs="Segoe UI" w:hAnsi="Segoe UI"/>
      <w:sz w:val="18"/>
      <w:szCs w:val="18"/>
      <w:lang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footer" Target="footer1.xml"/><Relationship Id="rId12" Type="http://schemas.openxmlformats.org/officeDocument/2006/relationships/header" Target="header4.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7COrQ9jlrIfe8T371g9FBrmprg==">AMUW2mUPGkzcIypVCW2yKOSuALfQ6VyiGW/jSzJd+zZyVB+KWBRs96KCoU7Dn7auveu5BwZsl9FwmkCABENWoEQe8rwYRMQC7lNwATqfNrlyndMbFgrdKBI=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2022-07-08T01:31:00Z</dcterms:created>
  <dc:creator>sonyy</dc:creator>
</cp:coreProperties>
</file>