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01" w:rsidRDefault="00182301" w:rsidP="00182301">
      <w:pPr>
        <w:widowControl w:val="0"/>
        <w:pBdr>
          <w:top w:val="nil"/>
          <w:left w:val="nil"/>
          <w:bottom w:val="nil"/>
          <w:right w:val="nil"/>
          <w:between w:val="nil"/>
        </w:pBdr>
        <w:spacing w:after="0" w:line="276" w:lineRule="auto"/>
        <w:rPr>
          <w:rFonts w:ascii="Palatino Linotype" w:eastAsia="Palatino Linotype" w:hAnsi="Palatino Linotype" w:cs="Palatino Linotype"/>
          <w:b/>
          <w:sz w:val="24"/>
          <w:szCs w:val="24"/>
        </w:rPr>
      </w:pPr>
    </w:p>
    <w:p w:rsidR="009839CA" w:rsidRDefault="006D47FD" w:rsidP="002F08DC">
      <w:pPr>
        <w:widowControl w:val="0"/>
        <w:pBdr>
          <w:top w:val="nil"/>
          <w:left w:val="nil"/>
          <w:bottom w:val="nil"/>
          <w:right w:val="nil"/>
          <w:between w:val="nil"/>
        </w:pBdr>
        <w:spacing w:after="0" w:line="276" w:lineRule="auto"/>
        <w:jc w:val="both"/>
        <w:rPr>
          <w:rFonts w:ascii="Palatino Linotype" w:eastAsia="Palatino Linotype" w:hAnsi="Palatino Linotype" w:cs="Palatino Linotype"/>
          <w:b/>
          <w:sz w:val="24"/>
          <w:szCs w:val="24"/>
        </w:rPr>
      </w:pPr>
      <w:r>
        <w:pict w14:anchorId="37798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pt;height:50pt;z-index:251657728;visibility:hidden">
            <o:lock v:ext="edit" selection="t"/>
          </v:shape>
        </w:pict>
      </w:r>
      <w:r>
        <w:pict w14:anchorId="4C0503AE">
          <v:shape id="_x0000_s1030" type="#_x0000_t136" style="position:absolute;left:0;text-align:left;margin-left:0;margin-top:0;width:50pt;height:50pt;z-index:251656704;visibility:hidden">
            <o:lock v:ext="edit" selection="t"/>
          </v:shape>
        </w:pict>
      </w:r>
      <w:r>
        <w:pict w14:anchorId="6161830E">
          <v:shape id="_x0000_s1027" type="#_x0000_t136" style="position:absolute;left:0;text-align:left;margin-left:0;margin-top:0;width:50pt;height:50pt;z-index:251658752;visibility:hidden">
            <o:lock v:ext="edit" selection="t"/>
          </v:shape>
        </w:pict>
      </w:r>
      <w:r>
        <w:pict w14:anchorId="5958092E">
          <v:shape id="_x0000_s1026" type="#_x0000_t136" style="position:absolute;left:0;text-align:left;margin-left:0;margin-top:0;width:50pt;height:50pt;z-index:251659776;visibility:hidden">
            <o:lock v:ext="edit" selection="t"/>
          </v:shape>
        </w:pict>
      </w:r>
      <w:r w:rsidR="002F08DC">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CUADRAGÉSIMA TERCERA SESIÓN ORDINARIA DEL TREINTA DE NOVIEMBRE DE DOS MIL VEINTIDÓS, EN EL RECURSO DE REVISIÓN </w:t>
      </w:r>
      <w:r w:rsidR="00B44CF2">
        <w:rPr>
          <w:rFonts w:ascii="Palatino Linotype" w:eastAsia="Palatino Linotype" w:hAnsi="Palatino Linotype" w:cs="Palatino Linotype"/>
          <w:b/>
          <w:sz w:val="24"/>
          <w:szCs w:val="24"/>
        </w:rPr>
        <w:t>15411</w:t>
      </w:r>
      <w:r w:rsidR="002F08DC">
        <w:rPr>
          <w:rFonts w:ascii="Palatino Linotype" w:eastAsia="Palatino Linotype" w:hAnsi="Palatino Linotype" w:cs="Palatino Linotype"/>
          <w:b/>
          <w:sz w:val="24"/>
          <w:szCs w:val="24"/>
        </w:rPr>
        <w:t>/INFOEM/IP/RR/2022.</w:t>
      </w:r>
    </w:p>
    <w:p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mayoría de votos, la resolución relativa al recurso de revisión </w:t>
      </w:r>
      <w:r w:rsidR="00B44CF2">
        <w:rPr>
          <w:rFonts w:ascii="Palatino Linotype" w:eastAsia="Palatino Linotype" w:hAnsi="Palatino Linotype" w:cs="Palatino Linotype"/>
          <w:b/>
          <w:sz w:val="24"/>
          <w:szCs w:val="24"/>
        </w:rPr>
        <w:t>15411</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9839CA" w:rsidRDefault="002F08DC">
      <w:pPr>
        <w:spacing w:before="240" w:after="24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 xml:space="preserve">En el caso concreto,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w:t>
      </w:r>
      <w:r w:rsidR="00B44CF2">
        <w:rPr>
          <w:rFonts w:ascii="Palatino Linotype" w:eastAsia="Palatino Linotype" w:hAnsi="Palatino Linotype" w:cs="Palatino Linotype"/>
          <w:sz w:val="24"/>
          <w:szCs w:val="24"/>
        </w:rPr>
        <w:t>Almoloya de Juárez</w:t>
      </w:r>
      <w:r>
        <w:rPr>
          <w:rFonts w:ascii="Palatino Linotype" w:eastAsia="Palatino Linotype" w:hAnsi="Palatino Linotype" w:cs="Palatino Linotype"/>
          <w:sz w:val="24"/>
          <w:szCs w:val="24"/>
        </w:rPr>
        <w:t xml:space="preserve">, la siguiente información: </w:t>
      </w:r>
    </w:p>
    <w:p w:rsidR="009839CA" w:rsidRDefault="002F08DC">
      <w:pPr>
        <w:tabs>
          <w:tab w:val="left" w:pos="567"/>
        </w:tabs>
        <w:spacing w:after="0" w:line="276"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sidR="00B44CF2" w:rsidRPr="00B44CF2">
        <w:rPr>
          <w:rFonts w:ascii="Palatino Linotype" w:eastAsia="Palatino Linotype" w:hAnsi="Palatino Linotype" w:cs="Palatino Linotype"/>
          <w:i/>
          <w:color w:val="000000"/>
        </w:rPr>
        <w:t>Solicito lista de personal que ingreso a partir del primero de enero de 2022 al 30 de agosto de 2022, detallando sus percepciones y deducciones de las siguentes áreas: Administración, tesoreria , UIPPE, seguridad ciudadana</w:t>
      </w:r>
      <w:r w:rsidR="00B17C0C" w:rsidRPr="00B17C0C">
        <w:rPr>
          <w:rFonts w:ascii="Palatino Linotype" w:eastAsia="Palatino Linotype" w:hAnsi="Palatino Linotype" w:cs="Palatino Linotype"/>
          <w:i/>
          <w:color w:val="000000"/>
        </w:rPr>
        <w:t xml:space="preserve">.” (Sic) </w:t>
      </w:r>
    </w:p>
    <w:p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la respuesta medularmente en los siguientes términos: </w:t>
      </w:r>
    </w:p>
    <w:p w:rsidR="00B17C0C" w:rsidRPr="00B44CF2" w:rsidRDefault="00B17C0C" w:rsidP="00D6164D">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sidR="00B44CF2" w:rsidRPr="00B44CF2">
        <w:rPr>
          <w:rFonts w:ascii="Palatino Linotype" w:eastAsia="Palatino Linotype" w:hAnsi="Palatino Linotype" w:cs="Palatino Linotype"/>
          <w:i/>
        </w:rPr>
        <w:t>En primera instancia, la información requerida obra en nuestros archivos en formato físico, o bien, impreso por lo que, para elaborar la versión pública es necesario fotocopiarlos</w:t>
      </w:r>
      <w:r w:rsidRPr="00B44CF2">
        <w:rPr>
          <w:rFonts w:ascii="Palatino Linotype" w:eastAsia="Palatino Linotype" w:hAnsi="Palatino Linotype" w:cs="Palatino Linotype"/>
          <w:i/>
        </w:rPr>
        <w:t xml:space="preserve">. </w:t>
      </w:r>
    </w:p>
    <w:p w:rsidR="00B44CF2" w:rsidRPr="00B44CF2" w:rsidRDefault="00B17C0C" w:rsidP="00D6164D">
      <w:pPr>
        <w:spacing w:after="0" w:line="276" w:lineRule="auto"/>
        <w:ind w:left="851" w:right="706"/>
        <w:jc w:val="both"/>
        <w:rPr>
          <w:rFonts w:ascii="Palatino Linotype" w:eastAsia="Palatino Linotype" w:hAnsi="Palatino Linotype" w:cs="Palatino Linotype"/>
          <w:i/>
        </w:rPr>
      </w:pPr>
      <w:r w:rsidRPr="00B44CF2">
        <w:rPr>
          <w:rFonts w:ascii="Palatino Linotype" w:eastAsia="Palatino Linotype" w:hAnsi="Palatino Linotype" w:cs="Palatino Linotype"/>
          <w:i/>
        </w:rPr>
        <w:t>…</w:t>
      </w:r>
    </w:p>
    <w:p w:rsidR="009839CA" w:rsidRPr="00B44CF2" w:rsidRDefault="00B44CF2" w:rsidP="00D6164D">
      <w:pPr>
        <w:spacing w:after="0" w:line="276" w:lineRule="auto"/>
        <w:ind w:left="851" w:right="706"/>
        <w:jc w:val="both"/>
        <w:rPr>
          <w:rFonts w:ascii="Palatino Linotype" w:eastAsia="Palatino Linotype" w:hAnsi="Palatino Linotype" w:cs="Palatino Linotype"/>
          <w:i/>
        </w:rPr>
      </w:pPr>
      <w:r w:rsidRPr="00B44CF2">
        <w:rPr>
          <w:rFonts w:ascii="Palatino Linotype" w:eastAsia="Palatino Linotype" w:hAnsi="Palatino Linotype" w:cs="Palatino Linotype"/>
          <w:i/>
        </w:rPr>
        <w:t>Por otra parte, hago de su conocimiento que la LISTA DE PERSONAL QUE INGRESO DEL PRIMERO DE ENERO DE 2022 AL 30 DE AGOSTO DE 2022 DETALLANDO SUS PERCEPCIONES Y DEDUCCIONES DE LAS SIGUIENTES ÁREAS: ADMINISTRACIÓN, TESORERÍA, UIPPE, SEGURIDAD CIUDADANA de los que solicita suman un total de 064 hojas, cantidad que supera el supuesto de gratuidad establecido en la legislación aplicable</w:t>
      </w:r>
      <w:r>
        <w:rPr>
          <w:rFonts w:ascii="Palatino Linotype" w:eastAsia="Palatino Linotype" w:hAnsi="Palatino Linotype" w:cs="Palatino Linotype"/>
          <w:i/>
        </w:rPr>
        <w:t>…</w:t>
      </w:r>
      <w:r w:rsidR="00B17C0C" w:rsidRPr="00B44CF2">
        <w:rPr>
          <w:rFonts w:ascii="Palatino Linotype" w:eastAsia="Palatino Linotype" w:hAnsi="Palatino Linotype" w:cs="Palatino Linotype"/>
          <w:i/>
        </w:rPr>
        <w:t>”</w:t>
      </w:r>
      <w:r>
        <w:rPr>
          <w:rFonts w:ascii="Palatino Linotype" w:eastAsia="Palatino Linotype" w:hAnsi="Palatino Linotype" w:cs="Palatino Linotype"/>
          <w:i/>
        </w:rPr>
        <w:t xml:space="preserve"> (Sic)</w:t>
      </w:r>
    </w:p>
    <w:p w:rsidR="009839CA" w:rsidRDefault="009839CA">
      <w:pPr>
        <w:spacing w:after="0" w:line="276" w:lineRule="auto"/>
        <w:ind w:left="567" w:right="990"/>
        <w:jc w:val="both"/>
        <w:rPr>
          <w:rFonts w:ascii="Palatino Linotype" w:eastAsia="Palatino Linotype" w:hAnsi="Palatino Linotype" w:cs="Palatino Linotype"/>
          <w:i/>
        </w:rPr>
      </w:pPr>
    </w:p>
    <w:p w:rsidR="0078303F" w:rsidRDefault="0078303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que la parte recurrente tuvo conocimiento de la respuesta, interpuso el medio de impugnación </w:t>
      </w:r>
      <w:r w:rsidR="00253BFF">
        <w:rPr>
          <w:rFonts w:ascii="Palatino Linotype" w:eastAsia="Palatino Linotype" w:hAnsi="Palatino Linotype" w:cs="Palatino Linotype"/>
          <w:sz w:val="24"/>
          <w:szCs w:val="24"/>
        </w:rPr>
        <w:t>en el que señaló como raz</w:t>
      </w:r>
      <w:r w:rsidR="00CD757F">
        <w:rPr>
          <w:rFonts w:ascii="Palatino Linotype" w:eastAsia="Palatino Linotype" w:hAnsi="Palatino Linotype" w:cs="Palatino Linotype"/>
          <w:sz w:val="24"/>
          <w:szCs w:val="24"/>
        </w:rPr>
        <w:t xml:space="preserve">ones o motivos de inconformidad, lo siguiente: </w:t>
      </w:r>
    </w:p>
    <w:p w:rsidR="001742FD" w:rsidRPr="00423468" w:rsidRDefault="001742FD" w:rsidP="00D6164D">
      <w:pPr>
        <w:tabs>
          <w:tab w:val="left" w:pos="4667"/>
        </w:tabs>
        <w:spacing w:line="276" w:lineRule="auto"/>
        <w:ind w:left="851" w:right="706"/>
        <w:jc w:val="both"/>
        <w:rPr>
          <w:rFonts w:ascii="Palatino Linotype" w:hAnsi="Palatino Linotype" w:cs="Tahoma"/>
          <w:i/>
        </w:rPr>
      </w:pPr>
      <w:r>
        <w:rPr>
          <w:rFonts w:ascii="Palatino Linotype" w:hAnsi="Palatino Linotype" w:cs="Tahoma"/>
          <w:i/>
        </w:rPr>
        <w:t>“</w:t>
      </w:r>
      <w:r w:rsidRPr="00E33900">
        <w:rPr>
          <w:rFonts w:ascii="Palatino Linotype" w:hAnsi="Palatino Linotype" w:cs="Tahoma"/>
          <w:i/>
        </w:rPr>
        <w:t>Se me niega el derecho a la información pública que como bien se sabe es el derecho de toda persona a solicitar GRATUITAMENTE la información generada, administrada o en posesión de las autoridades públicas, quienes tienen la OBLIGACION de entregarla sin que la persona necesite acreditar interés alguno ni justificar su uso</w:t>
      </w:r>
      <w:r w:rsidRPr="00423468">
        <w:rPr>
          <w:rFonts w:ascii="Palatino Linotype" w:hAnsi="Palatino Linotype" w:cs="Tahoma"/>
          <w:i/>
        </w:rPr>
        <w:t>” (Sic.)</w:t>
      </w: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sin embargo, las partes fueron omisas en remitir información alguna.</w:t>
      </w:r>
    </w:p>
    <w:p w:rsidR="009839CA" w:rsidRDefault="002F08D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que las razones y/o motivos de inconformidad del particular son fundados y procedió a ordenar la entrega de información, como se advierte en el </w:t>
      </w:r>
      <w:r>
        <w:rPr>
          <w:rFonts w:ascii="Palatino Linotype" w:eastAsia="Palatino Linotype" w:hAnsi="Palatino Linotype" w:cs="Palatino Linotype"/>
          <w:b/>
          <w:sz w:val="24"/>
          <w:szCs w:val="24"/>
        </w:rPr>
        <w:t xml:space="preserve">resolutivo </w:t>
      </w:r>
      <w:r w:rsidR="00B44CF2">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w:t>
      </w:r>
    </w:p>
    <w:p w:rsidR="009839CA" w:rsidRDefault="009839CA">
      <w:pPr>
        <w:spacing w:after="0" w:line="276" w:lineRule="auto"/>
        <w:ind w:left="567" w:right="990"/>
        <w:jc w:val="both"/>
        <w:rPr>
          <w:rFonts w:ascii="Palatino Linotype" w:eastAsia="Palatino Linotype" w:hAnsi="Palatino Linotype" w:cs="Palatino Linotype"/>
          <w:b/>
          <w:i/>
        </w:rPr>
      </w:pPr>
    </w:p>
    <w:p w:rsidR="00C400A1" w:rsidRPr="00C400A1" w:rsidRDefault="002F08DC" w:rsidP="00C400A1">
      <w:pPr>
        <w:spacing w:line="276" w:lineRule="auto"/>
        <w:ind w:left="851" w:right="706"/>
        <w:jc w:val="both"/>
        <w:rPr>
          <w:rFonts w:ascii="Palatino Linotype" w:hAnsi="Palatino Linotype" w:cs="Tahoma"/>
          <w:bCs/>
          <w:i/>
          <w:iCs/>
        </w:rPr>
      </w:pPr>
      <w:r w:rsidRPr="00C400A1">
        <w:rPr>
          <w:rFonts w:ascii="Palatino Linotype" w:eastAsia="Palatino Linotype" w:hAnsi="Palatino Linotype" w:cs="Palatino Linotype"/>
          <w:i/>
        </w:rPr>
        <w:t>“</w:t>
      </w:r>
      <w:r w:rsidR="00C400A1" w:rsidRPr="00C400A1">
        <w:rPr>
          <w:rFonts w:ascii="Palatino Linotype" w:hAnsi="Palatino Linotype" w:cs="Tahoma"/>
          <w:b/>
          <w:bCs/>
          <w:i/>
        </w:rPr>
        <w:t xml:space="preserve">SEGUNDO. </w:t>
      </w:r>
      <w:r w:rsidR="00C400A1" w:rsidRPr="00C400A1">
        <w:rPr>
          <w:rFonts w:ascii="Palatino Linotype" w:hAnsi="Palatino Linotype" w:cs="Tahoma"/>
          <w:i/>
        </w:rPr>
        <w:t xml:space="preserve">Se </w:t>
      </w:r>
      <w:r w:rsidR="00C400A1" w:rsidRPr="00C400A1">
        <w:rPr>
          <w:rFonts w:ascii="Palatino Linotype" w:hAnsi="Palatino Linotype" w:cs="Tahoma"/>
          <w:b/>
          <w:i/>
        </w:rPr>
        <w:t>ORDENA</w:t>
      </w:r>
      <w:r w:rsidR="00C400A1" w:rsidRPr="00C400A1">
        <w:rPr>
          <w:rFonts w:ascii="Palatino Linotype" w:hAnsi="Palatino Linotype" w:cs="Tahoma"/>
          <w:bCs/>
          <w:i/>
        </w:rPr>
        <w:t xml:space="preserve"> al Ayuntamiento de Almoloya de Juárez</w:t>
      </w:r>
      <w:r w:rsidR="00C400A1" w:rsidRPr="00C400A1">
        <w:rPr>
          <w:rFonts w:ascii="Palatino Linotype" w:hAnsi="Palatino Linotype" w:cs="Tahoma"/>
          <w:b/>
          <w:bCs/>
          <w:i/>
          <w:lang w:eastAsia="en-US"/>
        </w:rPr>
        <w:t>,</w:t>
      </w:r>
      <w:r w:rsidR="00C400A1" w:rsidRPr="00C400A1">
        <w:rPr>
          <w:rFonts w:ascii="Palatino Linotype" w:hAnsi="Palatino Linotype" w:cs="Tahoma"/>
          <w:b/>
          <w:i/>
        </w:rPr>
        <w:t xml:space="preserve"> </w:t>
      </w:r>
      <w:r w:rsidR="00C400A1" w:rsidRPr="00C400A1">
        <w:rPr>
          <w:rFonts w:ascii="Palatino Linotype" w:hAnsi="Palatino Linotype"/>
          <w:i/>
          <w:color w:val="000000" w:themeColor="text1"/>
          <w:lang w:eastAsia="en-US"/>
        </w:rPr>
        <w:t xml:space="preserve">a efecto de que, </w:t>
      </w:r>
      <w:r w:rsidR="00C400A1" w:rsidRPr="00C400A1">
        <w:rPr>
          <w:rFonts w:ascii="Palatino Linotype" w:hAnsi="Palatino Linotype" w:cs="Tahoma"/>
          <w:i/>
          <w:iCs/>
          <w:color w:val="000000"/>
          <w:lang w:eastAsia="es-ES_tradnl"/>
        </w:rPr>
        <w:t>entregue, a través del Sistema de Acceso a la Información Mexiquense (SAIMEX)</w:t>
      </w:r>
      <w:r w:rsidR="00C400A1" w:rsidRPr="00C400A1">
        <w:rPr>
          <w:rFonts w:ascii="Palatino Linotype" w:hAnsi="Palatino Linotype" w:cs="Tahoma"/>
          <w:i/>
          <w:iCs/>
          <w:szCs w:val="24"/>
          <w:lang w:val="es-ES" w:eastAsia="es-ES_tradnl"/>
        </w:rPr>
        <w:t xml:space="preserve">, </w:t>
      </w:r>
      <w:r w:rsidR="00C400A1" w:rsidRPr="00C400A1">
        <w:rPr>
          <w:rFonts w:ascii="Palatino Linotype" w:hAnsi="Palatino Linotype" w:cs="Tahoma"/>
          <w:bCs/>
          <w:i/>
          <w:iCs/>
        </w:rPr>
        <w:t>en su caso en versión pública, el documento donde conste lo siguiente:</w:t>
      </w:r>
    </w:p>
    <w:p w:rsidR="00C400A1" w:rsidRPr="00C400A1" w:rsidRDefault="00C400A1" w:rsidP="00C400A1">
      <w:pPr>
        <w:spacing w:line="276" w:lineRule="auto"/>
        <w:ind w:left="851" w:right="706"/>
        <w:jc w:val="both"/>
        <w:rPr>
          <w:rFonts w:ascii="Palatino Linotype" w:hAnsi="Palatino Linotype" w:cs="Tahoma"/>
          <w:bCs/>
          <w:i/>
          <w:iCs/>
        </w:rPr>
      </w:pPr>
    </w:p>
    <w:p w:rsidR="00C400A1" w:rsidRPr="00C400A1" w:rsidRDefault="00C400A1" w:rsidP="00C400A1">
      <w:pPr>
        <w:pStyle w:val="Prrafodelista"/>
        <w:numPr>
          <w:ilvl w:val="0"/>
          <w:numId w:val="4"/>
        </w:numPr>
        <w:spacing w:line="276" w:lineRule="auto"/>
        <w:ind w:left="851" w:right="706" w:firstLine="0"/>
        <w:jc w:val="both"/>
        <w:rPr>
          <w:rFonts w:ascii="Palatino Linotype" w:hAnsi="Palatino Linotype" w:cs="Tahoma"/>
          <w:i/>
          <w:szCs w:val="22"/>
          <w:lang w:val="es-ES"/>
        </w:rPr>
      </w:pPr>
      <w:r w:rsidRPr="00C400A1">
        <w:rPr>
          <w:rFonts w:ascii="Palatino Linotype" w:hAnsi="Palatino Linotype"/>
          <w:bCs/>
          <w:i/>
          <w:iCs/>
          <w:lang w:val="es-ES"/>
        </w:rPr>
        <w:t xml:space="preserve">Los </w:t>
      </w:r>
      <w:r w:rsidRPr="00C400A1">
        <w:rPr>
          <w:rFonts w:ascii="Palatino Linotype" w:hAnsi="Palatino Linotype" w:cs="Tahoma"/>
          <w:i/>
          <w:szCs w:val="22"/>
          <w:lang w:val="es-ES"/>
        </w:rPr>
        <w:t xml:space="preserve">sueldos, prestaciones y deducciones de todos los servidores públicos adscritos a la </w:t>
      </w:r>
      <w:r w:rsidRPr="00C400A1">
        <w:rPr>
          <w:rFonts w:ascii="Palatino Linotype" w:eastAsia="Calibri" w:hAnsi="Palatino Linotype" w:cs="Tahoma"/>
          <w:i/>
          <w:iCs/>
          <w:szCs w:val="22"/>
          <w:lang w:val="es-ES" w:eastAsia="es-ES_tradnl"/>
        </w:rPr>
        <w:t xml:space="preserve">Dirección de Administración, a la Tesorería Municipal, a la Unidad de Información, Planeación, Programación y Evaluación y a la Dirección de Seguridad Ciudadana, que fueron dados de alta del primero de enero al treinta de agosto de dos mil veintidós. </w:t>
      </w:r>
    </w:p>
    <w:p w:rsidR="00C400A1" w:rsidRPr="00C400A1" w:rsidRDefault="00C400A1" w:rsidP="00C400A1">
      <w:pPr>
        <w:pStyle w:val="Prrafodelista"/>
        <w:spacing w:line="276" w:lineRule="auto"/>
        <w:ind w:left="851" w:right="706"/>
        <w:jc w:val="both"/>
        <w:rPr>
          <w:rFonts w:ascii="Palatino Linotype" w:eastAsia="Calibri" w:hAnsi="Palatino Linotype" w:cs="Tahoma"/>
          <w:i/>
          <w:iCs/>
          <w:szCs w:val="22"/>
          <w:lang w:val="es-ES" w:eastAsia="es-ES_tradnl"/>
        </w:rPr>
      </w:pPr>
    </w:p>
    <w:p w:rsidR="00C400A1" w:rsidRPr="00C400A1" w:rsidRDefault="00C400A1" w:rsidP="00C400A1">
      <w:pPr>
        <w:tabs>
          <w:tab w:val="left" w:pos="4962"/>
        </w:tabs>
        <w:spacing w:line="276" w:lineRule="auto"/>
        <w:ind w:left="851" w:right="706"/>
        <w:jc w:val="both"/>
        <w:rPr>
          <w:rFonts w:ascii="Palatino Linotype" w:hAnsi="Palatino Linotype" w:cs="Tahoma"/>
          <w:bCs/>
          <w:i/>
          <w:iCs/>
          <w:lang w:val="es-ES" w:eastAsia="en-US"/>
        </w:rPr>
      </w:pPr>
      <w:r w:rsidRPr="00C400A1">
        <w:rPr>
          <w:rFonts w:ascii="Palatino Linotype" w:hAnsi="Palatino Linotype" w:cs="Tahoma"/>
          <w:bCs/>
          <w:i/>
          <w:iCs/>
          <w:lang w:val="es-ES" w:eastAsia="en-US"/>
        </w:rPr>
        <w:t>Además, d</w:t>
      </w:r>
      <w:bookmarkStart w:id="1" w:name="_GoBack"/>
      <w:bookmarkEnd w:id="1"/>
      <w:r w:rsidRPr="00C400A1">
        <w:rPr>
          <w:rFonts w:ascii="Palatino Linotype" w:hAnsi="Palatino Linotype" w:cs="Tahoma"/>
          <w:bCs/>
          <w:i/>
          <w:iCs/>
          <w:lang w:val="es-ES" w:eastAsia="en-US"/>
        </w:rPr>
        <w:t xml:space="preserve">e ser necesario deberá proporcionar el Acuerdo de Clasificación donde el Comité de Transparencia, confirme la eliminación de los datos o información </w:t>
      </w:r>
      <w:r w:rsidRPr="00C400A1">
        <w:rPr>
          <w:rFonts w:ascii="Palatino Linotype" w:hAnsi="Palatino Linotype" w:cs="Tahoma"/>
          <w:bCs/>
          <w:i/>
          <w:iCs/>
          <w:lang w:val="es-ES" w:eastAsia="en-US"/>
        </w:rPr>
        <w:lastRenderedPageBreak/>
        <w:t>clasificada, en la versión pública, de conformidad con los artículos 49, fracciones II y VIII y 132, fracción II de la Ley de Transparencia y Acceso a la Información Pública del Estado de México y Municipios.</w:t>
      </w:r>
      <w:r>
        <w:rPr>
          <w:rFonts w:ascii="Palatino Linotype" w:hAnsi="Palatino Linotype" w:cs="Tahoma"/>
          <w:bCs/>
          <w:i/>
          <w:iCs/>
          <w:lang w:val="es-ES" w:eastAsia="en-US"/>
        </w:rPr>
        <w:t>”</w:t>
      </w:r>
    </w:p>
    <w:p w:rsidR="009839CA" w:rsidRPr="00514496" w:rsidRDefault="009839CA" w:rsidP="00C400A1">
      <w:pPr>
        <w:widowControl w:val="0"/>
        <w:spacing w:after="0" w:line="360" w:lineRule="auto"/>
        <w:ind w:left="851" w:right="706"/>
        <w:jc w:val="both"/>
        <w:rPr>
          <w:rFonts w:ascii="Palatino Linotype" w:eastAsia="Palatino Linotype" w:hAnsi="Palatino Linotype" w:cs="Palatino Linotype"/>
          <w:i/>
          <w:sz w:val="23"/>
          <w:szCs w:val="23"/>
        </w:rPr>
      </w:pPr>
    </w:p>
    <w:p w:rsidR="009839CA" w:rsidRDefault="002F08DC">
      <w:pPr>
        <w:spacing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En ese sentido debe mencionarse qu</w:t>
      </w:r>
      <w:r w:rsidR="0066248D">
        <w:rPr>
          <w:rFonts w:ascii="Palatino Linotype" w:eastAsia="Palatino Linotype" w:hAnsi="Palatino Linotype" w:cs="Palatino Linotype"/>
          <w:sz w:val="24"/>
          <w:szCs w:val="24"/>
        </w:rPr>
        <w:t>e, toda vez que la Ponencia</w:t>
      </w:r>
      <w:r>
        <w:rPr>
          <w:rFonts w:ascii="Palatino Linotype" w:eastAsia="Palatino Linotype" w:hAnsi="Palatino Linotype" w:cs="Palatino Linotype"/>
          <w:sz w:val="24"/>
          <w:szCs w:val="24"/>
        </w:rPr>
        <w:t xml:space="preserve"> determinó</w:t>
      </w:r>
      <w:r w:rsidR="0066248D">
        <w:rPr>
          <w:rFonts w:ascii="Palatino Linotype" w:eastAsia="Palatino Linotype" w:hAnsi="Palatino Linotype" w:cs="Palatino Linotype"/>
          <w:sz w:val="24"/>
          <w:szCs w:val="24"/>
        </w:rPr>
        <w:t xml:space="preserve"> que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sidR="00514496">
        <w:rPr>
          <w:rFonts w:ascii="Palatino Linotype" w:eastAsia="Palatino Linotype" w:hAnsi="Palatino Linotype" w:cs="Palatino Linotype"/>
          <w:b/>
          <w:sz w:val="24"/>
          <w:szCs w:val="24"/>
        </w:rPr>
        <w:t xml:space="preserve">Dirección de Seguridad </w:t>
      </w:r>
      <w:r w:rsidR="00C400A1">
        <w:rPr>
          <w:rFonts w:ascii="Palatino Linotype" w:eastAsia="Palatino Linotype" w:hAnsi="Palatino Linotype" w:cs="Palatino Linotype"/>
          <w:b/>
          <w:sz w:val="24"/>
          <w:szCs w:val="24"/>
        </w:rPr>
        <w:t>Ciudadana</w:t>
      </w:r>
      <w:r w:rsidR="0066248D">
        <w:rPr>
          <w:rFonts w:ascii="Palatino Linotype" w:eastAsia="Palatino Linotype" w:hAnsi="Palatino Linotype" w:cs="Palatino Linotype"/>
          <w:b/>
          <w:sz w:val="24"/>
          <w:szCs w:val="24"/>
        </w:rPr>
        <w:t>,</w:t>
      </w:r>
      <w:r w:rsidR="0066248D">
        <w:rPr>
          <w:rFonts w:ascii="Palatino Linotype" w:eastAsia="Palatino Linotype" w:hAnsi="Palatino Linotype" w:cs="Palatino Linotype"/>
          <w:sz w:val="24"/>
          <w:szCs w:val="24"/>
        </w:rPr>
        <w:t xml:space="preserve"> </w:t>
      </w:r>
      <w:r w:rsidR="00C400A1">
        <w:rPr>
          <w:rFonts w:ascii="Palatino Linotype" w:eastAsia="Palatino Linotype" w:hAnsi="Palatino Linotype" w:cs="Palatino Linotype"/>
          <w:sz w:val="24"/>
          <w:szCs w:val="24"/>
        </w:rPr>
        <w:t>encargada de salvaguardar y garantizar el orden público y la paz social; por lo que,</w:t>
      </w:r>
      <w:r w:rsidR="00077095">
        <w:rPr>
          <w:rFonts w:ascii="Palatino Linotype" w:eastAsia="Palatino Linotype" w:hAnsi="Palatino Linotype" w:cs="Palatino Linotype"/>
          <w:sz w:val="24"/>
          <w:szCs w:val="24"/>
        </w:rPr>
        <w:t xml:space="preserve"> este </w:t>
      </w:r>
      <w:r>
        <w:rPr>
          <w:rFonts w:ascii="Palatino Linotype" w:eastAsia="Palatino Linotype" w:hAnsi="Palatino Linotype" w:cs="Palatino Linotype"/>
          <w:b/>
          <w:sz w:val="24"/>
          <w:szCs w:val="24"/>
        </w:rPr>
        <w:t xml:space="preserve">Instituto </w:t>
      </w:r>
      <w:r w:rsidR="00077095">
        <w:rPr>
          <w:rFonts w:ascii="Palatino Linotype" w:eastAsia="Palatino Linotype" w:hAnsi="Palatino Linotype" w:cs="Palatino Linotype"/>
          <w:b/>
          <w:sz w:val="24"/>
          <w:szCs w:val="24"/>
        </w:rPr>
        <w:t>considera</w:t>
      </w:r>
      <w:r>
        <w:rPr>
          <w:rFonts w:ascii="Palatino Linotype" w:eastAsia="Palatino Linotype" w:hAnsi="Palatino Linotype" w:cs="Palatino Linotype"/>
          <w:b/>
          <w:sz w:val="24"/>
          <w:szCs w:val="24"/>
        </w:rPr>
        <w:t xml:space="preserve"> </w:t>
      </w:r>
      <w:r w:rsidR="00C400A1">
        <w:rPr>
          <w:rFonts w:ascii="Palatino Linotype" w:eastAsia="Palatino Linotype" w:hAnsi="Palatino Linotype" w:cs="Palatino Linotype"/>
          <w:b/>
          <w:sz w:val="24"/>
          <w:szCs w:val="24"/>
        </w:rPr>
        <w:t>que en dicha área existen servidores públicos que realizan funciones operativas en materia de seguridad pública</w:t>
      </w:r>
      <w:r>
        <w:rPr>
          <w:rFonts w:ascii="Palatino Linotype" w:eastAsia="Palatino Linotype" w:hAnsi="Palatino Linotype" w:cs="Palatino Linotype"/>
          <w:sz w:val="24"/>
          <w:szCs w:val="24"/>
        </w:rPr>
        <w:t xml:space="preserve">,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D6164D" w:rsidRDefault="00D6164D">
      <w:pPr>
        <w:spacing w:line="360" w:lineRule="auto"/>
        <w:jc w:val="both"/>
        <w:rPr>
          <w:rFonts w:ascii="Palatino Linotype" w:eastAsia="Palatino Linotype" w:hAnsi="Palatino Linotype" w:cs="Palatino Linotype"/>
          <w:sz w:val="24"/>
          <w:szCs w:val="24"/>
        </w:rPr>
      </w:pP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 xml:space="preserve">deberán demostrar que la publicidad de la información solicitada </w:t>
      </w:r>
      <w:r>
        <w:rPr>
          <w:rFonts w:ascii="Palatino Linotype" w:eastAsia="Palatino Linotype" w:hAnsi="Palatino Linotype" w:cs="Palatino Linotype"/>
          <w:b/>
          <w:i/>
          <w:color w:val="000000"/>
        </w:rPr>
        <w:lastRenderedPageBreak/>
        <w:t>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9839CA" w:rsidRDefault="009839CA">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sidR="00667E77">
        <w:rPr>
          <w:rFonts w:ascii="Palatino Linotype" w:eastAsia="Palatino Linotype" w:hAnsi="Palatino Linotype" w:cs="Palatino Linotype"/>
          <w:b/>
          <w:sz w:val="24"/>
          <w:szCs w:val="24"/>
        </w:rPr>
        <w:t>15411</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xml:space="preserve">, en razón de que, dentro de la Ley de Transparencia y Acceso a la Información Pública </w:t>
      </w:r>
      <w:r>
        <w:rPr>
          <w:rFonts w:ascii="Palatino Linotype" w:eastAsia="Palatino Linotype" w:hAnsi="Palatino Linotype" w:cs="Palatino Linotype"/>
          <w:sz w:val="24"/>
          <w:szCs w:val="24"/>
        </w:rPr>
        <w:lastRenderedPageBreak/>
        <w:t>del Estado de México y Municipios, se encuentra que, para reservar una información, se debe aplicar una prueba de daño, la cual es definida por la Ley de la Materia en su artículo 3 fracción XXXII, como:</w:t>
      </w:r>
    </w:p>
    <w:p w:rsidR="00D6164D" w:rsidRDefault="00D6164D">
      <w:pPr>
        <w:spacing w:line="360" w:lineRule="auto"/>
        <w:jc w:val="both"/>
        <w:rPr>
          <w:rFonts w:ascii="Palatino Linotype" w:eastAsia="Palatino Linotype" w:hAnsi="Palatino Linotype" w:cs="Palatino Linotype"/>
          <w:sz w:val="24"/>
          <w:szCs w:val="24"/>
        </w:rPr>
      </w:pPr>
    </w:p>
    <w:p w:rsidR="009839CA" w:rsidRDefault="002F08DC" w:rsidP="00D6164D">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9839CA" w:rsidRDefault="009839CA">
      <w:pPr>
        <w:jc w:val="both"/>
        <w:rPr>
          <w:rFonts w:ascii="Palatino Linotype" w:eastAsia="Palatino Linotype" w:hAnsi="Palatino Linotype" w:cs="Palatino Linotype"/>
        </w:rPr>
      </w:pPr>
    </w:p>
    <w:p w:rsidR="009839CA" w:rsidRDefault="002F08DC">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9839CA" w:rsidRDefault="002F08DC">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rsidR="009839CA" w:rsidRDefault="002F08D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9839CA" w:rsidRDefault="002F08DC">
      <w:pPr>
        <w:spacing w:before="240" w:after="240" w:line="360" w:lineRule="auto"/>
        <w:jc w:val="both"/>
        <w:rPr>
          <w:rFonts w:ascii="Palatino Linotype" w:eastAsia="Palatino Linotype" w:hAnsi="Palatino Linotype" w:cs="Palatino Linotype"/>
          <w:sz w:val="24"/>
          <w:szCs w:val="24"/>
        </w:rPr>
        <w:sectPr w:rsidR="009839CA">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bookmarkStart w:id="3" w:name="_heading=h.30j0zll" w:colFirst="0" w:colLast="0"/>
      <w:bookmarkEnd w:id="3"/>
      <w:r>
        <w:rPr>
          <w:rFonts w:ascii="Palatino Linotype" w:eastAsia="Palatino Linotype" w:hAnsi="Palatino Linotype" w:cs="Palatino Linotype"/>
          <w:sz w:val="24"/>
          <w:szCs w:val="24"/>
        </w:rPr>
        <w:t xml:space="preserve">Lo expuesto, constituyen las razones y fundamentos que me llevan a emitir la opinión particular que se ha expresado. </w:t>
      </w:r>
    </w:p>
    <w:p w:rsidR="009839CA" w:rsidRDefault="009839CA">
      <w:pPr>
        <w:spacing w:before="240" w:after="240" w:line="360" w:lineRule="auto"/>
        <w:jc w:val="both"/>
        <w:rPr>
          <w:rFonts w:ascii="Palatino Linotype" w:eastAsia="Palatino Linotype" w:hAnsi="Palatino Linotype" w:cs="Palatino Linotype"/>
          <w:sz w:val="23"/>
          <w:szCs w:val="23"/>
        </w:rPr>
      </w:pPr>
    </w:p>
    <w:p w:rsidR="009839CA" w:rsidRDefault="009839CA">
      <w:pPr>
        <w:spacing w:before="240" w:after="240" w:line="360" w:lineRule="auto"/>
        <w:jc w:val="center"/>
        <w:rPr>
          <w:rFonts w:ascii="Palatino Linotype" w:eastAsia="Palatino Linotype" w:hAnsi="Palatino Linotype" w:cs="Palatino Linotype"/>
          <w:b/>
          <w:sz w:val="23"/>
          <w:szCs w:val="23"/>
        </w:rPr>
      </w:pPr>
    </w:p>
    <w:p w:rsidR="009839CA" w:rsidRDefault="009839CA">
      <w:pPr>
        <w:spacing w:after="0" w:line="240" w:lineRule="auto"/>
        <w:jc w:val="center"/>
        <w:rPr>
          <w:rFonts w:ascii="Palatino Linotype" w:eastAsia="Palatino Linotype" w:hAnsi="Palatino Linotype" w:cs="Palatino Linotype"/>
          <w:sz w:val="23"/>
          <w:szCs w:val="23"/>
        </w:rPr>
      </w:pPr>
    </w:p>
    <w:p w:rsidR="009839CA" w:rsidRDefault="009839CA">
      <w:pPr>
        <w:spacing w:before="240" w:after="240" w:line="360" w:lineRule="auto"/>
        <w:rPr>
          <w:rFonts w:ascii="Palatino Linotype" w:eastAsia="Palatino Linotype" w:hAnsi="Palatino Linotype" w:cs="Palatino Linotype"/>
          <w:sz w:val="24"/>
          <w:szCs w:val="24"/>
        </w:rPr>
      </w:pPr>
    </w:p>
    <w:p w:rsidR="009839CA" w:rsidRDefault="009839CA">
      <w:pPr>
        <w:rPr>
          <w:rFonts w:ascii="Palatino Linotype" w:eastAsia="Palatino Linotype" w:hAnsi="Palatino Linotype" w:cs="Palatino Linotype"/>
        </w:rPr>
      </w:pPr>
    </w:p>
    <w:p w:rsidR="009839CA" w:rsidRDefault="009839CA">
      <w:pPr>
        <w:rPr>
          <w:rFonts w:ascii="Palatino Linotype" w:eastAsia="Palatino Linotype" w:hAnsi="Palatino Linotype" w:cs="Palatino Linotype"/>
        </w:rPr>
      </w:pPr>
    </w:p>
    <w:p w:rsidR="009839CA" w:rsidRDefault="009839CA">
      <w:pPr>
        <w:rPr>
          <w:rFonts w:ascii="Palatino Linotype" w:eastAsia="Palatino Linotype" w:hAnsi="Palatino Linotype" w:cs="Palatino Linotype"/>
        </w:rPr>
      </w:pPr>
    </w:p>
    <w:sectPr w:rsidR="009839CA">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7FD" w:rsidRDefault="006D47FD">
      <w:pPr>
        <w:spacing w:after="0" w:line="240" w:lineRule="auto"/>
      </w:pPr>
      <w:r>
        <w:separator/>
      </w:r>
    </w:p>
  </w:endnote>
  <w:endnote w:type="continuationSeparator" w:id="0">
    <w:p w:rsidR="006D47FD" w:rsidRDefault="006D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CA" w:rsidRDefault="002F08D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574D">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574D">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9839CA" w:rsidRDefault="009839C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7FD" w:rsidRDefault="006D47FD">
      <w:pPr>
        <w:spacing w:after="0" w:line="240" w:lineRule="auto"/>
      </w:pPr>
      <w:r>
        <w:separator/>
      </w:r>
    </w:p>
  </w:footnote>
  <w:footnote w:type="continuationSeparator" w:id="0">
    <w:p w:rsidR="006D47FD" w:rsidRDefault="006D47FD">
      <w:pPr>
        <w:spacing w:after="0" w:line="240" w:lineRule="auto"/>
      </w:pPr>
      <w:r>
        <w:continuationSeparator/>
      </w:r>
    </w:p>
  </w:footnote>
  <w:footnote w:id="1">
    <w:p w:rsidR="009839CA" w:rsidRDefault="002F08D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839CA" w:rsidRDefault="002F08D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CA" w:rsidRDefault="006D47F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2" o:spid="_x0000_s2049" type="#_x0000_m2052" style="position:absolute;margin-left:0;margin-top:0;width:518.25pt;height:111.05pt;rotation:315;z-index:-251656192;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o:lock v:ext="edit" text="t" shapetype="t"/>
          <w10:wrap anchorx="margin" anchory="margin"/>
        </v:shape>
      </w:pict>
    </w:r>
    <w:r w:rsidR="002F08DC">
      <w:rPr>
        <w:rFonts w:ascii="Times New Roman" w:eastAsia="Times New Roman" w:hAnsi="Times New Roman" w:cs="Times New Roman"/>
        <w:noProof/>
        <w:color w:val="000000"/>
        <w:sz w:val="24"/>
        <w:szCs w:val="24"/>
      </w:rPr>
      <mc:AlternateContent>
        <mc:Choice Requires="wps">
          <w:drawing>
            <wp:anchor distT="0" distB="0" distL="0" distR="0" simplePos="0" relativeHeight="251656192"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10" name="Rectángulo 10"/>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9839CA" w:rsidRDefault="002F08DC">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_x0000_s1026" style="position:absolute;margin-left:0;margin-top:0;width:837.5pt;height:837.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" filled="f" stroked="f">
              <v:textbox inset="2.53958mm,2.53958mm,2.53958mm,2.53958mm">
                <w:txbxContent>
                  <w:p w:rsidR="009839CA" w:rsidRDefault="002F08DC">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CA" w:rsidRDefault="002F08DC">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5168" behindDoc="1" locked="0" layoutInCell="1" hidden="0" allowOverlap="1">
          <wp:simplePos x="0" y="0"/>
          <wp:positionH relativeFrom="column">
            <wp:posOffset>-1114011</wp:posOffset>
          </wp:positionH>
          <wp:positionV relativeFrom="paragraph">
            <wp:posOffset>-449577</wp:posOffset>
          </wp:positionV>
          <wp:extent cx="7510628" cy="988377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9839CA" w:rsidRDefault="002F08DC">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rPr>
      <w:t xml:space="preserve">OPINIÓN PARTICULAR </w:t>
    </w:r>
  </w:p>
  <w:p w:rsidR="009839CA" w:rsidRDefault="002F08DC">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 xml:space="preserve">RECURSO DE REVISIÓN </w:t>
    </w:r>
    <w:r w:rsidR="00B44CF2">
      <w:rPr>
        <w:rFonts w:ascii="Palatino Linotype" w:eastAsia="Palatino Linotype" w:hAnsi="Palatino Linotype" w:cs="Palatino Linotype"/>
        <w:b/>
        <w:color w:val="000000"/>
      </w:rPr>
      <w:t>15411</w:t>
    </w:r>
    <w:r>
      <w:rPr>
        <w:rFonts w:ascii="Palatino Linotype" w:eastAsia="Palatino Linotype" w:hAnsi="Palatino Linotype" w:cs="Palatino Linotype"/>
        <w:b/>
        <w:color w:val="000000"/>
      </w:rPr>
      <w:t>/INFOEM/IP/RR/2022</w:t>
    </w:r>
  </w:p>
  <w:p w:rsidR="009839CA" w:rsidRDefault="009839CA">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CA" w:rsidRDefault="006D47F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rFonts w:ascii="Times New Roman" w:eastAsia="Times New Roman" w:hAnsi="Times New Roman" w:cs="Times New Roman"/>
        <w:color w:val="000000"/>
        <w:sz w:val="24"/>
        <w:szCs w:val="24"/>
      </w:rPr>
      <w:pict>
        <v:shape id="PowerPlusWaterMarkObject1" o:spid="_x0000_s2050" type="#_x0000_m2051" style="position:absolute;margin-left:0;margin-top:0;width:518.25pt;height:111.05pt;rotation:315;z-index:-251657216;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o:lock v:ext="edit" text="t" shapetype="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839CA" w:rsidRDefault="009839C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9839CA" w:rsidRDefault="002F08DC">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9839CA" w:rsidRDefault="009839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9839CA" w:rsidRDefault="009839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73BA1"/>
    <w:multiLevelType w:val="hybridMultilevel"/>
    <w:tmpl w:val="91E0D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9C57BB"/>
    <w:multiLevelType w:val="hybridMultilevel"/>
    <w:tmpl w:val="E42AB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23733"/>
    <w:multiLevelType w:val="multilevel"/>
    <w:tmpl w:val="D70C9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FC62B2"/>
    <w:multiLevelType w:val="multilevel"/>
    <w:tmpl w:val="03BE13E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CA"/>
    <w:rsid w:val="00077095"/>
    <w:rsid w:val="001742FD"/>
    <w:rsid w:val="00182301"/>
    <w:rsid w:val="00253BFF"/>
    <w:rsid w:val="002F08DC"/>
    <w:rsid w:val="00346641"/>
    <w:rsid w:val="00514496"/>
    <w:rsid w:val="0066248D"/>
    <w:rsid w:val="00667E77"/>
    <w:rsid w:val="006D47FD"/>
    <w:rsid w:val="0078303F"/>
    <w:rsid w:val="0083574D"/>
    <w:rsid w:val="00942F6D"/>
    <w:rsid w:val="009839CA"/>
    <w:rsid w:val="00B17C0C"/>
    <w:rsid w:val="00B44CF2"/>
    <w:rsid w:val="00C400A1"/>
    <w:rsid w:val="00CD757F"/>
    <w:rsid w:val="00D6164D"/>
    <w:rsid w:val="00EA0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4B0ED92-BC71-4FF8-A112-6DB320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FP9rAe+hS6FHUY+q5lt1lTinyg==">AMUW2mVAmbkRXVK7E5IU5vcvJINdnSc4eg1RgrYSM9eMovnR430lsOJvXqMuvthbG9+gBFTEbLruaDDIVyejmrzobHhmPPIaMynQ2m6GuyPVluedhjSJ/t1ePCegbD2BZmRBbYVjubIleHcBJ02pl4+cRBoHAGjo+w==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1732</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2022-12-05T22:26:00Z</cp:lastPrinted>
  <dcterms:created xsi:type="dcterms:W3CDTF">2022-12-05T22:26:00Z</dcterms:created>
  <dcterms:modified xsi:type="dcterms:W3CDTF">2022-12-05T22:27:00Z</dcterms:modified>
</cp:coreProperties>
</file>