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spacing w:after="240" w:before="240" w:line="360" w:lineRule="auto"/>
        <w:jc w:val="both"/>
        <w:rPr>
          <w:rFonts w:ascii="Palatino Linotype" w:cs="Palatino Linotype" w:eastAsia="Palatino Linotype" w:hAnsi="Palatino Linotype"/>
          <w:b w:val="1"/>
          <w:sz w:val="23"/>
          <w:szCs w:val="23"/>
        </w:rPr>
      </w:pPr>
      <w:r w:rsidDel="00000000" w:rsidR="00000000" w:rsidRPr="00000000">
        <w:rPr>
          <w:rFonts w:ascii="Palatino Linotype" w:cs="Palatino Linotype" w:eastAsia="Palatino Linotype" w:hAnsi="Palatino Linotype"/>
          <w:b w:val="1"/>
          <w:sz w:val="23"/>
          <w:szCs w:val="23"/>
          <w:rtl w:val="0"/>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TRIGÉSIMA TERCERA SESIÓN ORDINARIA DEL CATORCE DE SEPTIEMBRE DE DOS MIL VEINTIDÓS, EN EL RECURSO DE REVISIÓN 04346/INFOEM/IP/RR/2022.</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pleno del Instituto de Transparencia, Acceso a la Información Pública y Protección de Datos Personales del Estado de México y Municipios, aprobó por unanimidad de votos, la resolución relativa al recurso de revisión 04346/INFOEM/IP/RR/2022, presentada por el Comisionado Luis Gustavo Parra Noriega, respecto de la cual, la suscrita formula </w:t>
      </w:r>
      <w:r w:rsidDel="00000000" w:rsidR="00000000" w:rsidRPr="00000000">
        <w:rPr>
          <w:rFonts w:ascii="Palatino Linotype" w:cs="Palatino Linotype" w:eastAsia="Palatino Linotype" w:hAnsi="Palatino Linotype"/>
          <w:b w:val="1"/>
          <w:sz w:val="23"/>
          <w:szCs w:val="23"/>
          <w:rtl w:val="0"/>
        </w:rPr>
        <w:t xml:space="preserve">OPINIÓN  PARTICULAR, </w:t>
      </w:r>
      <w:r w:rsidDel="00000000" w:rsidR="00000000" w:rsidRPr="00000000">
        <w:rPr>
          <w:rFonts w:ascii="Palatino Linotype" w:cs="Palatino Linotype" w:eastAsia="Palatino Linotype" w:hAnsi="Palatino Linotype"/>
          <w:sz w:val="23"/>
          <w:szCs w:val="23"/>
          <w:rtl w:val="0"/>
        </w:rPr>
        <w:t xml:space="preserve"> con fundamento en el artículo 14 fracción XI del Reglamento Interior del Instituto de Transparencia, Acceso a la Información Pública y Protección de Datos Personales del Estado de México y Municipios.</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000000" w:rsidDel="00000000" w:rsidP="00000000" w:rsidRDefault="00000000" w:rsidRPr="00000000" w14:paraId="00000006">
      <w:pPr>
        <w:spacing w:after="8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3"/>
          <w:szCs w:val="23"/>
          <w:rtl w:val="0"/>
        </w:rPr>
        <w:t xml:space="preserve">En el caso concreto el hoy Recurrente requirió </w:t>
      </w:r>
      <w:r w:rsidDel="00000000" w:rsidR="00000000" w:rsidRPr="00000000">
        <w:rPr>
          <w:rFonts w:ascii="Palatino Linotype" w:cs="Palatino Linotype" w:eastAsia="Palatino Linotype" w:hAnsi="Palatino Linotype"/>
          <w:b w:val="1"/>
          <w:sz w:val="23"/>
          <w:szCs w:val="23"/>
          <w:rtl w:val="0"/>
        </w:rPr>
        <w:t xml:space="preserve">al Sistema Municipal Para el Desarrollo Integral de la Familia de Naucalpan de Juárez</w:t>
      </w:r>
      <w:r w:rsidDel="00000000" w:rsidR="00000000" w:rsidRPr="00000000">
        <w:rPr>
          <w:rFonts w:ascii="Palatino Linotype" w:cs="Palatino Linotype" w:eastAsia="Palatino Linotype" w:hAnsi="Palatino Linotype"/>
          <w:sz w:val="23"/>
          <w:szCs w:val="23"/>
          <w:rtl w:val="0"/>
        </w:rPr>
        <w:t xml:space="preserve">, se le proporcionara</w:t>
      </w:r>
      <w:r w:rsidDel="00000000" w:rsidR="00000000" w:rsidRPr="00000000">
        <w:rPr>
          <w:rFonts w:ascii="Palatino Linotype" w:cs="Palatino Linotype" w:eastAsia="Palatino Linotype" w:hAnsi="Palatino Linotype"/>
          <w:i w:val="1"/>
          <w:color w:val="000000"/>
          <w:sz w:val="23"/>
          <w:szCs w:val="23"/>
          <w:rtl w:val="0"/>
        </w:rPr>
        <w:t xml:space="preserve"> </w:t>
      </w:r>
      <w:r w:rsidDel="00000000" w:rsidR="00000000" w:rsidRPr="00000000">
        <w:rPr>
          <w:rFonts w:ascii="Palatino Linotype" w:cs="Palatino Linotype" w:eastAsia="Palatino Linotype" w:hAnsi="Palatino Linotype"/>
          <w:sz w:val="23"/>
          <w:szCs w:val="23"/>
          <w:rtl w:val="0"/>
        </w:rPr>
        <w:t xml:space="preserve">todas las demandas que han interpuesto al sistema DIF NAUCALPAN y el estado en el que se encuentran</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7">
      <w:pPr>
        <w:spacing w:after="240" w:before="80" w:line="360" w:lineRule="auto"/>
        <w:ind w:left="567" w:right="706"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El </w:t>
      </w:r>
      <w:r w:rsidDel="00000000" w:rsidR="00000000" w:rsidRPr="00000000">
        <w:rPr>
          <w:rFonts w:ascii="Palatino Linotype" w:cs="Palatino Linotype" w:eastAsia="Palatino Linotype" w:hAnsi="Palatino Linotype"/>
          <w:b w:val="1"/>
          <w:sz w:val="23"/>
          <w:szCs w:val="23"/>
          <w:rtl w:val="0"/>
        </w:rPr>
        <w:t xml:space="preserve">SUJETO OBLIGADO</w:t>
      </w:r>
      <w:r w:rsidDel="00000000" w:rsidR="00000000" w:rsidRPr="00000000">
        <w:rPr>
          <w:rFonts w:ascii="Palatino Linotype" w:cs="Palatino Linotype" w:eastAsia="Palatino Linotype" w:hAnsi="Palatino Linotype"/>
          <w:sz w:val="23"/>
          <w:szCs w:val="23"/>
          <w:rtl w:val="0"/>
        </w:rPr>
        <w:t xml:space="preserve">, a través de su Consejera Jurídica del Sistema Municipal, señaló: </w:t>
      </w:r>
    </w:p>
    <w:p w:rsidR="00000000" w:rsidDel="00000000" w:rsidP="00000000" w:rsidRDefault="00000000" w:rsidRPr="00000000" w14:paraId="00000008">
      <w:pPr>
        <w:spacing w:after="240" w:before="240" w:line="276" w:lineRule="auto"/>
        <w:ind w:left="567" w:right="706" w:firstLine="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“…Al respecto, con fundamento en el artículo 12, segundo párrafo de la Ley de Transparencia y Acceso a la Información Pública del Estado de México y Municipios, y tomando en consideración que la solicitud en comento, es vaga e imprecisa ya que no señala el período de tiempo respecto del cual solicita la información, con lo cual no es factible que se le dé respuesta relativa a un período de tiempo indefinido.</w:t>
      </w:r>
    </w:p>
    <w:p w:rsidR="00000000" w:rsidDel="00000000" w:rsidP="00000000" w:rsidRDefault="00000000" w:rsidRPr="00000000" w14:paraId="00000009">
      <w:pPr>
        <w:spacing w:after="240" w:before="240" w:line="276" w:lineRule="auto"/>
        <w:ind w:left="567" w:right="706" w:firstLine="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Independientemente de lo anterior, se remite la información solicitada relativa a las demandas que han sido notificadas en esta área jurídica en la presente administración, es decir, desde enero del presente año a la fecha, siendo las siguientes:</w:t>
      </w:r>
    </w:p>
    <w:p w:rsidR="00000000" w:rsidDel="00000000" w:rsidP="00000000" w:rsidRDefault="00000000" w:rsidRPr="00000000" w14:paraId="0000000A">
      <w:pPr>
        <w:spacing w:after="240" w:before="240" w:line="276" w:lineRule="auto"/>
        <w:ind w:left="567" w:right="706" w:firstLine="0"/>
        <w:jc w:val="both"/>
        <w:rPr>
          <w:rFonts w:ascii="Palatino Linotype" w:cs="Palatino Linotype" w:eastAsia="Palatino Linotype" w:hAnsi="Palatino Linotype"/>
          <w:i w:val="1"/>
          <w:sz w:val="23"/>
          <w:szCs w:val="23"/>
        </w:rPr>
      </w:pPr>
      <w:r w:rsidDel="00000000" w:rsidR="00000000" w:rsidRPr="00000000">
        <w:rPr>
          <w:rFonts w:ascii="Palatino Linotype" w:cs="Palatino Linotype" w:eastAsia="Palatino Linotype" w:hAnsi="Palatino Linotype"/>
          <w:i w:val="1"/>
          <w:sz w:val="23"/>
          <w:szCs w:val="23"/>
          <w:rtl w:val="0"/>
        </w:rPr>
        <w:t xml:space="preserve">Han sido notificados dos juicios contencioso administrativos, en los cuales aún no se ha dictado sentencia, por lo que se encuentran en trámite.” (Sic)</w:t>
      </w:r>
    </w:p>
    <w:p w:rsidR="00000000" w:rsidDel="00000000" w:rsidP="00000000" w:rsidRDefault="00000000" w:rsidRPr="00000000" w14:paraId="0000000B">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Ante la respuesta del </w:t>
      </w:r>
      <w:r w:rsidDel="00000000" w:rsidR="00000000" w:rsidRPr="00000000">
        <w:rPr>
          <w:rFonts w:ascii="Palatino Linotype" w:cs="Palatino Linotype" w:eastAsia="Palatino Linotype" w:hAnsi="Palatino Linotype"/>
          <w:b w:val="1"/>
          <w:sz w:val="23"/>
          <w:szCs w:val="23"/>
          <w:rtl w:val="0"/>
        </w:rPr>
        <w:t xml:space="preserve">SUJETO OBLIGADO</w:t>
      </w:r>
      <w:r w:rsidDel="00000000" w:rsidR="00000000" w:rsidRPr="00000000">
        <w:rPr>
          <w:rFonts w:ascii="Palatino Linotype" w:cs="Palatino Linotype" w:eastAsia="Palatino Linotype" w:hAnsi="Palatino Linotype"/>
          <w:sz w:val="23"/>
          <w:szCs w:val="23"/>
          <w:rtl w:val="0"/>
        </w:rPr>
        <w:t xml:space="preserve">, el particular se inconformó en lo medular porque lo entregado no corresponde con lo solicitado.  </w:t>
      </w:r>
    </w:p>
    <w:p w:rsidR="00000000" w:rsidDel="00000000" w:rsidP="00000000" w:rsidRDefault="00000000" w:rsidRPr="00000000" w14:paraId="0000000C">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 través del Informe Justificado, el </w:t>
      </w:r>
      <w:r w:rsidDel="00000000" w:rsidR="00000000" w:rsidRPr="00000000">
        <w:rPr>
          <w:rFonts w:ascii="Palatino Linotype" w:cs="Palatino Linotype" w:eastAsia="Palatino Linotype" w:hAnsi="Palatino Linotype"/>
          <w:b w:val="1"/>
          <w:sz w:val="23"/>
          <w:szCs w:val="23"/>
          <w:rtl w:val="0"/>
        </w:rPr>
        <w:t xml:space="preserve">SUJETO OBLIGADO</w:t>
      </w:r>
      <w:r w:rsidDel="00000000" w:rsidR="00000000" w:rsidRPr="00000000">
        <w:rPr>
          <w:rFonts w:ascii="Palatino Linotype" w:cs="Palatino Linotype" w:eastAsia="Palatino Linotype" w:hAnsi="Palatino Linotype"/>
          <w:sz w:val="23"/>
          <w:szCs w:val="23"/>
          <w:rtl w:val="0"/>
        </w:rPr>
        <w:t xml:space="preserve"> solicitó en lo medular que el recurso de revisión sea SOBRESEÍDO y el DESECHADO en términos de los artículos 191 fracción VI y 192 fracción III de la Ley de Transparencia y Acceso a la Información Pública del Estado de México y Municipios, por ser lo procedente conforme a derecho.</w:t>
      </w:r>
    </w:p>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Posteriormente la ponencia procedió hacer un requerimiento adicional el cual consistió:</w:t>
      </w:r>
    </w:p>
    <w:p w:rsidR="00000000" w:rsidDel="00000000" w:rsidP="00000000" w:rsidRDefault="00000000" w:rsidRPr="00000000" w14:paraId="0000000E">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“1. Cuántas demandas se han interpuesto del uno de enero al tres de marzo de dos mil veintidós y fecha de interposición de la demanda. </w:t>
      </w:r>
    </w:p>
    <w:p w:rsidR="00000000" w:rsidDel="00000000" w:rsidP="00000000" w:rsidRDefault="00000000" w:rsidRPr="00000000" w14:paraId="0000000F">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2. Indique el número de expediente del que forma parte cada una de las demandas.</w:t>
      </w:r>
    </w:p>
    <w:p w:rsidR="00000000" w:rsidDel="00000000" w:rsidP="00000000" w:rsidRDefault="00000000" w:rsidRPr="00000000" w14:paraId="00000010">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3. Nombre de los procedimientos administrativos y cuáles son las etapas que conforman estos.</w:t>
      </w:r>
    </w:p>
    <w:p w:rsidR="00000000" w:rsidDel="00000000" w:rsidP="00000000" w:rsidRDefault="00000000" w:rsidRPr="00000000" w14:paraId="00000011">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4. Etapa en la que se encuentran los procedimientos a la fecha de la solicitud de información.</w:t>
      </w:r>
    </w:p>
    <w:p w:rsidR="00000000" w:rsidDel="00000000" w:rsidP="00000000" w:rsidRDefault="00000000" w:rsidRPr="00000000" w14:paraId="00000012">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5. En su caso, fecha aproximada de conclusión.</w:t>
      </w:r>
    </w:p>
    <w:p w:rsidR="00000000" w:rsidDel="00000000" w:rsidP="00000000" w:rsidRDefault="00000000" w:rsidRPr="00000000" w14:paraId="00000013">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6. Razones por las cuales considera que la difusión de la información requerida por el</w:t>
      </w:r>
    </w:p>
    <w:p w:rsidR="00000000" w:rsidDel="00000000" w:rsidP="00000000" w:rsidRDefault="00000000" w:rsidRPr="00000000" w14:paraId="00000014">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Solicitante, puede afectar el desahogo de los procedimientos que se encuentran en trámite.</w:t>
      </w:r>
    </w:p>
    <w:p w:rsidR="00000000" w:rsidDel="00000000" w:rsidP="00000000" w:rsidRDefault="00000000" w:rsidRPr="00000000" w14:paraId="00000015">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7. De qué manera incide en la toma de la decisión definitiva el dar a conocer la información requerida por el Solicitante.</w:t>
      </w:r>
    </w:p>
    <w:p w:rsidR="00000000" w:rsidDel="00000000" w:rsidP="00000000" w:rsidRDefault="00000000" w:rsidRPr="00000000" w14:paraId="00000016">
      <w:pPr>
        <w:spacing w:after="240" w:before="240" w:line="360" w:lineRule="auto"/>
        <w:ind w:left="567" w:right="423" w:firstLine="0"/>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Posteriormente el Sujeto Obligado desahogó el requerimiento de aclaración, en los siguientes términos:</w:t>
      </w:r>
    </w:p>
    <w:p w:rsidR="00000000" w:rsidDel="00000000" w:rsidP="00000000" w:rsidRDefault="00000000" w:rsidRPr="00000000" w14:paraId="00000017">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medio del presente escrito, para enviarle un cordial y afectuoso saludo, estando en tiempo y forma y en atención a su oficio número UT/DIF/066/2022 de fecha veintidós de junio de dos mil veintidós referente al Recursos de Revisión 04346/INFOEM/IP/RR/2022 emanado de la solicitud 00017/DIFNAUCAUIPl2022, por medio del cual informa la petición realizada a la Unidad a su digno cargo, realizada a través de correo electrónico por el Comisionado Dr. Luis Gustavo Parra Noriega, solicitando se envíen todas las demandas que han interpuesto a este Sistema Municipal DIF Naucalpan y el estado en el que se encuentra, señalando diversas precisiones a efecto de complementar la respuesta que se deberá de emitir; por tal motivo me permito contestarlas en los siguientes términos:</w:t>
      </w:r>
    </w:p>
    <w:p w:rsidR="00000000" w:rsidDel="00000000" w:rsidP="00000000" w:rsidRDefault="00000000" w:rsidRPr="00000000" w14:paraId="00000018">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Cuantas demandas se han interpuesto del uno de enero al tres de marzo de dos mil veintidós y fecha de interposición de la demanda.</w:t>
      </w:r>
    </w:p>
    <w:p w:rsidR="00000000" w:rsidDel="00000000" w:rsidP="00000000" w:rsidRDefault="00000000" w:rsidRPr="00000000" w14:paraId="00000019">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lo que hace de la Jefatura de lo Laboral, durante el periodo del primero de enero al tres de marzo de la presente anualidad no fue notificada ninguna demanda en contra del Sistema Municipal DIF Naucalpan.</w:t>
      </w:r>
    </w:p>
    <w:p w:rsidR="00000000" w:rsidDel="00000000" w:rsidP="00000000" w:rsidRDefault="00000000" w:rsidRPr="00000000" w14:paraId="0000001A">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la Jefatura de lo Contencioso Administrativo se notificaron cuatro juicios de amparo radicados en los Juzgados de Distrito del Estado de México y un juicio administrativo radicado en el Tribunal de Justicia Administrativa del Estado de México.</w:t>
      </w:r>
    </w:p>
    <w:p w:rsidR="00000000" w:rsidDel="00000000" w:rsidP="00000000" w:rsidRDefault="00000000" w:rsidRPr="00000000" w14:paraId="0000001B">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 Indique el número de expediente del que forma parte cada una de las demandas.</w:t>
      </w:r>
    </w:p>
    <w:p w:rsidR="00000000" w:rsidDel="00000000" w:rsidP="00000000" w:rsidRDefault="00000000" w:rsidRPr="00000000" w14:paraId="0000001C">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presente numeral no aplica, toda vez que no fue notificada ninguna demanda en materia laboral durante el periodo referido en el numeral 1.</w:t>
      </w:r>
    </w:p>
    <w:p w:rsidR="00000000" w:rsidDel="00000000" w:rsidP="00000000" w:rsidRDefault="00000000" w:rsidRPr="00000000" w14:paraId="0000001D">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Respecto de la Jefatura de lo Contencioso Administrativo se tienen registrados los siguientes números de expediente.</w:t>
      </w:r>
    </w:p>
    <w:p w:rsidR="00000000" w:rsidDel="00000000" w:rsidP="00000000" w:rsidRDefault="00000000" w:rsidRPr="00000000" w14:paraId="0000001E">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3. Nombre de los procedimientos administrativos y cuáles son /as etapas que conformar estos.</w:t>
      </w:r>
    </w:p>
    <w:p w:rsidR="00000000" w:rsidDel="00000000" w:rsidP="00000000" w:rsidRDefault="00000000" w:rsidRPr="00000000" w14:paraId="0000001F">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Al respecto se informa que solo se cuenta con un Juicio Administrativo, el cual compone en etapas de Pretensiones, Excepciones, Ofrecimiento y Admisión de Pruebas, Desahogo de Pruebas, Alegatos y Sentencia.</w:t>
      </w:r>
    </w:p>
    <w:p w:rsidR="00000000" w:rsidDel="00000000" w:rsidP="00000000" w:rsidRDefault="00000000" w:rsidRPr="00000000" w14:paraId="00000020">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4. Etapa en la que se encuentran los procedimientos a la fecha de la solicitud de información.</w:t>
      </w:r>
    </w:p>
    <w:p w:rsidR="00000000" w:rsidDel="00000000" w:rsidP="00000000" w:rsidRDefault="00000000" w:rsidRPr="00000000" w14:paraId="00000021">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5. En su caso fecha aproximada de conclusión.</w:t>
      </w:r>
    </w:p>
    <w:p w:rsidR="00000000" w:rsidDel="00000000" w:rsidP="00000000" w:rsidRDefault="00000000" w:rsidRPr="00000000" w14:paraId="00000022">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Sujeto a los términos procesales impuestos por el Juzgado de Distrito, así como del Tribunal de Justicia Administrativa del Estado de México, tomando en consideración que por la carga de trabajo se desconoce con exactitud la fecha de término de los juicios reportados.</w:t>
      </w:r>
    </w:p>
    <w:p w:rsidR="00000000" w:rsidDel="00000000" w:rsidP="00000000" w:rsidRDefault="00000000" w:rsidRPr="00000000" w14:paraId="00000023">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6. Razones por las cuales considera que la difusión de la información requerida por el Solicitante puede afectar el desahogo de los procedimientos que se encuentran en trámite.</w:t>
      </w:r>
    </w:p>
    <w:p w:rsidR="00000000" w:rsidDel="00000000" w:rsidP="00000000" w:rsidRDefault="00000000" w:rsidRPr="00000000" w14:paraId="00000024">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Tomando en consideración que la información brindada puede comprometer las estrategias procedimentales y/o jurídicas para la debida defensa de este sistema municipal.</w:t>
      </w:r>
    </w:p>
    <w:p w:rsidR="00000000" w:rsidDel="00000000" w:rsidP="00000000" w:rsidRDefault="00000000" w:rsidRPr="00000000" w14:paraId="00000025">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cuanto a la información referente de datos personales muchos de ellos mantienen el carácter de confidencial y veras de las partes de la Litis en juicio, esto con fundamento en el artículo 6 de la Ley de Protección de Datos Personales en Posesión de Sujetos Obligados del Estado de México y Municipios.</w:t>
      </w:r>
    </w:p>
    <w:p w:rsidR="00000000" w:rsidDel="00000000" w:rsidP="00000000" w:rsidRDefault="00000000" w:rsidRPr="00000000" w14:paraId="00000026">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deja entrever las estrategias jurídicas empleadas por los profesionistas encomendados para dar debida defensa legal a las acciones promovidas en contra de este Sistema Municipal DIF Naucalpan.</w:t>
      </w:r>
    </w:p>
    <w:p w:rsidR="00000000" w:rsidDel="00000000" w:rsidP="00000000" w:rsidRDefault="00000000" w:rsidRPr="00000000" w14:paraId="00000027">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Que al dar conocimiento veraz de los juicios y sus resoluciones se deja expuesto el estado patrimonial de las partes, es decir, en caso de salir favorable el laudo a favor del actor existe un aumento en su patrimonio, caso contrario para el Sistema Municipal deja entre vistas los estados financieros y/o el erario público que conforma el patrimonio de este Organismo Descentralizado.</w:t>
      </w:r>
    </w:p>
    <w:p w:rsidR="00000000" w:rsidDel="00000000" w:rsidP="00000000" w:rsidRDefault="00000000" w:rsidRPr="00000000" w14:paraId="00000028">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9">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7. De qué manera incide en la toma de la decisión definitiva el dar a conocer la información requerida por el Solicitante.</w:t>
      </w:r>
    </w:p>
    <w:p w:rsidR="00000000" w:rsidDel="00000000" w:rsidP="00000000" w:rsidRDefault="00000000" w:rsidRPr="00000000" w14:paraId="0000002A">
      <w:pPr>
        <w:spacing w:after="240" w:before="240" w:line="360" w:lineRule="auto"/>
        <w:ind w:left="1134" w:right="70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ninguna manera, salvo las excepciones planteadas en el numeral 6.”(sic)</w:t>
      </w:r>
    </w:p>
    <w:p w:rsidR="00000000" w:rsidDel="00000000" w:rsidP="00000000" w:rsidRDefault="00000000" w:rsidRPr="00000000" w14:paraId="0000002B">
      <w:pPr>
        <w:spacing w:after="240" w:before="240" w:line="360" w:lineRule="auto"/>
        <w:ind w:right="-3"/>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lo que, previo análisis de las constancias y de la naturaleza de la información, la Ponencia que resolvió determinó </w:t>
      </w:r>
      <w:r w:rsidDel="00000000" w:rsidR="00000000" w:rsidRPr="00000000">
        <w:rPr>
          <w:rFonts w:ascii="Palatino Linotype" w:cs="Palatino Linotype" w:eastAsia="Palatino Linotype" w:hAnsi="Palatino Linotype"/>
          <w:i w:val="1"/>
          <w:color w:val="000000"/>
          <w:rtl w:val="0"/>
        </w:rPr>
        <w:t xml:space="preserve">Revocar</w:t>
      </w:r>
      <w:r w:rsidDel="00000000" w:rsidR="00000000" w:rsidRPr="00000000">
        <w:rPr>
          <w:rFonts w:ascii="Palatino Linotype" w:cs="Palatino Linotype" w:eastAsia="Palatino Linotype" w:hAnsi="Palatino Linotype"/>
          <w:color w:val="000000"/>
          <w:rtl w:val="0"/>
        </w:rPr>
        <w:t xml:space="preserve"> la respuesta y ordenar la entrega de información, como se advierte en el </w:t>
      </w:r>
      <w:r w:rsidDel="00000000" w:rsidR="00000000" w:rsidRPr="00000000">
        <w:rPr>
          <w:rFonts w:ascii="Palatino Linotype" w:cs="Palatino Linotype" w:eastAsia="Palatino Linotype" w:hAnsi="Palatino Linotype"/>
          <w:b w:val="1"/>
          <w:color w:val="000000"/>
          <w:rtl w:val="0"/>
        </w:rPr>
        <w:t xml:space="preserve">resolutivo SEGUNDO</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2C">
      <w:pPr>
        <w:spacing w:after="240" w:before="240" w:line="276" w:lineRule="auto"/>
        <w:ind w:left="567" w:right="42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w:t>
      </w:r>
      <w:r w:rsidDel="00000000" w:rsidR="00000000" w:rsidRPr="00000000">
        <w:rPr>
          <w:rFonts w:ascii="Palatino Linotype" w:cs="Palatino Linotype" w:eastAsia="Palatino Linotype" w:hAnsi="Palatino Linotype"/>
          <w:i w:val="1"/>
          <w:rtl w:val="0"/>
        </w:rPr>
        <w:t xml:space="preserve">. Se </w:t>
      </w:r>
      <w:r w:rsidDel="00000000" w:rsidR="00000000" w:rsidRPr="00000000">
        <w:rPr>
          <w:rFonts w:ascii="Palatino Linotype" w:cs="Palatino Linotype" w:eastAsia="Palatino Linotype" w:hAnsi="Palatino Linotype"/>
          <w:b w:val="1"/>
          <w:i w:val="1"/>
          <w:rtl w:val="0"/>
        </w:rPr>
        <w:t xml:space="preserve">ORDENA</w:t>
      </w:r>
      <w:r w:rsidDel="00000000" w:rsidR="00000000" w:rsidRPr="00000000">
        <w:rPr>
          <w:rFonts w:ascii="Palatino Linotype" w:cs="Palatino Linotype" w:eastAsia="Palatino Linotype" w:hAnsi="Palatino Linotype"/>
          <w:i w:val="1"/>
          <w:rtl w:val="0"/>
        </w:rPr>
        <w:t xml:space="preserve"> al Ente Recurrido, a efecto de que entregue, a través del Sistema de Acceso a la Información Mexiquense (SAIMEX), lo siguiente:</w:t>
      </w:r>
    </w:p>
    <w:p w:rsidR="00000000" w:rsidDel="00000000" w:rsidP="00000000" w:rsidRDefault="00000000" w:rsidRPr="00000000" w14:paraId="0000002D">
      <w:pPr>
        <w:numPr>
          <w:ilvl w:val="0"/>
          <w:numId w:val="1"/>
        </w:numPr>
        <w:spacing w:after="0" w:line="276" w:lineRule="auto"/>
        <w:ind w:left="567" w:right="423"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versión pública de las demandas de los Juicios de Amparo 969/2021-V-B, 1340/2021-V y 1352/2021-III y 828/2020.}</w:t>
      </w:r>
    </w:p>
    <w:p w:rsidR="00000000" w:rsidDel="00000000" w:rsidP="00000000" w:rsidRDefault="00000000" w:rsidRPr="00000000" w14:paraId="0000002E">
      <w:pPr>
        <w:spacing w:after="0" w:line="276" w:lineRule="auto"/>
        <w:ind w:left="567" w:right="423"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567" w:right="423" w:firstLine="0"/>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000000" w:rsidDel="00000000" w:rsidP="00000000" w:rsidRDefault="00000000" w:rsidRPr="00000000" w14:paraId="00000030">
      <w:pPr>
        <w:spacing w:after="0" w:line="276" w:lineRule="auto"/>
        <w:ind w:left="567" w:right="423" w:firstLine="0"/>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1">
      <w:pPr>
        <w:numPr>
          <w:ilvl w:val="0"/>
          <w:numId w:val="1"/>
        </w:numPr>
        <w:spacing w:after="0" w:line="276" w:lineRule="auto"/>
        <w:ind w:left="567" w:right="423"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acuerdo de clasificación emitido por el Comité de Transparencia, en donde de manera fundada y motivada, confirmé la clasificación, del Juicio de Amparo 1310/2021-VI y del Juicio Administrativo 41/2022, de conformidad con los artículos 49, fracción II y 132, fracción II de la Ley de Transparencia y Acceso a la Información Pública del Estado de México y Municipios, en términos del Considerando </w:t>
      </w:r>
      <w:r w:rsidDel="00000000" w:rsidR="00000000" w:rsidRPr="00000000">
        <w:rPr>
          <w:rFonts w:ascii="Palatino Linotype" w:cs="Palatino Linotype" w:eastAsia="Palatino Linotype" w:hAnsi="Palatino Linotype"/>
          <w:b w:val="1"/>
          <w:i w:val="1"/>
          <w:rtl w:val="0"/>
        </w:rPr>
        <w:t xml:space="preserve">QUINTO.”(sic)</w:t>
      </w:r>
      <w:r w:rsidDel="00000000" w:rsidR="00000000" w:rsidRPr="00000000">
        <w:rPr>
          <w:rtl w:val="0"/>
        </w:rPr>
      </w:r>
    </w:p>
    <w:p w:rsidR="00000000" w:rsidDel="00000000" w:rsidP="00000000" w:rsidRDefault="00000000" w:rsidRPr="00000000" w14:paraId="00000032">
      <w:pPr>
        <w:spacing w:after="0" w:line="360" w:lineRule="auto"/>
        <w:ind w:left="720" w:firstLine="0"/>
        <w:jc w:val="both"/>
        <w:rPr/>
      </w:pPr>
      <w:r w:rsidDel="00000000" w:rsidR="00000000" w:rsidRPr="00000000">
        <w:rPr>
          <w:rtl w:val="0"/>
        </w:rPr>
      </w:r>
    </w:p>
    <w:p w:rsidR="00000000" w:rsidDel="00000000" w:rsidP="00000000" w:rsidRDefault="00000000" w:rsidRPr="00000000" w14:paraId="00000033">
      <w:pPr>
        <w:spacing w:line="360" w:lineRule="auto"/>
        <w:jc w:val="both"/>
        <w:rPr>
          <w:rFonts w:ascii="Palatino Linotype" w:cs="Palatino Linotype" w:eastAsia="Palatino Linotype" w:hAnsi="Palatino Linotype"/>
          <w:color w:val="ff0000"/>
          <w:sz w:val="40"/>
          <w:szCs w:val="40"/>
        </w:rPr>
      </w:pPr>
      <w:r w:rsidDel="00000000" w:rsidR="00000000" w:rsidRPr="00000000">
        <w:rPr>
          <w:rFonts w:ascii="Palatino Linotype" w:cs="Palatino Linotype" w:eastAsia="Palatino Linotype" w:hAnsi="Palatino Linotype"/>
          <w:sz w:val="23"/>
          <w:szCs w:val="23"/>
          <w:rtl w:val="0"/>
        </w:rPr>
        <w:t xml:space="preserve">En ese sentido debe mencionarse que, toda vez que se determinó que el Sujeto Obligado cuenta con cinco juicios señalados por su Jefatura de lo Contencioso Administrativo; sin embargo, dos de esos juicios, correspondiente al Juicio de Amparo 1310/2021-VI y del Juicio Administrativo 41/2022, cuya publicidad pueda afectar el debido proceso,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Del="00000000" w:rsidR="00000000" w:rsidRPr="00000000">
        <w:rPr>
          <w:rFonts w:ascii="Palatino Linotype" w:cs="Palatino Linotype" w:eastAsia="Palatino Linotype" w:hAnsi="Palatino Linotype"/>
          <w:color w:val="ff0000"/>
          <w:sz w:val="40"/>
          <w:szCs w:val="40"/>
          <w:rtl w:val="0"/>
        </w:rPr>
        <w:t xml:space="preserve"> </w:t>
      </w:r>
    </w:p>
    <w:p w:rsidR="00000000" w:rsidDel="00000000" w:rsidP="00000000" w:rsidRDefault="00000000" w:rsidRPr="00000000" w14:paraId="00000034">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ese sentido debe mencionarse, que, tratándose de información reservada, se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 Acceso a la Información Pública del Estado de México y Municipios y los Lineamientos Generales en Materia de Clasificación y Desclasificación de la Información, así como para la elaboración de Versiones Públicas. </w:t>
      </w:r>
    </w:p>
    <w:p w:rsidR="00000000" w:rsidDel="00000000" w:rsidP="00000000" w:rsidRDefault="00000000" w:rsidRPr="00000000" w14:paraId="00000035">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00000" w:rsidDel="00000000" w:rsidP="00000000" w:rsidRDefault="00000000" w:rsidRPr="00000000" w14:paraId="00000036">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"Trigésimo tercero. Para la aplicación de la prueba de daño a la que hace referencia el artículo 104 de la Ley General, los sujetos obligados atenderán lo siguiente: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III.</w:t>
        <w:tab/>
        <w:t xml:space="preserve">Se debe de acreditar el vínculo entre la difusión de la información y la afectación del interés jurídico tutelado de que se trate;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IV.</w:t>
        <w:tab/>
        <w:t xml:space="preserve">Precisar las razones objetivas por las que la apertura de la información generaría una afectación, a través de los elementos de un riesgo real, demostrable e identificable;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w:t>
        <w:tab/>
        <w:t xml:space="preserve">En la motivación de la clasificación, el sujeto obligado deberá acreditar las circunstancias de modo, tiempo y lugar del daño, 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851" w:right="899"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VI.</w:t>
        <w:tab/>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rsidR="00000000" w:rsidDel="00000000" w:rsidP="00000000" w:rsidRDefault="00000000" w:rsidRPr="00000000" w14:paraId="0000003E">
      <w:pPr>
        <w:spacing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3F">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w:t>
      </w:r>
    </w:p>
    <w:p w:rsidR="00000000" w:rsidDel="00000000" w:rsidP="00000000" w:rsidRDefault="00000000" w:rsidRPr="00000000" w14:paraId="00000040">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Bajo este contexto, se analizó la resolución del recurso de revisión 04346/INFOEM/IP/RR/2022, en la cual, el Comisionado Ponente, desarrolla la prueba de daño</w:t>
      </w:r>
      <w:r w:rsidDel="00000000" w:rsidR="00000000" w:rsidRPr="00000000">
        <w:rPr>
          <w:rFonts w:ascii="Palatino Linotype" w:cs="Palatino Linotype" w:eastAsia="Palatino Linotype" w:hAnsi="Palatino Linotype"/>
          <w:color w:val="000000"/>
          <w:rtl w:val="0"/>
        </w:rPr>
        <w:t xml:space="preserve">, ci</w:t>
      </w:r>
      <w:r w:rsidDel="00000000" w:rsidR="00000000" w:rsidRPr="00000000">
        <w:rPr>
          <w:rFonts w:ascii="Palatino Linotype" w:cs="Palatino Linotype" w:eastAsia="Palatino Linotype" w:hAnsi="Palatino Linotype"/>
          <w:sz w:val="23"/>
          <w:szCs w:val="23"/>
          <w:rtl w:val="0"/>
        </w:rPr>
        <w:t xml:space="preserve">rcunstancias que, a consideración de la suscrita, les corresponden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851" w:right="899" w:firstLine="0"/>
        <w:jc w:val="both"/>
        <w:rPr>
          <w:rFonts w:ascii="Times New Roman" w:cs="Times New Roman" w:eastAsia="Times New Roman" w:hAnsi="Times New Roman"/>
          <w:i w:val="1"/>
          <w:color w:val="000000"/>
        </w:rPr>
      </w:pPr>
      <w:r w:rsidDel="00000000" w:rsidR="00000000" w:rsidRPr="00000000">
        <w:rPr>
          <w:rFonts w:ascii="Palatino Linotype" w:cs="Palatino Linotype" w:eastAsia="Palatino Linotype" w:hAnsi="Palatino Linotype"/>
          <w:i w:val="1"/>
          <w:color w:val="000000"/>
          <w:rtl w:val="0"/>
        </w:rPr>
        <w:t xml:space="preserve">“XXXIII.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Del="00000000" w:rsidR="00000000" w:rsidRPr="00000000">
        <w:rPr>
          <w:rtl w:val="0"/>
        </w:rPr>
      </w:r>
    </w:p>
    <w:p w:rsidR="00000000" w:rsidDel="00000000" w:rsidP="00000000" w:rsidRDefault="00000000" w:rsidRPr="00000000" w14:paraId="00000042">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3">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Precepto legal en donde establece que los encargados de realizar la prueba de daño, son los Sujeto Obligados;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00000" w:rsidDel="00000000" w:rsidP="00000000" w:rsidRDefault="00000000" w:rsidRPr="00000000" w14:paraId="00000044">
      <w:pPr>
        <w:spacing w:line="360" w:lineRule="auto"/>
        <w:jc w:val="both"/>
        <w:rPr>
          <w:rFonts w:ascii="Palatino Linotype" w:cs="Palatino Linotype" w:eastAsia="Palatino Linotype" w:hAnsi="Palatino Linotype"/>
          <w:sz w:val="23"/>
          <w:szCs w:val="23"/>
        </w:rPr>
      </w:pPr>
      <w:r w:rsidDel="00000000" w:rsidR="00000000" w:rsidRPr="00000000">
        <w:rPr>
          <w:rFonts w:ascii="Palatino Linotype" w:cs="Palatino Linotype" w:eastAsia="Palatino Linotype" w:hAnsi="Palatino Linotype"/>
          <w:sz w:val="23"/>
          <w:szCs w:val="23"/>
          <w:rtl w:val="0"/>
        </w:rPr>
        <w:t xml:space="preserve">Esto es, que, a través de la prueba de daño, los sujetos obligados expongan las razones, motivos o circunstancias especiales que los lleven a concluir que la información adquiere el carácter de reservada, y se ajusta a los supuestos previstos en la normatividad como fundamento.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360" w:lineRule="auto"/>
        <w:jc w:val="both"/>
        <w:rPr>
          <w:rFonts w:ascii="Times New Roman" w:cs="Times New Roman" w:eastAsia="Times New Roman" w:hAnsi="Times New Roman"/>
          <w:color w:val="000000"/>
          <w:sz w:val="23"/>
          <w:szCs w:val="23"/>
        </w:rPr>
      </w:pPr>
      <w:bookmarkStart w:colFirst="0" w:colLast="0" w:name="_heading=h.gjdgxs" w:id="1"/>
      <w:bookmarkEnd w:id="1"/>
      <w:r w:rsidDel="00000000" w:rsidR="00000000" w:rsidRPr="00000000">
        <w:rPr>
          <w:rFonts w:ascii="Palatino Linotype" w:cs="Palatino Linotype" w:eastAsia="Palatino Linotype" w:hAnsi="Palatino Linotype"/>
          <w:sz w:val="23"/>
          <w:szCs w:val="23"/>
          <w:rtl w:val="0"/>
        </w:rPr>
        <w:t xml:space="preserve">Por lo que, en opinión de la Suscrita, y en términos de lo dispuesto por la normatividad en la materia, son los Sujetos Obligados, los que deben desarrollar la prueba de daño necesaria y suficiente, a fin de garantizar la reserva de información, aportando elementos necesarios para su clasificación</w:t>
      </w:r>
      <w:r w:rsidDel="00000000" w:rsidR="00000000" w:rsidRPr="00000000">
        <w:rPr>
          <w:rFonts w:ascii="Palatino Linotype" w:cs="Palatino Linotype" w:eastAsia="Palatino Linotype" w:hAnsi="Palatino Linotype"/>
          <w:color w:val="000000"/>
          <w:sz w:val="23"/>
          <w:szCs w:val="23"/>
          <w:rtl w:val="0"/>
        </w:rPr>
        <w:t xml:space="preserve">. </w:t>
      </w:r>
      <w:r w:rsidDel="00000000" w:rsidR="00000000" w:rsidRPr="00000000">
        <w:rPr>
          <w:rtl w:val="0"/>
        </w:rPr>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sz w:val="23"/>
          <w:szCs w:val="23"/>
        </w:rPr>
        <w:sectPr>
          <w:headerReference r:id="rId7" w:type="default"/>
          <w:headerReference r:id="rId8" w:type="first"/>
          <w:headerReference r:id="rId9" w:type="even"/>
          <w:footerReference r:id="rId10" w:type="default"/>
          <w:pgSz w:h="15840" w:w="12240" w:orient="portrait"/>
          <w:pgMar w:bottom="2836" w:top="1871" w:left="1985" w:right="1327" w:header="709" w:footer="586"/>
          <w:pgNumType w:start="1"/>
        </w:sectPr>
      </w:pPr>
      <w:r w:rsidDel="00000000" w:rsidR="00000000" w:rsidRPr="00000000">
        <w:rPr>
          <w:rFonts w:ascii="Palatino Linotype" w:cs="Palatino Linotype" w:eastAsia="Palatino Linotype" w:hAnsi="Palatino Linotype"/>
          <w:sz w:val="23"/>
          <w:szCs w:val="23"/>
          <w:rtl w:val="0"/>
        </w:rPr>
        <w:t xml:space="preserve">Lo expuesto, constituyen las razones y fundamentos que me llevan a emitir la opinión particular que se ha expresado.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647700</wp:posOffset>
                </wp:positionV>
                <wp:extent cx="5569060" cy="5561109"/>
                <wp:effectExtent b="0" l="0" r="0" t="0"/>
                <wp:wrapNone/>
                <wp:docPr id="11" name=""/>
                <a:graphic>
                  <a:graphicData uri="http://schemas.microsoft.com/office/word/2010/wordprocessingShape">
                    <wps:wsp>
                      <wps:cNvCnPr/>
                      <wps:spPr>
                        <a:xfrm>
                          <a:off x="2570995" y="1008971"/>
                          <a:ext cx="5550010" cy="5542059"/>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647700</wp:posOffset>
                </wp:positionV>
                <wp:extent cx="5569060" cy="5561109"/>
                <wp:effectExtent b="0" l="0" r="0" t="0"/>
                <wp:wrapNone/>
                <wp:docPr id="1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69060" cy="5561109"/>
                        </a:xfrm>
                        <a:prstGeom prst="rect"/>
                        <a:ln/>
                      </pic:spPr>
                    </pic:pic>
                  </a:graphicData>
                </a:graphic>
              </wp:anchor>
            </w:drawing>
          </mc:Fallback>
        </mc:AlternateContent>
      </w:r>
    </w:p>
    <w:p w:rsidR="00000000" w:rsidDel="00000000" w:rsidP="00000000" w:rsidRDefault="00000000" w:rsidRPr="00000000" w14:paraId="00000047">
      <w:pPr>
        <w:spacing w:after="240" w:before="240" w:line="360" w:lineRule="auto"/>
        <w:jc w:val="both"/>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48">
      <w:pPr>
        <w:spacing w:after="240" w:before="240" w:line="360" w:lineRule="auto"/>
        <w:jc w:val="center"/>
        <w:rPr>
          <w:rFonts w:ascii="Palatino Linotype" w:cs="Palatino Linotype" w:eastAsia="Palatino Linotype" w:hAnsi="Palatino Linotype"/>
          <w:b w:val="1"/>
          <w:sz w:val="23"/>
          <w:szCs w:val="23"/>
        </w:rPr>
      </w:pPr>
      <w:r w:rsidDel="00000000" w:rsidR="00000000" w:rsidRPr="00000000">
        <w:rPr>
          <w:rtl w:val="0"/>
        </w:rPr>
      </w:r>
    </w:p>
    <w:p w:rsidR="00000000" w:rsidDel="00000000" w:rsidP="00000000" w:rsidRDefault="00000000" w:rsidRPr="00000000" w14:paraId="00000049">
      <w:pPr>
        <w:spacing w:after="0" w:line="240" w:lineRule="auto"/>
        <w:jc w:val="center"/>
        <w:rPr>
          <w:rFonts w:ascii="Palatino Linotype" w:cs="Palatino Linotype" w:eastAsia="Palatino Linotype" w:hAnsi="Palatino Linotype"/>
          <w:sz w:val="23"/>
          <w:szCs w:val="23"/>
        </w:rPr>
      </w:pPr>
      <w:r w:rsidDel="00000000" w:rsidR="00000000" w:rsidRPr="00000000">
        <w:rPr>
          <w:rtl w:val="0"/>
        </w:rPr>
      </w:r>
    </w:p>
    <w:p w:rsidR="00000000" w:rsidDel="00000000" w:rsidP="00000000" w:rsidRDefault="00000000" w:rsidRPr="00000000" w14:paraId="0000004A">
      <w:pPr>
        <w:spacing w:after="240" w:before="24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12" w:type="default"/>
      <w:type w:val="nextPage"/>
      <w:pgSz w:h="15840" w:w="12240" w:orient="portrait"/>
      <w:pgMar w:bottom="2836" w:top="1871" w:left="1985" w:right="1327" w:header="709" w:footer="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-1087143</wp:posOffset>
          </wp:positionH>
          <wp:positionV relativeFrom="paragraph">
            <wp:posOffset>-449578</wp:posOffset>
          </wp:positionV>
          <wp:extent cx="7510628" cy="9883775"/>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ab/>
      <w:tab/>
      <w:tab/>
      <w:t xml:space="preserve">OPINIÓN PARTICULAR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04346/INFOEM/IP/RR/2022</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2"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Fonts w:ascii="Times New Roman" w:cs="Times New Roman" w:eastAsia="Times New Roman" w:hAnsi="Times New Roman"/>
        <w:color w:val="000000"/>
        <w:sz w:val="24"/>
        <w:szCs w:val="24"/>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10" name=""/>
              <a:graphic>
                <a:graphicData uri="http://schemas.microsoft.com/office/word/2010/wordprocessingShape">
                  <wps:wsp>
                    <wps:cNvSpPr/>
                    <wps:cNvPr id="2" name="Shape 2"/>
                    <wps:spPr>
                      <a:xfrm rot="-2700000">
                        <a:off x="2440875" y="3394238"/>
                        <a:ext cx="5810250" cy="77152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d7d31"/>
                              <w:sz w:val="144"/>
                              <w:vertAlign w:val="baseline"/>
                            </w:rPr>
                            <w:t xml:space="preserve">VOTO DISIDENTE</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pict>
        <v:shape id="PowerPlusWaterMarkObject1" style="position:absolute;width:518.25pt;height:111.05pt;rotation:315;z-index:-503316481;mso-position-horizontal-relative:margin;mso-position-horizontal:center;mso-position-vertical-relative:margin;mso-position-vertical:center;" fillcolor="#c45911" stroked="f" type="#_x0000_t136">
          <v:fill angle="0" opacity="32768f"/>
          <v:textpath fitshape="t" string="VOTO PARTICULAR "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419"/>
        <w:tab w:val="right" w:leader="none" w:pos="8838"/>
        <w:tab w:val="left" w:leader="none" w:pos="5685"/>
        <w:tab w:val="right" w:leader="none" w:pos="8928"/>
      </w:tabs>
      <w:spacing w:after="0" w:line="240" w:lineRule="auto"/>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ab/>
      <w:tab/>
      <w:tab/>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F4A05"/>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FF4A05"/>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FF4A05"/>
    <w:rPr>
      <w:rFonts w:ascii="Times New Roman" w:cs="Times New Roman" w:eastAsia="Times New Roman" w:hAnsi="Times New Roman"/>
      <w:sz w:val="24"/>
      <w:szCs w:val="24"/>
      <w:lang w:eastAsia="es-ES"/>
    </w:rPr>
  </w:style>
  <w:style w:type="paragraph" w:styleId="Piedepgina">
    <w:name w:val="footer"/>
    <w:basedOn w:val="Normal"/>
    <w:link w:val="PiedepginaCar"/>
    <w:uiPriority w:val="99"/>
    <w:unhideWhenUsed w:val="1"/>
    <w:rsid w:val="00FF4A05"/>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FF4A05"/>
    <w:rPr>
      <w:rFonts w:ascii="Times New Roman" w:cs="Times New Roman" w:eastAsia="Times New Roman" w:hAnsi="Times New Roman"/>
      <w:sz w:val="24"/>
      <w:szCs w:val="24"/>
      <w:lang w:eastAsia="es-ES"/>
    </w:rPr>
  </w:style>
  <w:style w:type="paragraph" w:styleId="NormalWeb">
    <w:name w:val="Normal (Web)"/>
    <w:basedOn w:val="Normal"/>
    <w:uiPriority w:val="99"/>
    <w:rsid w:val="00FF4A05"/>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val="1"/>
    <w:rsid w:val="00FF4A05"/>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val="1"/>
    <w:rsid w:val="00FF4A05"/>
    <w:rPr>
      <w:vertAlign w:val="superscript"/>
    </w:rPr>
  </w:style>
  <w:style w:type="paragraph" w:styleId="m5127500252372250437gmail-paragraph" w:customStyle="1">
    <w:name w:val="m_5127500252372250437gmail-paragraph"/>
    <w:basedOn w:val="Normal"/>
    <w:rsid w:val="00FF4A05"/>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C5ABB"/>
    <w:pPr>
      <w:spacing w:after="0" w:line="240" w:lineRule="auto"/>
      <w:ind w:left="720"/>
      <w:contextualSpacing w:val="1"/>
    </w:pPr>
    <w:rPr>
      <w:rFonts w:eastAsiaTheme="minorEastAsia"/>
      <w:sz w:val="24"/>
      <w:szCs w:val="24"/>
      <w:lang w:eastAsia="es-ES" w:val="es-ES_tradnl"/>
    </w:rPr>
  </w:style>
  <w:style w:type="character" w:styleId="Hipervnculo">
    <w:name w:val="Hyperlink"/>
    <w:basedOn w:val="Fuentedeprrafopredeter"/>
    <w:uiPriority w:val="99"/>
    <w:unhideWhenUsed w:val="1"/>
    <w:rsid w:val="00EE49A8"/>
    <w:rPr>
      <w:color w:val="0000ff"/>
      <w:u w:val="single"/>
    </w:rPr>
  </w:style>
  <w:style w:type="paragraph" w:styleId="Default" w:customStyle="1">
    <w:name w:val="Default"/>
    <w:rsid w:val="00EE051D"/>
    <w:pPr>
      <w:autoSpaceDE w:val="0"/>
      <w:autoSpaceDN w:val="0"/>
      <w:adjustRightInd w:val="0"/>
      <w:spacing w:after="0" w:line="240" w:lineRule="auto"/>
    </w:pPr>
    <w:rPr>
      <w:rFonts w:ascii="Palatino Linotype" w:cs="Palatino Linotype" w:hAnsi="Palatino Linotype"/>
      <w:color w:val="000000"/>
      <w:sz w:val="24"/>
      <w:szCs w:val="24"/>
      <w:lang w:val="en-US"/>
    </w:rPr>
  </w:style>
  <w:style w:type="character" w:styleId="normaltextrun" w:customStyle="1">
    <w:name w:val="normaltextrun"/>
    <w:basedOn w:val="Fuentedeprrafopredeter"/>
    <w:rsid w:val="00A408AE"/>
  </w:style>
  <w:style w:type="paragraph" w:styleId="Sinespaciado">
    <w:name w:val="No Spacing"/>
    <w:aliases w:val="Francesa"/>
    <w:link w:val="SinespaciadoCar"/>
    <w:uiPriority w:val="1"/>
    <w:qFormat w:val="1"/>
    <w:rsid w:val="00A408AE"/>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
    <w:link w:val="Sinespaciado"/>
    <w:uiPriority w:val="1"/>
    <w:locked w:val="1"/>
    <w:rsid w:val="00A408AE"/>
    <w:rPr>
      <w:rFonts w:ascii="Times New Roman" w:cs="Times New Roman" w:eastAsia="Times New Roman" w:hAnsi="Times New Roman"/>
      <w:sz w:val="24"/>
      <w:szCs w:val="24"/>
      <w:lang w:eastAsia="es-ES"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AC006D"/>
    <w:rPr>
      <w:rFonts w:eastAsiaTheme="minorEastAsia"/>
      <w:sz w:val="24"/>
      <w:szCs w:val="24"/>
      <w:lang w:eastAsia="es-ES" w:val="es-ES_tradnl"/>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footer" Target="footer1.xml"/><Relationship Id="rId12" Type="http://schemas.openxmlformats.org/officeDocument/2006/relationships/header" Target="header4.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DBXCtX+BcaUeDJzWw374ZFgKA==">CgMxLjAyCWguMzBqMHpsbDIIaC5namRneHM4AHIhMXRNVlVNTGM1T1UxQm5pZDRSSDBXV2lkY1dvMUg3S2Jn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2022-09-19T02:14:00Z</dcterms:created>
  <dc:creator>sonyy</dc:creator>
</cp:coreProperties>
</file>