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76" w:rsidRPr="00940354" w:rsidRDefault="000B2A76" w:rsidP="000B2A76">
      <w:pPr>
        <w:spacing w:before="240" w:after="240" w:line="360" w:lineRule="auto"/>
        <w:jc w:val="both"/>
        <w:rPr>
          <w:rFonts w:ascii="Palatino Linotype" w:hAnsi="Palatino Linotype"/>
          <w:b/>
          <w:sz w:val="23"/>
          <w:szCs w:val="23"/>
        </w:rPr>
      </w:pPr>
      <w:r w:rsidRPr="00940354">
        <w:rPr>
          <w:rFonts w:ascii="Palatino Linotype" w:hAnsi="Palatino Linotype"/>
          <w:b/>
          <w:sz w:val="23"/>
          <w:szCs w:val="23"/>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hAnsi="Palatino Linotype"/>
          <w:b/>
          <w:sz w:val="23"/>
          <w:szCs w:val="23"/>
        </w:rPr>
        <w:t>VIGÉSI</w:t>
      </w:r>
      <w:r w:rsidRPr="00940354">
        <w:rPr>
          <w:rFonts w:ascii="Palatino Linotype" w:hAnsi="Palatino Linotype"/>
          <w:b/>
          <w:sz w:val="23"/>
          <w:szCs w:val="23"/>
        </w:rPr>
        <w:t xml:space="preserve">MA </w:t>
      </w:r>
      <w:r w:rsidR="008E58A8">
        <w:rPr>
          <w:rFonts w:ascii="Palatino Linotype" w:hAnsi="Palatino Linotype"/>
          <w:b/>
          <w:sz w:val="23"/>
          <w:szCs w:val="23"/>
        </w:rPr>
        <w:t>CUART</w:t>
      </w:r>
      <w:r w:rsidR="00AF1499">
        <w:rPr>
          <w:rFonts w:ascii="Palatino Linotype" w:hAnsi="Palatino Linotype"/>
          <w:b/>
          <w:sz w:val="23"/>
          <w:szCs w:val="23"/>
        </w:rPr>
        <w:t xml:space="preserve">A </w:t>
      </w:r>
      <w:r w:rsidRPr="00940354">
        <w:rPr>
          <w:rFonts w:ascii="Palatino Linotype" w:hAnsi="Palatino Linotype"/>
          <w:b/>
          <w:sz w:val="23"/>
          <w:szCs w:val="23"/>
        </w:rPr>
        <w:t xml:space="preserve">SESIÓN ORDINARIA DEL </w:t>
      </w:r>
      <w:r w:rsidR="008E58A8">
        <w:rPr>
          <w:rFonts w:ascii="Palatino Linotype" w:hAnsi="Palatino Linotype"/>
          <w:b/>
          <w:sz w:val="23"/>
          <w:szCs w:val="23"/>
        </w:rPr>
        <w:t>VEINTINUEVE</w:t>
      </w:r>
      <w:r>
        <w:rPr>
          <w:rFonts w:ascii="Palatino Linotype" w:hAnsi="Palatino Linotype"/>
          <w:b/>
          <w:sz w:val="23"/>
          <w:szCs w:val="23"/>
        </w:rPr>
        <w:t xml:space="preserve"> DE JUNI</w:t>
      </w:r>
      <w:r w:rsidRPr="00940354">
        <w:rPr>
          <w:rFonts w:ascii="Palatino Linotype" w:hAnsi="Palatino Linotype"/>
          <w:b/>
          <w:sz w:val="23"/>
          <w:szCs w:val="23"/>
        </w:rPr>
        <w:t>O DE DOS MIL VEINTIDÓS, EN EL RECURSO DE REVISIÓN 0</w:t>
      </w:r>
      <w:r w:rsidR="00D07D24">
        <w:rPr>
          <w:rFonts w:ascii="Palatino Linotype" w:hAnsi="Palatino Linotype"/>
          <w:b/>
          <w:sz w:val="23"/>
          <w:szCs w:val="23"/>
        </w:rPr>
        <w:t>3961</w:t>
      </w:r>
      <w:r w:rsidRPr="00940354">
        <w:rPr>
          <w:rFonts w:ascii="Palatino Linotype" w:hAnsi="Palatino Linotype"/>
          <w:b/>
          <w:sz w:val="23"/>
          <w:szCs w:val="23"/>
        </w:rPr>
        <w:t>/INFOEM/IP/RR/2022.</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El pleno del Instituto de Transparencia, Acceso a la Información Pública y Protección de Datos Personales del Estado de México y Municipios, aprobó por </w:t>
      </w:r>
      <w:r w:rsidR="00AF1499">
        <w:rPr>
          <w:rFonts w:ascii="Palatino Linotype" w:hAnsi="Palatino Linotype"/>
          <w:sz w:val="23"/>
          <w:szCs w:val="23"/>
        </w:rPr>
        <w:t>unanimidad</w:t>
      </w:r>
      <w:r w:rsidR="00D36CD9">
        <w:rPr>
          <w:rFonts w:ascii="Palatino Linotype" w:hAnsi="Palatino Linotype"/>
          <w:sz w:val="23"/>
          <w:szCs w:val="23"/>
        </w:rPr>
        <w:t xml:space="preserve"> </w:t>
      </w:r>
      <w:r w:rsidRPr="00940354">
        <w:rPr>
          <w:rFonts w:ascii="Palatino Linotype" w:hAnsi="Palatino Linotype"/>
          <w:sz w:val="23"/>
          <w:szCs w:val="23"/>
        </w:rPr>
        <w:t xml:space="preserve">de votos, la resolución relativa al recurso de revisión </w:t>
      </w:r>
      <w:r w:rsidR="00D07D24">
        <w:rPr>
          <w:rFonts w:ascii="Palatino Linotype" w:hAnsi="Palatino Linotype"/>
          <w:b/>
          <w:sz w:val="23"/>
          <w:szCs w:val="23"/>
        </w:rPr>
        <w:t>03961</w:t>
      </w:r>
      <w:r w:rsidRPr="00D36CD9">
        <w:rPr>
          <w:rFonts w:ascii="Palatino Linotype" w:hAnsi="Palatino Linotype"/>
          <w:b/>
          <w:sz w:val="23"/>
          <w:szCs w:val="23"/>
        </w:rPr>
        <w:t>/INFOEM/IP/RR/2022,</w:t>
      </w:r>
      <w:r w:rsidRPr="00940354">
        <w:rPr>
          <w:rFonts w:ascii="Palatino Linotype" w:hAnsi="Palatino Linotype"/>
          <w:sz w:val="23"/>
          <w:szCs w:val="23"/>
        </w:rPr>
        <w:t xml:space="preserve"> presentada por el Comisionado Luis Gustavo Parra Noriega, respecto de la cual, la suscrita formula </w:t>
      </w:r>
      <w:r w:rsidRPr="00D36CD9">
        <w:rPr>
          <w:rFonts w:ascii="Palatino Linotype" w:hAnsi="Palatino Linotype"/>
          <w:b/>
          <w:sz w:val="23"/>
          <w:szCs w:val="23"/>
        </w:rPr>
        <w:t>OPINIÓN  PARTICULAR</w:t>
      </w:r>
      <w:r w:rsidRPr="00940354">
        <w:rPr>
          <w:rFonts w:ascii="Palatino Linotype" w:hAnsi="Palatino Linotype"/>
          <w:sz w:val="23"/>
          <w:szCs w:val="23"/>
        </w:rPr>
        <w:t>,  con fundamento en el artículo 14 fracción XI del Reglamento Interior del Instituto de Transparencia, Acceso a la Información Pública y Protección de Datos Personales del Estado de México y Municipios.</w:t>
      </w:r>
    </w:p>
    <w:p w:rsidR="000B2A76" w:rsidRPr="00940354" w:rsidRDefault="000B2A76" w:rsidP="000B2A76">
      <w:pPr>
        <w:spacing w:before="240" w:after="240" w:line="360" w:lineRule="auto"/>
        <w:jc w:val="both"/>
        <w:rPr>
          <w:rFonts w:ascii="Palatino Linotype" w:hAnsi="Palatino Linotype"/>
          <w:sz w:val="23"/>
          <w:szCs w:val="23"/>
        </w:rPr>
      </w:pPr>
      <w:r w:rsidRPr="00940354">
        <w:rPr>
          <w:rFonts w:ascii="Palatino Linotype" w:hAnsi="Palatino Linotype"/>
          <w:sz w:val="23"/>
          <w:szCs w:val="23"/>
        </w:rPr>
        <w:t>La que suscribe, comparte en esencia el sentido del estudio realizado en la resolución emitida por el Comisionado Ponente; sin embargo, resulta necesario destacar que la prueba de daño que se desarrolla en el proyecto de resolución que nos ocupa, debió  ser realizada por el Sujeto Obligado.</w:t>
      </w:r>
    </w:p>
    <w:p w:rsidR="008E58A8" w:rsidRDefault="000B2A76" w:rsidP="00081965">
      <w:pPr>
        <w:spacing w:before="240" w:after="240" w:line="360" w:lineRule="auto"/>
        <w:jc w:val="both"/>
        <w:rPr>
          <w:rFonts w:ascii="Palatino Linotype" w:hAnsi="Palatino Linotype"/>
          <w:sz w:val="23"/>
          <w:szCs w:val="23"/>
        </w:rPr>
      </w:pPr>
      <w:r w:rsidRPr="00940354">
        <w:rPr>
          <w:rFonts w:ascii="Palatino Linotype" w:hAnsi="Palatino Linotype"/>
          <w:sz w:val="23"/>
          <w:szCs w:val="23"/>
        </w:rPr>
        <w:t xml:space="preserve">En el caso concreto el hoy Recurrente requirió al </w:t>
      </w:r>
      <w:bookmarkStart w:id="0" w:name="_Hlk106220231"/>
      <w:r w:rsidR="00081965" w:rsidRPr="00081965">
        <w:rPr>
          <w:rFonts w:ascii="Palatino Linotype" w:hAnsi="Palatino Linotype"/>
          <w:bCs/>
          <w:sz w:val="23"/>
          <w:szCs w:val="23"/>
        </w:rPr>
        <w:t xml:space="preserve">Ayuntamiento de </w:t>
      </w:r>
      <w:bookmarkEnd w:id="0"/>
      <w:r w:rsidR="00D07D24">
        <w:rPr>
          <w:rFonts w:ascii="Palatino Linotype" w:hAnsi="Palatino Linotype"/>
          <w:bCs/>
          <w:sz w:val="23"/>
          <w:szCs w:val="23"/>
        </w:rPr>
        <w:t>Toluca</w:t>
      </w:r>
      <w:r w:rsidRPr="00940354">
        <w:rPr>
          <w:rFonts w:ascii="Palatino Linotype" w:hAnsi="Palatino Linotype"/>
          <w:sz w:val="23"/>
          <w:szCs w:val="23"/>
        </w:rPr>
        <w:t>, que en esencia se le proporcionara</w:t>
      </w:r>
      <w:r w:rsidR="00081965" w:rsidRPr="00081965">
        <w:rPr>
          <w:rFonts w:ascii="Palatino Linotype" w:hAnsi="Palatino Linotype"/>
          <w:sz w:val="23"/>
          <w:szCs w:val="23"/>
        </w:rPr>
        <w:t xml:space="preserve"> </w:t>
      </w:r>
      <w:bookmarkStart w:id="1" w:name="_Hlk105611386"/>
      <w:r w:rsidR="00D07D24" w:rsidRPr="00D07D24">
        <w:rPr>
          <w:rFonts w:ascii="Palatino Linotype" w:hAnsi="Palatino Linotype"/>
          <w:sz w:val="23"/>
          <w:szCs w:val="23"/>
        </w:rPr>
        <w:t>todos los movimientos de personal de base y de confianza del mes de febrero del año 2022</w:t>
      </w:r>
      <w:r w:rsidR="00D07D24">
        <w:rPr>
          <w:rFonts w:ascii="Palatino Linotype" w:hAnsi="Palatino Linotype"/>
          <w:sz w:val="23"/>
          <w:szCs w:val="23"/>
        </w:rPr>
        <w:t xml:space="preserve">. </w:t>
      </w:r>
    </w:p>
    <w:p w:rsidR="00D07D24" w:rsidRPr="00D07D24" w:rsidRDefault="00081965" w:rsidP="00D07D24">
      <w:pPr>
        <w:spacing w:after="0" w:line="360" w:lineRule="auto"/>
        <w:rPr>
          <w:rFonts w:ascii="Palatino Linotype" w:eastAsia="Calibri" w:hAnsi="Palatino Linotype" w:cs="Times New Roman"/>
          <w:color w:val="000000"/>
        </w:rPr>
      </w:pPr>
      <w:r>
        <w:rPr>
          <w:rFonts w:ascii="Palatino Linotype" w:hAnsi="Palatino Linotype"/>
          <w:sz w:val="24"/>
          <w:szCs w:val="24"/>
        </w:rPr>
        <w:lastRenderedPageBreak/>
        <w:t xml:space="preserve">El Sujeto Obligado </w:t>
      </w:r>
      <w:bookmarkEnd w:id="1"/>
      <w:r w:rsidR="00D07D24" w:rsidRPr="00D07D24">
        <w:rPr>
          <w:rFonts w:ascii="Palatino Linotype" w:eastAsia="Calibri" w:hAnsi="Palatino Linotype" w:cs="Times New Roman"/>
          <w:color w:val="000000"/>
        </w:rPr>
        <w:t xml:space="preserve">notificó, a través del Sistema de Acceso a la Información Mexiquense (SAIMEX), la respuesta a la solicitud de acceso a la información pública, mediante el oficio número 00526/TOLUCA/IP/2022, de la misma fecha de recepción, suscrito por la Titular de la Unidad de Transparencia y dirigido a la Solicitante, por medio del manifestó lo siguiente: </w:t>
      </w:r>
    </w:p>
    <w:p w:rsidR="00D07D24" w:rsidRPr="00D07D24" w:rsidRDefault="00D07D24" w:rsidP="00D07D24">
      <w:pPr>
        <w:spacing w:after="0" w:line="360" w:lineRule="auto"/>
        <w:jc w:val="both"/>
        <w:rPr>
          <w:rFonts w:ascii="Palatino Linotype" w:eastAsia="Calibri" w:hAnsi="Palatino Linotype" w:cs="Times New Roman"/>
          <w:color w:val="000000"/>
        </w:rPr>
      </w:pPr>
    </w:p>
    <w:p w:rsidR="00D07D24" w:rsidRPr="00D07D24" w:rsidRDefault="00D07D24" w:rsidP="00D07D24">
      <w:pPr>
        <w:spacing w:after="0" w:line="360" w:lineRule="auto"/>
        <w:ind w:left="567" w:right="567"/>
        <w:jc w:val="both"/>
        <w:rPr>
          <w:rFonts w:ascii="Palatino Linotype" w:eastAsia="Calibri" w:hAnsi="Palatino Linotype" w:cs="Times New Roman"/>
          <w:i/>
          <w:iCs/>
          <w:color w:val="000000"/>
          <w:szCs w:val="20"/>
        </w:rPr>
      </w:pPr>
      <w:r w:rsidRPr="00D07D24">
        <w:rPr>
          <w:rFonts w:ascii="Palatino Linotype" w:eastAsia="Calibri" w:hAnsi="Palatino Linotype" w:cs="Times New Roman"/>
          <w:i/>
          <w:iCs/>
          <w:color w:val="000000"/>
          <w:szCs w:val="20"/>
        </w:rPr>
        <w:t xml:space="preserve">“… hago de su conocimiento que la </w:t>
      </w:r>
      <w:r w:rsidRPr="00D07D24">
        <w:rPr>
          <w:rFonts w:ascii="Palatino Linotype" w:eastAsia="Calibri" w:hAnsi="Palatino Linotype" w:cs="Times New Roman"/>
          <w:b/>
          <w:bCs/>
          <w:i/>
          <w:iCs/>
          <w:color w:val="000000"/>
          <w:szCs w:val="20"/>
        </w:rPr>
        <w:t>Directora General de Administración y Servidora Pública Habilitada,</w:t>
      </w:r>
      <w:r w:rsidRPr="00D07D24">
        <w:rPr>
          <w:rFonts w:ascii="Palatino Linotype" w:eastAsia="Calibri" w:hAnsi="Palatino Linotype" w:cs="Times New Roman"/>
          <w:i/>
          <w:iCs/>
          <w:color w:val="000000"/>
          <w:szCs w:val="20"/>
        </w:rPr>
        <w:t xml:space="preserve"> informo a la que suscribe, por lo que respecta a su solicitud de información pública y después de realizar una búsqueda exhaustiva y minuciosa en la </w:t>
      </w:r>
      <w:r w:rsidRPr="00D07D24">
        <w:rPr>
          <w:rFonts w:ascii="Palatino Linotype" w:eastAsia="Calibri" w:hAnsi="Palatino Linotype" w:cs="Times New Roman"/>
          <w:b/>
          <w:bCs/>
          <w:i/>
          <w:iCs/>
          <w:color w:val="000000"/>
          <w:szCs w:val="20"/>
        </w:rPr>
        <w:t xml:space="preserve">Dirección de Recursos Humanos, </w:t>
      </w:r>
      <w:r w:rsidRPr="00D07D24">
        <w:rPr>
          <w:rFonts w:ascii="Palatino Linotype" w:eastAsia="Calibri" w:hAnsi="Palatino Linotype" w:cs="Times New Roman"/>
          <w:i/>
          <w:iCs/>
          <w:color w:val="000000"/>
          <w:szCs w:val="20"/>
        </w:rPr>
        <w:t xml:space="preserve">y para dar atención a la solicitud, al respecto me permito informarle que durante el mes de febrero del año 2022 se realizaron un total de 285 movimientos de personal de base y de confianza, de los cuales 165 corresponden a altas y 120 a bajas. </w:t>
      </w:r>
    </w:p>
    <w:p w:rsidR="00D07D24" w:rsidRPr="00D07D24" w:rsidRDefault="00D07D24" w:rsidP="00D07D24">
      <w:pPr>
        <w:spacing w:after="0" w:line="360" w:lineRule="auto"/>
        <w:ind w:left="567" w:right="567"/>
        <w:jc w:val="both"/>
        <w:rPr>
          <w:rFonts w:ascii="Palatino Linotype" w:eastAsia="Calibri" w:hAnsi="Palatino Linotype" w:cs="Times New Roman"/>
          <w:i/>
          <w:iCs/>
          <w:color w:val="000000"/>
          <w:szCs w:val="20"/>
        </w:rPr>
      </w:pPr>
      <w:bookmarkStart w:id="2" w:name="_GoBack"/>
      <w:bookmarkEnd w:id="2"/>
    </w:p>
    <w:p w:rsidR="00D07D24" w:rsidRDefault="00D07D24" w:rsidP="002A05DA">
      <w:pPr>
        <w:spacing w:after="0" w:line="360" w:lineRule="auto"/>
        <w:ind w:right="-3"/>
        <w:jc w:val="both"/>
        <w:rPr>
          <w:rFonts w:ascii="Palatino Linotype" w:eastAsia="Calibri" w:hAnsi="Palatino Linotype" w:cs="Times New Roman"/>
          <w:iCs/>
          <w:color w:val="000000"/>
          <w:szCs w:val="20"/>
        </w:rPr>
      </w:pPr>
      <w:r w:rsidRPr="00D07D24">
        <w:rPr>
          <w:rFonts w:ascii="Palatino Linotype" w:eastAsia="Calibri" w:hAnsi="Palatino Linotype" w:cs="Times New Roman"/>
          <w:iCs/>
          <w:color w:val="000000"/>
          <w:szCs w:val="20"/>
        </w:rPr>
        <w:t xml:space="preserve">Ahora bien, la </w:t>
      </w:r>
      <w:r w:rsidRPr="00D07D24">
        <w:rPr>
          <w:rFonts w:ascii="Palatino Linotype" w:eastAsia="Calibri" w:hAnsi="Palatino Linotype" w:cs="Times New Roman"/>
          <w:b/>
          <w:bCs/>
          <w:iCs/>
          <w:color w:val="000000"/>
          <w:szCs w:val="20"/>
        </w:rPr>
        <w:t>Directora General del Instituto Municipal de Cultura Física y Deporte de Toluca</w:t>
      </w:r>
      <w:r w:rsidRPr="00D07D24">
        <w:rPr>
          <w:rFonts w:ascii="Palatino Linotype" w:eastAsia="Calibri" w:hAnsi="Palatino Linotype" w:cs="Times New Roman"/>
          <w:iCs/>
          <w:color w:val="000000"/>
          <w:szCs w:val="20"/>
        </w:rPr>
        <w:t xml:space="preserve">, informó a la que suscribe por lo que respecta a lo solicitado </w:t>
      </w:r>
      <w:r>
        <w:rPr>
          <w:rFonts w:ascii="Palatino Linotype" w:eastAsia="Calibri" w:hAnsi="Palatino Linotype" w:cs="Times New Roman"/>
          <w:iCs/>
          <w:color w:val="000000"/>
          <w:szCs w:val="20"/>
        </w:rPr>
        <w:t xml:space="preserve">mediante una tabla sobre dos altas de servidores públicos, los días 1 y 2 de febrero de 2022. </w:t>
      </w:r>
    </w:p>
    <w:p w:rsidR="00D07D24" w:rsidRPr="00D07D24" w:rsidRDefault="00D07D24" w:rsidP="002A05DA">
      <w:pPr>
        <w:spacing w:after="0" w:line="360" w:lineRule="auto"/>
        <w:ind w:right="-3"/>
        <w:jc w:val="both"/>
        <w:rPr>
          <w:rFonts w:ascii="Palatino Linotype" w:eastAsia="Calibri" w:hAnsi="Palatino Linotype" w:cs="Times New Roman"/>
          <w:iCs/>
          <w:color w:val="000000"/>
          <w:szCs w:val="20"/>
        </w:rPr>
      </w:pPr>
    </w:p>
    <w:p w:rsidR="00D07D24" w:rsidRPr="002A05DA" w:rsidRDefault="00D07D24" w:rsidP="002A05DA">
      <w:pPr>
        <w:spacing w:after="0" w:line="360" w:lineRule="auto"/>
        <w:ind w:right="-3"/>
        <w:jc w:val="both"/>
        <w:rPr>
          <w:rFonts w:ascii="Palatino Linotype" w:eastAsia="Calibri" w:hAnsi="Palatino Linotype" w:cs="Times New Roman"/>
          <w:noProof/>
          <w:color w:val="000000"/>
        </w:rPr>
      </w:pPr>
      <w:r w:rsidRPr="00D07D24">
        <w:rPr>
          <w:rFonts w:ascii="Palatino Linotype" w:eastAsia="Calibri" w:hAnsi="Palatino Linotype" w:cs="Times New Roman"/>
          <w:iCs/>
          <w:color w:val="000000"/>
          <w:szCs w:val="20"/>
        </w:rPr>
        <w:t xml:space="preserve">Asimismo, la </w:t>
      </w:r>
      <w:r w:rsidRPr="00D07D24">
        <w:rPr>
          <w:rFonts w:ascii="Palatino Linotype" w:eastAsia="Calibri" w:hAnsi="Palatino Linotype" w:cs="Times New Roman"/>
          <w:b/>
          <w:bCs/>
          <w:iCs/>
          <w:color w:val="000000"/>
          <w:szCs w:val="20"/>
        </w:rPr>
        <w:t xml:space="preserve">Directora General </w:t>
      </w:r>
      <w:bookmarkStart w:id="3" w:name="_Hlk106811416"/>
      <w:r w:rsidRPr="00D07D24">
        <w:rPr>
          <w:rFonts w:ascii="Palatino Linotype" w:eastAsia="Calibri" w:hAnsi="Palatino Linotype" w:cs="Times New Roman"/>
          <w:b/>
          <w:bCs/>
          <w:iCs/>
          <w:color w:val="000000"/>
          <w:szCs w:val="20"/>
        </w:rPr>
        <w:t>del Instituto Municipal de la Mujer</w:t>
      </w:r>
      <w:bookmarkEnd w:id="3"/>
      <w:r w:rsidRPr="00D07D24">
        <w:rPr>
          <w:rFonts w:ascii="Palatino Linotype" w:eastAsia="Calibri" w:hAnsi="Palatino Linotype" w:cs="Times New Roman"/>
          <w:b/>
          <w:bCs/>
          <w:iCs/>
          <w:color w:val="000000"/>
          <w:szCs w:val="20"/>
        </w:rPr>
        <w:t xml:space="preserve"> de Toluca</w:t>
      </w:r>
      <w:r w:rsidRPr="00D07D24">
        <w:rPr>
          <w:rFonts w:ascii="Palatino Linotype" w:eastAsia="Calibri" w:hAnsi="Palatino Linotype" w:cs="Times New Roman"/>
          <w:iCs/>
          <w:color w:val="000000"/>
          <w:szCs w:val="20"/>
        </w:rPr>
        <w:t xml:space="preserve">, informó a la que suscribe respecto a lo solicitado </w:t>
      </w:r>
      <w:r>
        <w:rPr>
          <w:rFonts w:ascii="Palatino Linotype" w:eastAsia="Calibri" w:hAnsi="Palatino Linotype" w:cs="Times New Roman"/>
          <w:iCs/>
          <w:color w:val="000000"/>
          <w:szCs w:val="20"/>
        </w:rPr>
        <w:t xml:space="preserve">sobre un alta y una baja en los días 15 y 16 de febrero de 2022. </w:t>
      </w:r>
    </w:p>
    <w:p w:rsidR="00081965" w:rsidRPr="00081965" w:rsidRDefault="000B2A76" w:rsidP="00D07D24">
      <w:pPr>
        <w:spacing w:before="240" w:after="240" w:line="360" w:lineRule="auto"/>
        <w:jc w:val="both"/>
        <w:rPr>
          <w:rFonts w:ascii="Palatino Linotype" w:hAnsi="Palatino Linotype"/>
          <w:bCs/>
          <w:i/>
          <w:iCs/>
        </w:rPr>
      </w:pPr>
      <w:r w:rsidRPr="00940354">
        <w:rPr>
          <w:rFonts w:ascii="Palatino Linotype" w:hAnsi="Palatino Linotype"/>
          <w:sz w:val="23"/>
          <w:szCs w:val="23"/>
        </w:rPr>
        <w:t xml:space="preserve">Ante </w:t>
      </w:r>
      <w:r w:rsidR="00081965">
        <w:rPr>
          <w:rFonts w:ascii="Palatino Linotype" w:hAnsi="Palatino Linotype"/>
          <w:sz w:val="23"/>
          <w:szCs w:val="23"/>
        </w:rPr>
        <w:t>este acto d</w:t>
      </w:r>
      <w:r w:rsidRPr="00940354">
        <w:rPr>
          <w:rFonts w:ascii="Palatino Linotype" w:hAnsi="Palatino Linotype"/>
          <w:sz w:val="23"/>
          <w:szCs w:val="23"/>
        </w:rPr>
        <w:t>el Sujeto Obliga</w:t>
      </w:r>
      <w:r w:rsidR="00275288">
        <w:rPr>
          <w:rFonts w:ascii="Palatino Linotype" w:hAnsi="Palatino Linotype"/>
          <w:sz w:val="23"/>
          <w:szCs w:val="23"/>
        </w:rPr>
        <w:t>do, el particular se inconfor</w:t>
      </w:r>
      <w:r w:rsidR="00D07D24">
        <w:rPr>
          <w:rFonts w:ascii="Palatino Linotype" w:hAnsi="Palatino Linotype"/>
          <w:sz w:val="23"/>
          <w:szCs w:val="23"/>
        </w:rPr>
        <w:t>ma, por la entrega de la información incompleta</w:t>
      </w:r>
      <w:r w:rsidR="008E58A8">
        <w:rPr>
          <w:rFonts w:ascii="Palatino Linotype" w:hAnsi="Palatino Linotype"/>
          <w:sz w:val="23"/>
          <w:szCs w:val="23"/>
        </w:rPr>
        <w:t xml:space="preserve">. </w:t>
      </w:r>
      <w:r w:rsidR="00AF1499">
        <w:rPr>
          <w:rFonts w:ascii="Palatino Linotype" w:hAnsi="Palatino Linotype"/>
          <w:sz w:val="24"/>
        </w:rPr>
        <w:t xml:space="preserve">Es de señalar que el Sujeto Obligado </w:t>
      </w:r>
      <w:r w:rsidR="00275288">
        <w:rPr>
          <w:rFonts w:ascii="Palatino Linotype" w:hAnsi="Palatino Linotype"/>
          <w:sz w:val="24"/>
        </w:rPr>
        <w:t xml:space="preserve">rindió </w:t>
      </w:r>
      <w:r w:rsidRPr="00940354">
        <w:rPr>
          <w:rFonts w:ascii="Palatino Linotype" w:hAnsi="Palatino Linotype"/>
          <w:sz w:val="24"/>
        </w:rPr>
        <w:t>Informe Justificado</w:t>
      </w:r>
      <w:r w:rsidR="00275288">
        <w:rPr>
          <w:rFonts w:ascii="Palatino Linotype" w:hAnsi="Palatino Linotype"/>
          <w:sz w:val="24"/>
        </w:rPr>
        <w:t xml:space="preserve"> en el que medularmente ratificó su respuesta inicia</w:t>
      </w:r>
      <w:r w:rsidR="008E58A8">
        <w:rPr>
          <w:rFonts w:ascii="Palatino Linotype" w:hAnsi="Palatino Linotype"/>
          <w:sz w:val="24"/>
        </w:rPr>
        <w:t>l.</w:t>
      </w:r>
      <w:r w:rsidR="00081965" w:rsidRPr="00081965">
        <w:rPr>
          <w:rFonts w:ascii="Palatino Linotype" w:hAnsi="Palatino Linotype"/>
          <w:bCs/>
          <w:i/>
          <w:iCs/>
        </w:rPr>
        <w:t xml:space="preserve"> </w:t>
      </w:r>
    </w:p>
    <w:p w:rsidR="00AF1499" w:rsidRDefault="000B2A76" w:rsidP="004A63C4">
      <w:pPr>
        <w:autoSpaceDE w:val="0"/>
        <w:autoSpaceDN w:val="0"/>
        <w:adjustRightInd w:val="0"/>
        <w:spacing w:line="360" w:lineRule="auto"/>
        <w:contextualSpacing/>
        <w:jc w:val="both"/>
        <w:rPr>
          <w:rFonts w:ascii="Palatino Linotype" w:hAnsi="Palatino Linotype"/>
          <w:sz w:val="23"/>
          <w:szCs w:val="23"/>
        </w:rPr>
      </w:pPr>
      <w:r>
        <w:rPr>
          <w:rFonts w:ascii="Palatino Linotype" w:hAnsi="Palatino Linotype"/>
          <w:sz w:val="23"/>
          <w:szCs w:val="23"/>
        </w:rPr>
        <w:lastRenderedPageBreak/>
        <w:t xml:space="preserve">Por lo que, previo análisis de las constancias y de la naturaleza de la información, la Ponencia determinó </w:t>
      </w:r>
      <w:r w:rsidR="00D07D24">
        <w:rPr>
          <w:rFonts w:ascii="Palatino Linotype" w:hAnsi="Palatino Linotype"/>
          <w:b/>
          <w:sz w:val="23"/>
          <w:szCs w:val="23"/>
        </w:rPr>
        <w:t>MODIFI</w:t>
      </w:r>
      <w:r w:rsidR="008E58A8" w:rsidRPr="008E58A8">
        <w:rPr>
          <w:rFonts w:ascii="Palatino Linotype" w:hAnsi="Palatino Linotype"/>
          <w:b/>
          <w:sz w:val="23"/>
          <w:szCs w:val="23"/>
        </w:rPr>
        <w:t>CAR</w:t>
      </w:r>
      <w:r w:rsidR="008E58A8">
        <w:rPr>
          <w:rFonts w:ascii="Palatino Linotype" w:hAnsi="Palatino Linotype"/>
          <w:sz w:val="23"/>
          <w:szCs w:val="23"/>
        </w:rPr>
        <w:t xml:space="preserve"> la respuesta y </w:t>
      </w:r>
      <w:r w:rsidR="00081965">
        <w:rPr>
          <w:rFonts w:ascii="Palatino Linotype" w:hAnsi="Palatino Linotype"/>
          <w:sz w:val="23"/>
          <w:szCs w:val="23"/>
        </w:rPr>
        <w:t>or</w:t>
      </w:r>
      <w:r w:rsidR="008E58A8">
        <w:rPr>
          <w:rFonts w:ascii="Palatino Linotype" w:hAnsi="Palatino Linotype"/>
          <w:sz w:val="23"/>
          <w:szCs w:val="23"/>
        </w:rPr>
        <w:t xml:space="preserve">denar la entrega de información, </w:t>
      </w:r>
      <w:r w:rsidR="00AF1499">
        <w:rPr>
          <w:rFonts w:ascii="Palatino Linotype" w:hAnsi="Palatino Linotype"/>
          <w:sz w:val="23"/>
          <w:szCs w:val="23"/>
        </w:rPr>
        <w:t xml:space="preserve"> posteriormente </w:t>
      </w:r>
      <w:r>
        <w:rPr>
          <w:rFonts w:ascii="Palatino Linotype" w:hAnsi="Palatino Linotype"/>
          <w:sz w:val="23"/>
          <w:szCs w:val="23"/>
        </w:rPr>
        <w:t xml:space="preserve">en su </w:t>
      </w:r>
      <w:r w:rsidRPr="008E58A8">
        <w:rPr>
          <w:rFonts w:ascii="Palatino Linotype" w:hAnsi="Palatino Linotype"/>
          <w:b/>
          <w:sz w:val="23"/>
          <w:szCs w:val="23"/>
        </w:rPr>
        <w:t>resolutivo SEGUNDO</w:t>
      </w:r>
      <w:r w:rsidR="00081965">
        <w:rPr>
          <w:rFonts w:ascii="Palatino Linotype" w:hAnsi="Palatino Linotype"/>
          <w:sz w:val="23"/>
          <w:szCs w:val="23"/>
        </w:rPr>
        <w:t>, precisar al Sujeto Obligado que deberá remitir al particular, lo siguiente</w:t>
      </w:r>
      <w:r w:rsidR="00AF1499">
        <w:rPr>
          <w:rFonts w:ascii="Palatino Linotype" w:hAnsi="Palatino Linotype"/>
          <w:sz w:val="23"/>
          <w:szCs w:val="23"/>
        </w:rPr>
        <w:t>:</w:t>
      </w:r>
    </w:p>
    <w:p w:rsidR="00AF1499" w:rsidRDefault="00AF1499" w:rsidP="00AF1499">
      <w:pPr>
        <w:autoSpaceDE w:val="0"/>
        <w:autoSpaceDN w:val="0"/>
        <w:adjustRightInd w:val="0"/>
        <w:spacing w:line="276" w:lineRule="auto"/>
        <w:ind w:left="567" w:right="990"/>
        <w:contextualSpacing/>
        <w:jc w:val="both"/>
        <w:rPr>
          <w:rFonts w:ascii="Palatino Linotype" w:hAnsi="Palatino Linotype"/>
          <w:b/>
          <w:bCs/>
          <w:i/>
          <w:szCs w:val="23"/>
        </w:rPr>
      </w:pPr>
    </w:p>
    <w:p w:rsidR="00081965" w:rsidRDefault="00AF1499" w:rsidP="00081965">
      <w:pPr>
        <w:autoSpaceDE w:val="0"/>
        <w:autoSpaceDN w:val="0"/>
        <w:adjustRightInd w:val="0"/>
        <w:spacing w:line="276" w:lineRule="auto"/>
        <w:ind w:left="567" w:right="990"/>
        <w:contextualSpacing/>
        <w:jc w:val="both"/>
        <w:rPr>
          <w:rFonts w:ascii="Palatino Linotype" w:hAnsi="Palatino Linotype"/>
          <w:b/>
          <w:bCs/>
          <w:i/>
          <w:szCs w:val="23"/>
        </w:rPr>
      </w:pPr>
      <w:r>
        <w:rPr>
          <w:rFonts w:ascii="Palatino Linotype" w:hAnsi="Palatino Linotype"/>
          <w:b/>
          <w:bCs/>
          <w:i/>
          <w:szCs w:val="23"/>
        </w:rPr>
        <w:t>“</w:t>
      </w:r>
      <w:r w:rsidR="00081965">
        <w:rPr>
          <w:rFonts w:ascii="Palatino Linotype" w:hAnsi="Palatino Linotype"/>
          <w:b/>
          <w:bCs/>
          <w:i/>
          <w:szCs w:val="23"/>
        </w:rPr>
        <w:t>…</w:t>
      </w:r>
    </w:p>
    <w:p w:rsidR="00D07D24" w:rsidRPr="00D07D24" w:rsidRDefault="00D07D24" w:rsidP="00D07D24">
      <w:pPr>
        <w:autoSpaceDE w:val="0"/>
        <w:autoSpaceDN w:val="0"/>
        <w:adjustRightInd w:val="0"/>
        <w:spacing w:line="276" w:lineRule="auto"/>
        <w:ind w:left="567" w:right="990"/>
        <w:contextualSpacing/>
        <w:jc w:val="both"/>
        <w:rPr>
          <w:rFonts w:ascii="Palatino Linotype" w:hAnsi="Palatino Linotype"/>
          <w:bCs/>
          <w:i/>
          <w:szCs w:val="23"/>
        </w:rPr>
      </w:pPr>
      <w:r w:rsidRPr="00D07D24">
        <w:rPr>
          <w:rFonts w:ascii="Palatino Linotype" w:hAnsi="Palatino Linotype"/>
          <w:bCs/>
          <w:i/>
          <w:szCs w:val="23"/>
        </w:rPr>
        <w:t>SEGUNDO. Se ORDENA al Ente Recurrido, a efecto de que, previa búsqueda exhaustiva y razonable, entregue, a través del Sistema de Acceso a la Información Mexiquense (SAIMEX), en su caso, en versión pública, los documentos donde conste, lo siguiente:</w:t>
      </w:r>
    </w:p>
    <w:p w:rsidR="00D07D24" w:rsidRPr="00D07D24" w:rsidRDefault="00D07D24" w:rsidP="00D07D24">
      <w:pPr>
        <w:autoSpaceDE w:val="0"/>
        <w:autoSpaceDN w:val="0"/>
        <w:adjustRightInd w:val="0"/>
        <w:spacing w:line="276" w:lineRule="auto"/>
        <w:ind w:left="567" w:right="990"/>
        <w:contextualSpacing/>
        <w:jc w:val="both"/>
        <w:rPr>
          <w:rFonts w:ascii="Palatino Linotype" w:hAnsi="Palatino Linotype"/>
          <w:bCs/>
          <w:i/>
          <w:szCs w:val="23"/>
        </w:rPr>
      </w:pPr>
    </w:p>
    <w:p w:rsidR="00D07D24" w:rsidRPr="00D07D24" w:rsidRDefault="00D07D24" w:rsidP="00D07D24">
      <w:pPr>
        <w:autoSpaceDE w:val="0"/>
        <w:autoSpaceDN w:val="0"/>
        <w:adjustRightInd w:val="0"/>
        <w:spacing w:line="276" w:lineRule="auto"/>
        <w:ind w:left="567" w:right="990"/>
        <w:contextualSpacing/>
        <w:jc w:val="both"/>
        <w:rPr>
          <w:rFonts w:ascii="Palatino Linotype" w:hAnsi="Palatino Linotype"/>
          <w:bCs/>
          <w:i/>
          <w:szCs w:val="23"/>
        </w:rPr>
      </w:pPr>
      <w:r w:rsidRPr="00D07D24">
        <w:rPr>
          <w:rFonts w:ascii="Palatino Linotype" w:hAnsi="Palatino Linotype"/>
          <w:bCs/>
          <w:i/>
          <w:szCs w:val="23"/>
        </w:rPr>
        <w:t>El nombre de los doscientos ochenta y cinco servidores públicos que tuvieron algún movimiento de personal, conforme a la respuesta entregada.</w:t>
      </w:r>
    </w:p>
    <w:p w:rsidR="00D07D24" w:rsidRPr="00D07D24" w:rsidRDefault="00D07D24" w:rsidP="00D07D24">
      <w:pPr>
        <w:autoSpaceDE w:val="0"/>
        <w:autoSpaceDN w:val="0"/>
        <w:adjustRightInd w:val="0"/>
        <w:spacing w:line="276" w:lineRule="auto"/>
        <w:ind w:left="567" w:right="990"/>
        <w:contextualSpacing/>
        <w:jc w:val="both"/>
        <w:rPr>
          <w:rFonts w:ascii="Palatino Linotype" w:hAnsi="Palatino Linotype"/>
          <w:bCs/>
          <w:i/>
          <w:szCs w:val="23"/>
        </w:rPr>
      </w:pPr>
    </w:p>
    <w:p w:rsidR="00D07D24" w:rsidRPr="00D07D24" w:rsidRDefault="00D07D24" w:rsidP="00D07D24">
      <w:pPr>
        <w:autoSpaceDE w:val="0"/>
        <w:autoSpaceDN w:val="0"/>
        <w:adjustRightInd w:val="0"/>
        <w:spacing w:line="276" w:lineRule="auto"/>
        <w:ind w:left="567" w:right="990"/>
        <w:contextualSpacing/>
        <w:jc w:val="both"/>
        <w:rPr>
          <w:rFonts w:ascii="Palatino Linotype" w:hAnsi="Palatino Linotype"/>
          <w:bCs/>
          <w:i/>
          <w:szCs w:val="23"/>
        </w:rPr>
      </w:pPr>
      <w:r w:rsidRPr="00D07D24">
        <w:rPr>
          <w:rFonts w:ascii="Palatino Linotype" w:hAnsi="Palatino Linotype"/>
          <w:bCs/>
          <w:i/>
          <w:szCs w:val="23"/>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AF1499" w:rsidRPr="008E58A8" w:rsidRDefault="00AF1499" w:rsidP="008E58A8">
      <w:pPr>
        <w:autoSpaceDE w:val="0"/>
        <w:autoSpaceDN w:val="0"/>
        <w:adjustRightInd w:val="0"/>
        <w:spacing w:line="276" w:lineRule="auto"/>
        <w:ind w:left="567" w:right="990"/>
        <w:contextualSpacing/>
        <w:jc w:val="both"/>
        <w:rPr>
          <w:rFonts w:ascii="Palatino Linotype" w:hAnsi="Palatino Linotype"/>
          <w:b/>
          <w:bCs/>
          <w:i/>
          <w:szCs w:val="23"/>
        </w:rPr>
      </w:pPr>
      <w:r w:rsidRPr="00275288">
        <w:rPr>
          <w:rFonts w:ascii="Palatino Linotype" w:hAnsi="Palatino Linotype"/>
          <w:i/>
          <w:szCs w:val="23"/>
          <w:lang w:val="es-ES"/>
        </w:rPr>
        <w:t xml:space="preserve">” (Sic) </w:t>
      </w:r>
    </w:p>
    <w:p w:rsidR="00AF1499" w:rsidRDefault="00AF1499" w:rsidP="004A63C4">
      <w:pPr>
        <w:autoSpaceDE w:val="0"/>
        <w:autoSpaceDN w:val="0"/>
        <w:adjustRightInd w:val="0"/>
        <w:spacing w:line="360" w:lineRule="auto"/>
        <w:contextualSpacing/>
        <w:jc w:val="both"/>
        <w:rPr>
          <w:rFonts w:ascii="Palatino Linotype" w:hAnsi="Palatino Linotype"/>
          <w:sz w:val="23"/>
          <w:szCs w:val="23"/>
        </w:rPr>
      </w:pP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sidR="00EE5423">
        <w:rPr>
          <w:rFonts w:ascii="Palatino Linotype" w:hAnsi="Palatino Linotype"/>
          <w:sz w:val="23"/>
          <w:szCs w:val="23"/>
        </w:rPr>
        <w:t xml:space="preserve"> debe mencionarse que, toda vez que se determinó </w:t>
      </w:r>
      <w:r w:rsidR="00081965">
        <w:rPr>
          <w:rFonts w:ascii="Palatino Linotype" w:hAnsi="Palatino Linotype"/>
          <w:sz w:val="23"/>
          <w:szCs w:val="23"/>
        </w:rPr>
        <w:t xml:space="preserve">que </w:t>
      </w:r>
      <w:r w:rsidR="00081965" w:rsidRPr="00081965">
        <w:rPr>
          <w:rFonts w:ascii="Palatino Linotype" w:hAnsi="Palatino Linotype"/>
          <w:sz w:val="23"/>
          <w:szCs w:val="23"/>
        </w:rPr>
        <w:t>el Sujeto Obligado cuenta con una Dirección de Seguridad Pública, encargada de salvaguardar y garantizar el orden público y la paz social, así como de  la prevención, co</w:t>
      </w:r>
      <w:r w:rsidR="00F06A7B">
        <w:rPr>
          <w:rFonts w:ascii="Palatino Linotype" w:hAnsi="Palatino Linotype"/>
          <w:sz w:val="23"/>
          <w:szCs w:val="23"/>
        </w:rPr>
        <w:t xml:space="preserve">mbate y persecución de delitos, por lo que </w:t>
      </w:r>
      <w:r w:rsidR="00F06A7B" w:rsidRPr="00F06A7B">
        <w:rPr>
          <w:rFonts w:ascii="Palatino Linotype" w:hAnsi="Palatino Linotype"/>
          <w:b/>
          <w:sz w:val="23"/>
          <w:szCs w:val="23"/>
        </w:rPr>
        <w:t xml:space="preserve">para este Instituto </w:t>
      </w:r>
      <w:r w:rsidR="008E58A8">
        <w:rPr>
          <w:rFonts w:ascii="Palatino Linotype" w:hAnsi="Palatino Linotype"/>
          <w:b/>
          <w:bCs/>
          <w:color w:val="000000" w:themeColor="text1"/>
          <w:sz w:val="23"/>
          <w:szCs w:val="23"/>
        </w:rPr>
        <w:t>resultaba pertinente</w:t>
      </w:r>
      <w:r w:rsidR="00F06A7B" w:rsidRPr="00F06A7B">
        <w:rPr>
          <w:rFonts w:ascii="Palatino Linotype" w:hAnsi="Palatino Linotype"/>
          <w:b/>
          <w:bCs/>
          <w:color w:val="000000" w:themeColor="text1"/>
          <w:sz w:val="23"/>
          <w:szCs w:val="23"/>
        </w:rPr>
        <w:t xml:space="preserve"> </w:t>
      </w:r>
      <w:r w:rsidR="00D07D24" w:rsidRPr="00D07D24">
        <w:rPr>
          <w:rFonts w:ascii="Palatino Linotype" w:hAnsi="Palatino Linotype"/>
          <w:b/>
          <w:bCs/>
          <w:color w:val="000000" w:themeColor="text1"/>
          <w:sz w:val="23"/>
          <w:szCs w:val="23"/>
        </w:rPr>
        <w:t>la reserva del nombre de los elementos operativos de la Dirección General de Seguridad Pública y Protección</w:t>
      </w:r>
      <w:r w:rsidR="00F06A7B" w:rsidRPr="00F06A7B">
        <w:rPr>
          <w:rFonts w:ascii="Palatino Linotype" w:hAnsi="Palatino Linotype"/>
          <w:bCs/>
          <w:color w:val="000000" w:themeColor="text1"/>
          <w:sz w:val="23"/>
          <w:szCs w:val="23"/>
        </w:rPr>
        <w:t xml:space="preserve">, </w:t>
      </w:r>
      <w:r w:rsidRPr="00723296">
        <w:rPr>
          <w:rFonts w:ascii="Palatino Linotype" w:hAnsi="Palatino Linotype"/>
          <w:sz w:val="23"/>
          <w:szCs w:val="23"/>
        </w:rPr>
        <w:t>para lo que es necesario el desarrollo de la prueba de daño</w:t>
      </w:r>
      <w:r>
        <w:rPr>
          <w:rFonts w:ascii="Palatino Linotype" w:hAnsi="Palatino Linotype"/>
          <w:sz w:val="23"/>
          <w:szCs w:val="23"/>
        </w:rPr>
        <w:t xml:space="preserve">, </w:t>
      </w:r>
      <w:r w:rsidRPr="00EE051D">
        <w:rPr>
          <w:rFonts w:ascii="Palatino Linotype" w:hAnsi="Palatino Linotype"/>
          <w:sz w:val="23"/>
          <w:szCs w:val="23"/>
        </w:rPr>
        <w:t xml:space="preserve"> </w:t>
      </w:r>
      <w:r w:rsidRPr="00723296">
        <w:rPr>
          <w:rFonts w:ascii="Palatino Linotype" w:hAnsi="Palatino Linotype"/>
          <w:b/>
          <w:sz w:val="23"/>
          <w:szCs w:val="23"/>
        </w:rPr>
        <w:t xml:space="preserve">debiendo valorar el daño que causaría la divulgación de la información, con la finalidad de sustentar la reserva y </w:t>
      </w:r>
      <w:r w:rsidRPr="00723296">
        <w:rPr>
          <w:rFonts w:ascii="Palatino Linotype" w:hAnsi="Palatino Linotype"/>
          <w:b/>
          <w:sz w:val="23"/>
          <w:szCs w:val="23"/>
        </w:rPr>
        <w:lastRenderedPageBreak/>
        <w:t>arribar a una determinación debidamente fundada y motivada que tenga como consecuencia la clasificación de la información, además de analizar si el periodo de clasificación resulta acorde con la naturaleza de la información requerida</w:t>
      </w:r>
      <w:r w:rsidRPr="00EE051D">
        <w:rPr>
          <w:rFonts w:ascii="Palatino Linotype" w:hAnsi="Palatino Linotype"/>
          <w:sz w:val="23"/>
          <w:szCs w:val="23"/>
        </w:rPr>
        <w:t xml:space="preserve">. En otras </w:t>
      </w:r>
      <w:r>
        <w:rPr>
          <w:rFonts w:ascii="Palatino Linotype" w:hAnsi="Palatino Linotype"/>
          <w:sz w:val="23"/>
          <w:szCs w:val="23"/>
        </w:rPr>
        <w:t>palabras, la determinación que c</w:t>
      </w:r>
      <w:r w:rsidRPr="00EE051D">
        <w:rPr>
          <w:rFonts w:ascii="Palatino Linotype" w:hAnsi="Palatino Linotype"/>
          <w:sz w:val="23"/>
          <w:szCs w:val="23"/>
        </w:rPr>
        <w:t xml:space="preserve">onfirme una clasificación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xml:space="preserve">, los Lineamientos Generales en Materia de Clasificación y Desclasificación de la Información, así como para la elaboración de versiones públicas, establecen en su </w:t>
      </w:r>
      <w:r w:rsidRPr="00A408AE">
        <w:rPr>
          <w:rFonts w:ascii="Palatino Linotype" w:hAnsi="Palatino Linotype"/>
          <w:sz w:val="23"/>
          <w:szCs w:val="23"/>
        </w:rPr>
        <w:lastRenderedPageBreak/>
        <w:t>numeral Trigésimo Tercero que</w:t>
      </w:r>
      <w:r>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deberán demostrar que la publicidad de la información solicitada generaría un riesgo de perjuicio y por lo tanto, tendrán que acreditar que este último rebasa el interés público protegido por la reserva</w:t>
      </w:r>
      <w:r w:rsidRPr="00B770CB">
        <w:rPr>
          <w:rFonts w:ascii="Palatino Linotype" w:hAnsi="Palatino Linotype" w:cstheme="minorHAnsi"/>
          <w:i/>
          <w:sz w:val="22"/>
          <w:szCs w:val="22"/>
        </w:rPr>
        <w:t>;</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rsidR="000B2A76" w:rsidRPr="00B770CB"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rsidR="000B2A76" w:rsidRDefault="000B2A76" w:rsidP="000B2A76">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rsidR="000B2A76" w:rsidRPr="0080347F" w:rsidRDefault="000B2A76" w:rsidP="000B2A76">
      <w:pPr>
        <w:pStyle w:val="Sinespaciado"/>
        <w:spacing w:line="276" w:lineRule="auto"/>
        <w:ind w:left="851" w:right="899"/>
        <w:jc w:val="both"/>
        <w:rPr>
          <w:rFonts w:ascii="Palatino Linotype" w:hAnsi="Palatino Linotype" w:cstheme="minorHAnsi"/>
          <w:i/>
          <w:sz w:val="22"/>
          <w:szCs w:val="22"/>
        </w:rPr>
      </w:pPr>
    </w:p>
    <w:p w:rsidR="000B2A76" w:rsidRDefault="000B2A76" w:rsidP="000B2A76">
      <w:pPr>
        <w:spacing w:line="360" w:lineRule="auto"/>
        <w:jc w:val="both"/>
        <w:rPr>
          <w:rFonts w:ascii="Palatino Linotype" w:hAnsi="Palatino Linotype"/>
          <w:sz w:val="23"/>
          <w:szCs w:val="23"/>
        </w:rPr>
      </w:pPr>
      <w:r>
        <w:rPr>
          <w:rFonts w:ascii="Palatino Linotype" w:hAnsi="Palatino Linotype"/>
          <w:sz w:val="23"/>
          <w:szCs w:val="23"/>
        </w:rPr>
        <w:t>En conclusión,</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 xml:space="preserve">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w:t>
      </w:r>
      <w:r w:rsidRPr="00AE3307">
        <w:rPr>
          <w:rFonts w:ascii="Palatino Linotype" w:hAnsi="Palatino Linotype"/>
          <w:b/>
          <w:sz w:val="23"/>
          <w:szCs w:val="23"/>
        </w:rPr>
        <w:lastRenderedPageBreak/>
        <w:t>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rsidR="000B2A76" w:rsidRPr="00A408AE" w:rsidRDefault="000B2A76" w:rsidP="000B2A76">
      <w:pPr>
        <w:spacing w:line="360" w:lineRule="auto"/>
        <w:jc w:val="both"/>
        <w:rPr>
          <w:rFonts w:ascii="Palatino Linotype" w:hAnsi="Palatino Linotype"/>
          <w:sz w:val="23"/>
          <w:szCs w:val="23"/>
        </w:rPr>
      </w:pPr>
      <w:r>
        <w:rPr>
          <w:rFonts w:ascii="Palatino Linotype" w:hAnsi="Palatino Linotype"/>
          <w:sz w:val="23"/>
          <w:szCs w:val="23"/>
        </w:rPr>
        <w:t xml:space="preserve">Bajo este contexto, se analizó la resolución del recurso de revisión </w:t>
      </w:r>
      <w:r w:rsidRPr="00EA7BDA">
        <w:rPr>
          <w:rFonts w:ascii="Palatino Linotype" w:hAnsi="Palatino Linotype"/>
          <w:b/>
          <w:bCs/>
          <w:sz w:val="23"/>
          <w:szCs w:val="23"/>
        </w:rPr>
        <w:t>0</w:t>
      </w:r>
      <w:r w:rsidR="00D07D24">
        <w:rPr>
          <w:rFonts w:ascii="Palatino Linotype" w:hAnsi="Palatino Linotype"/>
          <w:b/>
          <w:bCs/>
          <w:sz w:val="23"/>
          <w:szCs w:val="23"/>
        </w:rPr>
        <w:t>3961</w:t>
      </w:r>
      <w:r w:rsidRPr="00EA7BDA">
        <w:rPr>
          <w:rFonts w:ascii="Palatino Linotype" w:hAnsi="Palatino Linotype"/>
          <w:b/>
          <w:bCs/>
          <w:sz w:val="23"/>
          <w:szCs w:val="23"/>
        </w:rPr>
        <w:t>/INFOEM/IP/RR/2022</w:t>
      </w:r>
      <w:r>
        <w:rPr>
          <w:rFonts w:ascii="Palatino Linotype" w:hAnsi="Palatino Linotype"/>
          <w:sz w:val="23"/>
          <w:szCs w:val="23"/>
        </w:rPr>
        <w:t>, en la cual, el Comisionado</w:t>
      </w:r>
      <w:r w:rsidRPr="000D7039">
        <w:rPr>
          <w:rFonts w:ascii="Palatino Linotype" w:hAnsi="Palatino Linotype"/>
          <w:sz w:val="23"/>
          <w:szCs w:val="23"/>
        </w:rPr>
        <w:t xml:space="preserve"> </w:t>
      </w:r>
      <w:r>
        <w:rPr>
          <w:rFonts w:ascii="Palatino Linotype" w:hAnsi="Palatino Linotype"/>
          <w:sz w:val="23"/>
          <w:szCs w:val="23"/>
        </w:rPr>
        <w:t xml:space="preserve">Ponente, desarrolla la prueba de daño, circunstancia que a consideración de la suscrita y derivado de lo antes señalado, </w:t>
      </w:r>
      <w:r>
        <w:rPr>
          <w:rFonts w:ascii="Palatino Linotype" w:hAnsi="Palatino Linotype"/>
          <w:b/>
          <w:bCs/>
          <w:sz w:val="23"/>
          <w:szCs w:val="23"/>
        </w:rPr>
        <w:t>les corresponde comprobar y desarrollar a los Sujetos Obligados</w:t>
      </w:r>
      <w:r>
        <w:rPr>
          <w:rFonts w:ascii="Palatino Linotype" w:hAnsi="Palatino Linotype"/>
          <w:sz w:val="23"/>
          <w:szCs w:val="23"/>
        </w:rPr>
        <w:t>, en razón de que, d</w:t>
      </w:r>
      <w:r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rsidR="000B2A76" w:rsidRPr="00D732F2" w:rsidRDefault="000B2A76" w:rsidP="000B2A76">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rsidR="000B2A76" w:rsidRDefault="000B2A76" w:rsidP="000B2A76">
      <w:pPr>
        <w:jc w:val="both"/>
        <w:rPr>
          <w:rStyle w:val="normaltextrun"/>
          <w:rFonts w:ascii="Palatino Linotype" w:hAnsi="Palatino Linotype" w:cs="Segoe UI"/>
        </w:rPr>
      </w:pPr>
    </w:p>
    <w:p w:rsidR="000B2A76" w:rsidRPr="00A408AE" w:rsidRDefault="000B2A76" w:rsidP="000B2A76">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Pr>
          <w:rFonts w:ascii="Palatino Linotype" w:hAnsi="Palatino Linotype"/>
          <w:b/>
          <w:sz w:val="23"/>
          <w:szCs w:val="23"/>
        </w:rPr>
        <w:t>es obligación</w:t>
      </w:r>
      <w:r w:rsidRPr="00AE3307">
        <w:rPr>
          <w:rFonts w:ascii="Palatino Linotype" w:hAnsi="Palatino Linotype"/>
          <w:b/>
          <w:sz w:val="23"/>
          <w:szCs w:val="23"/>
        </w:rPr>
        <w:t xml:space="preserve"> </w:t>
      </w:r>
      <w:r>
        <w:rPr>
          <w:rFonts w:ascii="Palatino Linotype" w:hAnsi="Palatino Linotype"/>
          <w:b/>
          <w:sz w:val="23"/>
          <w:szCs w:val="23"/>
        </w:rPr>
        <w:t xml:space="preserve">de </w:t>
      </w:r>
      <w:r w:rsidRPr="00AE3307">
        <w:rPr>
          <w:rFonts w:ascii="Palatino Linotype" w:hAnsi="Palatino Linotype"/>
          <w:b/>
          <w:sz w:val="23"/>
          <w:szCs w:val="23"/>
        </w:rPr>
        <w:t>los Sujeto Obligados</w:t>
      </w:r>
      <w:r>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rsidR="000B2A76" w:rsidRDefault="000B2A76" w:rsidP="000B2A76">
      <w:pPr>
        <w:spacing w:line="360" w:lineRule="auto"/>
        <w:jc w:val="both"/>
        <w:rPr>
          <w:rFonts w:ascii="Palatino Linotype" w:hAnsi="Palatino Linotype"/>
          <w:b/>
          <w:sz w:val="23"/>
          <w:szCs w:val="23"/>
        </w:rPr>
      </w:pPr>
      <w:r w:rsidRPr="007B2F7B">
        <w:rPr>
          <w:rFonts w:ascii="Palatino Linotype" w:hAnsi="Palatino Linotype"/>
          <w:sz w:val="23"/>
          <w:szCs w:val="23"/>
        </w:rPr>
        <w:lastRenderedPageBreak/>
        <w:t xml:space="preserve">Esto es, que, a través de la prueba de daño, </w:t>
      </w:r>
      <w:r w:rsidRPr="00AE3307">
        <w:rPr>
          <w:rFonts w:ascii="Palatino Linotype" w:hAnsi="Palatino Linotype"/>
          <w:b/>
          <w:sz w:val="23"/>
          <w:szCs w:val="23"/>
        </w:rPr>
        <w:t xml:space="preserve">los sujetos obligados expongan las razones, motivos o circunstancias especiales que los lleven a concluir que la información adquiere el carácter de reservada, y se ajusta a los supuestos previstos en la normatividad como fundamento. </w:t>
      </w:r>
    </w:p>
    <w:p w:rsidR="00D36CD9" w:rsidRDefault="000B2A76" w:rsidP="000B2A76">
      <w:pPr>
        <w:spacing w:before="240" w:after="240" w:line="360" w:lineRule="auto"/>
        <w:jc w:val="both"/>
        <w:rPr>
          <w:rFonts w:ascii="Palatino Linotype" w:hAnsi="Palatino Linotype"/>
          <w:sz w:val="23"/>
          <w:szCs w:val="23"/>
        </w:rPr>
      </w:pPr>
      <w:r>
        <w:rPr>
          <w:rFonts w:ascii="Palatino Linotype" w:hAnsi="Palatino Linotype"/>
          <w:sz w:val="23"/>
          <w:szCs w:val="23"/>
        </w:rPr>
        <w:t>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w:t>
      </w:r>
      <w:r w:rsidR="00D36CD9">
        <w:rPr>
          <w:rFonts w:ascii="Palatino Linotype" w:hAnsi="Palatino Linotype"/>
          <w:sz w:val="23"/>
          <w:szCs w:val="23"/>
        </w:rPr>
        <w:t xml:space="preserve">ecesarios para su clasificación. </w:t>
      </w:r>
    </w:p>
    <w:p w:rsidR="000B2A76" w:rsidRDefault="00D07D24" w:rsidP="000B2A76">
      <w:pPr>
        <w:spacing w:before="240" w:after="240" w:line="360" w:lineRule="auto"/>
        <w:jc w:val="both"/>
        <w:rPr>
          <w:rFonts w:ascii="Palatino Linotype" w:hAnsi="Palatino Linotype"/>
          <w:sz w:val="23"/>
          <w:szCs w:val="23"/>
        </w:rPr>
      </w:pPr>
      <w:r>
        <w:rPr>
          <w:rFonts w:ascii="Palatino Linotype" w:hAnsi="Palatino Linotype"/>
          <w:noProof/>
          <w:sz w:val="23"/>
          <w:szCs w:val="23"/>
          <w:lang w:eastAsia="es-MX"/>
        </w:rPr>
        <mc:AlternateContent>
          <mc:Choice Requires="wps">
            <w:drawing>
              <wp:anchor distT="0" distB="0" distL="114300" distR="114300" simplePos="0" relativeHeight="251659264" behindDoc="0" locked="0" layoutInCell="1" allowOverlap="1" wp14:anchorId="08811402" wp14:editId="5AE957FB">
                <wp:simplePos x="0" y="0"/>
                <wp:positionH relativeFrom="column">
                  <wp:posOffset>130174</wp:posOffset>
                </wp:positionH>
                <wp:positionV relativeFrom="paragraph">
                  <wp:posOffset>548005</wp:posOffset>
                </wp:positionV>
                <wp:extent cx="5457825" cy="492442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457825" cy="4924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A3D480"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5pt,43.15pt" to="440pt,4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EsuAEAALkDAAAOAAAAZHJzL2Uyb0RvYy54bWysU9uO0zAQfUfiHyy/06TdFnajpvvQFbwg&#10;qLh8gNcZNxa+aWya9O8ZO20WAUIrxIudsc85M2c82d6P1rATYNTetXy5qDkDJ32n3bHlX7+8fXXL&#10;WUzCdcJ4By0/Q+T3u5cvtkNoYOV7bzpARiIuNkNoeZ9SaKoqyh6siAsfwNGl8mhFohCPVYdiIHVr&#10;qlVdv64Gj11ALyFGOn2YLvmu6CsFMn1UKkJipuVUWyorlvUxr9VuK5ojitBreSlD/EMVVmhHSWep&#10;B5EE+476NymrJfroVVpIbyuvlJZQPJCbZf2Lm8+9CFC8UHNimNsU/5+s/HA6INNdy284c8LSE+3p&#10;oWTyyDBv7Cb3aAixIejeHfASxXDAbHhUaPNOVthY+nqe+wpjYpION+vNm9vVhjNJd+u71XpNAelU&#10;T/SAMb0Db1n+aLnRLhsXjTi9j2mCXiHEy+VMBZSvdDaQwcZ9AkVmKOWysMsYwd4gOwkagO7b8pK2&#10;IDNFaWNmUv130gWbaVBG67nEGV0yepdmotXO45+ypvFaqprwV9eT12z70Xfn8hylHTQfpaGXWc4D&#10;+HNc6E9/3O4HAAAA//8DAFBLAwQUAAYACAAAACEA6QBSr90AAAAJAQAADwAAAGRycy9kb3ducmV2&#10;LnhtbEyPzU7DMBCE70i8g7VI3KjdICIrxKmqSghxQTQtdzd2nYB/IttJw9uzPcFxZ0az39SbxVky&#10;65iG4AWsVwyI9l1QgzcCjoeXBw4kZemVtMFrAT86waa5vallpcLF7/XcZkOwxKdKCuhzHitKU9dr&#10;J9MqjNqjdw7RyYxnNFRFecFyZ2nBWEmdHDx+6OWod73uvtvJCbBvcf40O7NN0+u+bL8+zsX7YRbi&#10;/m7ZPgPJesl/YbjiIzo0yHQKk1eJWAEFe8KkAF4+AkGfc4bbTldhzYE2Nf2/oPkFAAD//wMAUEsB&#10;Ai0AFAAGAAgAAAAhALaDOJL+AAAA4QEAABMAAAAAAAAAAAAAAAAAAAAAAFtDb250ZW50X1R5cGVz&#10;XS54bWxQSwECLQAUAAYACAAAACEAOP0h/9YAAACUAQAACwAAAAAAAAAAAAAAAAAvAQAAX3JlbHMv&#10;LnJlbHNQSwECLQAUAAYACAAAACEAd+jhLLgBAAC5AwAADgAAAAAAAAAAAAAAAAAuAgAAZHJzL2Uy&#10;b0RvYy54bWxQSwECLQAUAAYACAAAACEA6QBSr90AAAAJAQAADwAAAAAAAAAAAAAAAAASBAAAZHJz&#10;L2Rvd25yZXYueG1sUEsFBgAAAAAEAAQA8wAAABwFAAAAAA==&#10;" strokecolor="black [3200]" strokeweight=".5pt">
                <v:stroke joinstyle="miter"/>
              </v:line>
            </w:pict>
          </mc:Fallback>
        </mc:AlternateContent>
      </w:r>
      <w:r w:rsidR="000B2A76" w:rsidRPr="000D7039">
        <w:rPr>
          <w:rFonts w:ascii="Palatino Linotype" w:hAnsi="Palatino Linotype"/>
          <w:sz w:val="23"/>
          <w:szCs w:val="23"/>
        </w:rPr>
        <w:t>Lo expuesto, constituyen las razones y fu</w:t>
      </w:r>
      <w:r w:rsidR="000B2A76">
        <w:rPr>
          <w:rFonts w:ascii="Palatino Linotype" w:hAnsi="Palatino Linotype"/>
          <w:sz w:val="23"/>
          <w:szCs w:val="23"/>
        </w:rPr>
        <w:t xml:space="preserve">ndamentos que me llevan a emitir </w:t>
      </w:r>
      <w:r w:rsidR="000B2A76" w:rsidRPr="00FB2266">
        <w:rPr>
          <w:rFonts w:ascii="Palatino Linotype" w:hAnsi="Palatino Linotype"/>
          <w:sz w:val="23"/>
          <w:szCs w:val="23"/>
        </w:rPr>
        <w:t>la opinión</w:t>
      </w:r>
      <w:r w:rsidR="000B2A76">
        <w:rPr>
          <w:rFonts w:ascii="Palatino Linotype" w:hAnsi="Palatino Linotype"/>
          <w:sz w:val="23"/>
          <w:szCs w:val="23"/>
        </w:rPr>
        <w:t xml:space="preserve"> </w:t>
      </w:r>
      <w:r w:rsidR="000B2A76" w:rsidRPr="000D7039">
        <w:rPr>
          <w:rFonts w:ascii="Palatino Linotype" w:hAnsi="Palatino Linotype"/>
          <w:sz w:val="23"/>
          <w:szCs w:val="23"/>
        </w:rPr>
        <w:t xml:space="preserve">particular que se ha expresado. </w:t>
      </w:r>
    </w:p>
    <w:p w:rsidR="000B2A76" w:rsidRDefault="000B2A76" w:rsidP="000B2A76">
      <w:pPr>
        <w:spacing w:before="240" w:after="240" w:line="360" w:lineRule="auto"/>
        <w:jc w:val="both"/>
        <w:rPr>
          <w:rFonts w:ascii="Palatino Linotype" w:hAnsi="Palatino Linotype"/>
          <w:sz w:val="23"/>
          <w:szCs w:val="23"/>
        </w:rPr>
      </w:pPr>
    </w:p>
    <w:p w:rsidR="000B2A76" w:rsidRDefault="000B2A76" w:rsidP="000B2A76">
      <w:pPr>
        <w:spacing w:before="240" w:after="240" w:line="360" w:lineRule="auto"/>
        <w:jc w:val="both"/>
        <w:rPr>
          <w:rFonts w:ascii="Palatino Linotype" w:hAnsi="Palatino Linotype"/>
          <w:sz w:val="23"/>
          <w:szCs w:val="23"/>
        </w:rPr>
        <w:sectPr w:rsidR="000B2A76"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rsidR="000B2A76" w:rsidRPr="000D7039" w:rsidRDefault="000B2A76" w:rsidP="000B2A76">
      <w:pPr>
        <w:spacing w:before="240" w:after="240" w:line="360" w:lineRule="auto"/>
        <w:jc w:val="both"/>
        <w:rPr>
          <w:rFonts w:ascii="Palatino Linotype" w:hAnsi="Palatino Linotype"/>
          <w:sz w:val="23"/>
          <w:szCs w:val="23"/>
        </w:rPr>
      </w:pPr>
    </w:p>
    <w:p w:rsidR="000B2A76" w:rsidRPr="000D7039" w:rsidRDefault="000B2A76" w:rsidP="000B2A76">
      <w:pPr>
        <w:spacing w:before="240" w:after="240" w:line="360" w:lineRule="auto"/>
        <w:jc w:val="center"/>
        <w:rPr>
          <w:rFonts w:ascii="Palatino Linotype" w:hAnsi="Palatino Linotype"/>
          <w:b/>
          <w:sz w:val="23"/>
          <w:szCs w:val="23"/>
        </w:rPr>
      </w:pPr>
    </w:p>
    <w:p w:rsidR="000B2A76" w:rsidRPr="000D7039" w:rsidRDefault="000B2A76" w:rsidP="000B2A76">
      <w:pPr>
        <w:spacing w:after="0" w:line="240" w:lineRule="auto"/>
        <w:jc w:val="center"/>
        <w:rPr>
          <w:rFonts w:ascii="Palatino Linotype" w:hAnsi="Palatino Linotype"/>
          <w:sz w:val="23"/>
          <w:szCs w:val="23"/>
        </w:rPr>
      </w:pPr>
    </w:p>
    <w:p w:rsidR="000B2A76" w:rsidRPr="000D7039" w:rsidRDefault="000B2A76" w:rsidP="000B2A76">
      <w:pPr>
        <w:spacing w:before="240" w:after="240" w:line="360" w:lineRule="auto"/>
        <w:rPr>
          <w:rFonts w:ascii="Palatino Linotype" w:hAnsi="Palatino Linotype"/>
          <w:sz w:val="24"/>
          <w:szCs w:val="24"/>
        </w:rPr>
      </w:pPr>
    </w:p>
    <w:p w:rsidR="000B2A76" w:rsidRDefault="000B2A76" w:rsidP="000B2A76"/>
    <w:p w:rsidR="000B2A76" w:rsidRDefault="000B2A76" w:rsidP="000B2A76"/>
    <w:p w:rsidR="00A1078F" w:rsidRDefault="002A05DA"/>
    <w:sectPr w:rsidR="00A1078F"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D54" w:rsidRDefault="000D4D54" w:rsidP="000B2A76">
      <w:pPr>
        <w:spacing w:after="0" w:line="240" w:lineRule="auto"/>
      </w:pPr>
      <w:r>
        <w:separator/>
      </w:r>
    </w:p>
  </w:endnote>
  <w:endnote w:type="continuationSeparator" w:id="0">
    <w:p w:rsidR="000D4D54" w:rsidRDefault="000D4D54" w:rsidP="000B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E1501A"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A05DA">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A05DA">
      <w:rPr>
        <w:rFonts w:ascii="Arial" w:hAnsi="Arial" w:cs="Arial"/>
        <w:b/>
        <w:bCs/>
        <w:noProof/>
        <w:sz w:val="20"/>
        <w:szCs w:val="20"/>
      </w:rPr>
      <w:t>8</w:t>
    </w:r>
    <w:r w:rsidRPr="00986599">
      <w:rPr>
        <w:rFonts w:ascii="Arial" w:hAnsi="Arial" w:cs="Arial"/>
        <w:b/>
        <w:bCs/>
        <w:sz w:val="20"/>
        <w:szCs w:val="20"/>
      </w:rPr>
      <w:fldChar w:fldCharType="end"/>
    </w:r>
  </w:p>
  <w:p w:rsidR="00D758BE" w:rsidRDefault="002A05DA"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D54" w:rsidRDefault="000D4D54" w:rsidP="000B2A76">
      <w:pPr>
        <w:spacing w:after="0" w:line="240" w:lineRule="auto"/>
      </w:pPr>
      <w:r>
        <w:separator/>
      </w:r>
    </w:p>
  </w:footnote>
  <w:footnote w:type="continuationSeparator" w:id="0">
    <w:p w:rsidR="000D4D54" w:rsidRDefault="000D4D54" w:rsidP="000B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A05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49" type="#_x0000_t136" style="position:absolute;margin-left:0;margin-top:0;width:518.25pt;height:111.05pt;rotation:315;z-index:-25165824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E1501A">
      <w:rPr>
        <w:noProof/>
        <w:lang w:val="es-MX" w:eastAsia="es-MX"/>
      </w:rPr>
      <mc:AlternateContent>
        <mc:Choice Requires="wps">
          <w:drawing>
            <wp:anchor distT="0" distB="0" distL="114300" distR="114300" simplePos="0" relativeHeight="251659264" behindDoc="1" locked="0" layoutInCell="0" allowOverlap="1" wp14:anchorId="38E550CA" wp14:editId="50591D3D">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E550CA"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rsidR="00707B13" w:rsidRDefault="00E1501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Pr="000D4A99" w:rsidRDefault="00E1501A"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5C38E6C" wp14:editId="3A3B6FDF">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rsidR="00706042" w:rsidRPr="00FB2266" w:rsidRDefault="00E1501A"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Pr="00FB2266">
      <w:rPr>
        <w:rFonts w:ascii="Palatino Linotype" w:hAnsi="Palatino Linotype" w:cs="Arial"/>
        <w:b/>
        <w:sz w:val="22"/>
        <w:szCs w:val="22"/>
      </w:rPr>
      <w:t xml:space="preserve">OPINIÓN PARTICULAR </w:t>
    </w:r>
  </w:p>
  <w:p w:rsidR="00233AB2" w:rsidRPr="00475038" w:rsidRDefault="00E1501A"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D07D24">
      <w:rPr>
        <w:rFonts w:ascii="Palatino Linotype" w:hAnsi="Palatino Linotype" w:cs="Arial"/>
        <w:b/>
        <w:sz w:val="22"/>
        <w:szCs w:val="22"/>
      </w:rPr>
      <w:t>3961</w:t>
    </w:r>
    <w:r w:rsidRPr="00FB2266">
      <w:rPr>
        <w:rFonts w:ascii="Palatino Linotype" w:hAnsi="Palatino Linotype" w:cs="Arial"/>
        <w:b/>
        <w:sz w:val="22"/>
        <w:szCs w:val="22"/>
      </w:rPr>
      <w:t>/INFOEM/IP/RR/2022</w:t>
    </w:r>
  </w:p>
  <w:p w:rsidR="000B1C1F" w:rsidRPr="000D4A99" w:rsidRDefault="002A05DA"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2A05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0"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C2" w:rsidRPr="000D4A99" w:rsidRDefault="002A05DA" w:rsidP="007263BB">
    <w:pPr>
      <w:pStyle w:val="Encabezado"/>
      <w:jc w:val="right"/>
      <w:rPr>
        <w:rFonts w:ascii="Arial" w:hAnsi="Arial" w:cs="Arial"/>
        <w:sz w:val="20"/>
        <w:szCs w:val="20"/>
      </w:rPr>
    </w:pPr>
  </w:p>
  <w:p w:rsidR="00F029C2" w:rsidRPr="000D4A99" w:rsidRDefault="002A05DA" w:rsidP="007263BB">
    <w:pPr>
      <w:pStyle w:val="Encabezado"/>
      <w:jc w:val="right"/>
      <w:rPr>
        <w:rFonts w:ascii="Arial" w:hAnsi="Arial" w:cs="Arial"/>
        <w:sz w:val="20"/>
        <w:szCs w:val="20"/>
      </w:rPr>
    </w:pPr>
  </w:p>
  <w:p w:rsidR="00F029C2" w:rsidRPr="000D4A99" w:rsidRDefault="002A05DA" w:rsidP="007263BB">
    <w:pPr>
      <w:pStyle w:val="Encabezado"/>
      <w:jc w:val="right"/>
      <w:rPr>
        <w:rFonts w:ascii="Arial" w:hAnsi="Arial" w:cs="Arial"/>
        <w:sz w:val="20"/>
        <w:szCs w:val="20"/>
      </w:rPr>
    </w:pPr>
  </w:p>
  <w:p w:rsidR="00F029C2" w:rsidRPr="000D4A99" w:rsidRDefault="00E1501A"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rsidR="00F029C2" w:rsidRPr="000D4A99" w:rsidRDefault="002A05DA" w:rsidP="007263BB">
    <w:pPr>
      <w:pStyle w:val="Encabezado"/>
      <w:jc w:val="right"/>
      <w:rPr>
        <w:rFonts w:ascii="Palatino Linotype" w:hAnsi="Palatino Linotype" w:cs="Arial"/>
        <w:sz w:val="20"/>
        <w:szCs w:val="20"/>
      </w:rPr>
    </w:pPr>
  </w:p>
  <w:p w:rsidR="00F029C2" w:rsidRPr="000D4A99" w:rsidRDefault="002A05DA"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053B32"/>
    <w:multiLevelType w:val="hybridMultilevel"/>
    <w:tmpl w:val="631E01BE"/>
    <w:lvl w:ilvl="0" w:tplc="311EB3D2">
      <w:start w:val="1"/>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0241F69"/>
    <w:multiLevelType w:val="hybridMultilevel"/>
    <w:tmpl w:val="51520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2B2288"/>
    <w:multiLevelType w:val="hybridMultilevel"/>
    <w:tmpl w:val="DC125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644CED"/>
    <w:multiLevelType w:val="hybridMultilevel"/>
    <w:tmpl w:val="DA4AF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07702A"/>
    <w:multiLevelType w:val="hybridMultilevel"/>
    <w:tmpl w:val="AA04E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E772129"/>
    <w:multiLevelType w:val="hybridMultilevel"/>
    <w:tmpl w:val="60341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A76"/>
    <w:rsid w:val="00043469"/>
    <w:rsid w:val="00081965"/>
    <w:rsid w:val="000B2A76"/>
    <w:rsid w:val="000D4D54"/>
    <w:rsid w:val="00275288"/>
    <w:rsid w:val="002A05DA"/>
    <w:rsid w:val="004A63C4"/>
    <w:rsid w:val="007213EF"/>
    <w:rsid w:val="0081741B"/>
    <w:rsid w:val="008E58A8"/>
    <w:rsid w:val="00977DEC"/>
    <w:rsid w:val="00A0212F"/>
    <w:rsid w:val="00A22313"/>
    <w:rsid w:val="00AF1499"/>
    <w:rsid w:val="00AF53CA"/>
    <w:rsid w:val="00BA53BA"/>
    <w:rsid w:val="00BD6E2C"/>
    <w:rsid w:val="00D07D24"/>
    <w:rsid w:val="00D36CD9"/>
    <w:rsid w:val="00E1501A"/>
    <w:rsid w:val="00EB4154"/>
    <w:rsid w:val="00EE5423"/>
    <w:rsid w:val="00EF5CE8"/>
    <w:rsid w:val="00F06A7B"/>
    <w:rsid w:val="00F767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DAAAEB7-2330-48E2-B1F4-879413DB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1680</Words>
  <Characters>9244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2022-07-04T15:39:00Z</cp:lastPrinted>
  <dcterms:created xsi:type="dcterms:W3CDTF">2022-07-01T17:09:00Z</dcterms:created>
  <dcterms:modified xsi:type="dcterms:W3CDTF">2022-07-04T15:40:00Z</dcterms:modified>
</cp:coreProperties>
</file>