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A2" w:rsidRPr="006249E8" w:rsidRDefault="00095CA2" w:rsidP="006249E8">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E75DA1" id="_x0000_t202" coordsize="21600,21600" o:spt="202" path="m,l,21600r21600,l21600,xe">
                <v:stroke joinstyle="miter"/>
                <v:path gradientshapeok="t" o:connecttype="rect"/>
              </v:shapetype>
              <v:shape id="Cuadro de texto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69B402DA" id="Cuadro de texto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" filled="f" stroked="f">
                <o:lock v:ext="edit" selection="t" text="t" shapetype="t"/>
              </v:shape>
            </w:pict>
          </mc:Fallback>
        </mc:AlternateContent>
      </w: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TRIGÉSIMA SÉPTIMA SESIÓN ORDINARIA DEL DOCE DE OCTUBRE DE DOS MIL VEINTIDÓS, EN EL RECURSO DE REVISIÓN </w:t>
      </w:r>
      <w:r w:rsidRPr="00095CA2">
        <w:rPr>
          <w:rFonts w:ascii="Palatino Linotype" w:eastAsia="Palatino Linotype" w:hAnsi="Palatino Linotype" w:cs="Palatino Linotype"/>
          <w:b/>
          <w:sz w:val="24"/>
          <w:szCs w:val="24"/>
        </w:rPr>
        <w:t>11266/INFOEM/IP/RR/2022</w:t>
      </w:r>
      <w:r>
        <w:rPr>
          <w:rFonts w:ascii="Palatino Linotype" w:eastAsia="Palatino Linotype" w:hAnsi="Palatino Linotype" w:cs="Palatino Linotype"/>
          <w:b/>
          <w:sz w:val="24"/>
          <w:szCs w:val="24"/>
        </w:rPr>
        <w:t>.</w:t>
      </w:r>
    </w:p>
    <w:p w:rsidR="00095CA2" w:rsidRDefault="00095CA2" w:rsidP="00095C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w:t>
      </w:r>
      <w:r w:rsidR="003C5675">
        <w:rPr>
          <w:rFonts w:ascii="Palatino Linotype" w:eastAsia="Palatino Linotype" w:hAnsi="Palatino Linotype" w:cs="Palatino Linotype"/>
          <w:sz w:val="24"/>
          <w:szCs w:val="24"/>
        </w:rPr>
        <w:t>mayoría</w:t>
      </w:r>
      <w:r>
        <w:rPr>
          <w:rFonts w:ascii="Palatino Linotype" w:eastAsia="Palatino Linotype" w:hAnsi="Palatino Linotype" w:cs="Palatino Linotype"/>
          <w:sz w:val="24"/>
          <w:szCs w:val="24"/>
        </w:rPr>
        <w:t xml:space="preserve"> de votos, la resolución relativa al recurso de revisión número </w:t>
      </w:r>
      <w:r w:rsidRPr="00095CA2">
        <w:rPr>
          <w:rFonts w:ascii="Palatino Linotype" w:eastAsia="Palatino Linotype" w:hAnsi="Palatino Linotype" w:cs="Palatino Linotype"/>
          <w:b/>
          <w:sz w:val="24"/>
          <w:szCs w:val="24"/>
        </w:rPr>
        <w:t>11266/INFOEM/IP/RR/2022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095CA2" w:rsidRDefault="00095CA2" w:rsidP="00095C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095CA2" w:rsidRDefault="00095CA2" w:rsidP="00095C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w:t>
      </w:r>
      <w:r w:rsidRPr="00095CA2">
        <w:rPr>
          <w:rFonts w:ascii="Palatino Linotype" w:eastAsia="Palatino Linotype" w:hAnsi="Palatino Linotype" w:cs="Palatino Linotype"/>
          <w:sz w:val="24"/>
          <w:szCs w:val="24"/>
        </w:rPr>
        <w:t>Ayuntamiento de Tepetlaoxtoc</w:t>
      </w:r>
      <w:r>
        <w:rPr>
          <w:rFonts w:ascii="Palatino Linotype" w:eastAsia="Palatino Linotype" w:hAnsi="Palatino Linotype" w:cs="Palatino Linotype"/>
          <w:sz w:val="24"/>
          <w:szCs w:val="24"/>
        </w:rPr>
        <w:t>, hiciera entrega de:</w:t>
      </w:r>
    </w:p>
    <w:p w:rsidR="00095CA2" w:rsidRPr="00095CA2" w:rsidRDefault="00095CA2" w:rsidP="00095CA2">
      <w:pPr>
        <w:pStyle w:val="Prrafodelista"/>
        <w:numPr>
          <w:ilvl w:val="0"/>
          <w:numId w:val="1"/>
        </w:numPr>
        <w:spacing w:line="360" w:lineRule="auto"/>
        <w:jc w:val="both"/>
        <w:rPr>
          <w:sz w:val="24"/>
        </w:rPr>
      </w:pPr>
      <w:r w:rsidRPr="00095CA2">
        <w:rPr>
          <w:rFonts w:ascii="Palatino Linotype" w:hAnsi="Palatino Linotype" w:cs="Tahoma"/>
          <w:iCs/>
          <w:sz w:val="24"/>
          <w:lang w:eastAsia="es-ES_tradnl"/>
        </w:rPr>
        <w:lastRenderedPageBreak/>
        <w:t xml:space="preserve">Las nóminas detalladas del primer trimestre de 2022, con nombre del servidor con un apellido, sueldo base diario, gratificación, sueldo base quincenal, gratificación quincenal, ingresos extraordinarios quincenales, retenciones de ISR e ISSEMYM (detallado por cada porcentaje), Total de percepciones, total de deducciones, total neto. </w:t>
      </w:r>
    </w:p>
    <w:p w:rsidR="00095CA2" w:rsidRPr="00095CA2" w:rsidRDefault="00095CA2" w:rsidP="00095CA2">
      <w:pPr>
        <w:pStyle w:val="Prrafodelista"/>
        <w:numPr>
          <w:ilvl w:val="0"/>
          <w:numId w:val="1"/>
        </w:numPr>
        <w:spacing w:line="360" w:lineRule="auto"/>
        <w:jc w:val="both"/>
        <w:rPr>
          <w:sz w:val="24"/>
        </w:rPr>
      </w:pPr>
      <w:r w:rsidRPr="00095CA2">
        <w:rPr>
          <w:rFonts w:ascii="Palatino Linotype" w:hAnsi="Palatino Linotype" w:cs="Tahoma"/>
          <w:iCs/>
          <w:sz w:val="24"/>
          <w:lang w:eastAsia="es-ES_tradnl"/>
        </w:rPr>
        <w:t xml:space="preserve">Facturas pagadas a ISSEMYM del mencionado trimestre </w:t>
      </w:r>
    </w:p>
    <w:p w:rsidR="00095CA2" w:rsidRPr="00095CA2" w:rsidRDefault="00095CA2" w:rsidP="00095CA2">
      <w:pPr>
        <w:pStyle w:val="Prrafodelista"/>
        <w:numPr>
          <w:ilvl w:val="0"/>
          <w:numId w:val="1"/>
        </w:numPr>
        <w:spacing w:line="360" w:lineRule="auto"/>
        <w:jc w:val="both"/>
        <w:rPr>
          <w:sz w:val="24"/>
        </w:rPr>
      </w:pPr>
      <w:r w:rsidRPr="00095CA2">
        <w:rPr>
          <w:rFonts w:ascii="Palatino Linotype" w:hAnsi="Palatino Linotype" w:cs="Tahoma"/>
          <w:iCs/>
          <w:sz w:val="24"/>
          <w:lang w:eastAsia="es-ES_tradnl"/>
        </w:rPr>
        <w:t>El entero del pago de las retenciones de ISR de enero a marzo de 2022 al SAT lo que son las declaraciones y el acuse, junto con el comprobante de las transferencias realizadas de los meses de enero, febrero y marzo de 2022.</w:t>
      </w:r>
    </w:p>
    <w:p w:rsidR="00095CA2" w:rsidRPr="00095CA2" w:rsidRDefault="00095CA2" w:rsidP="00095CA2">
      <w:pPr>
        <w:pStyle w:val="Prrafodelista"/>
        <w:numPr>
          <w:ilvl w:val="0"/>
          <w:numId w:val="1"/>
        </w:numPr>
        <w:spacing w:line="360" w:lineRule="auto"/>
        <w:jc w:val="both"/>
        <w:rPr>
          <w:sz w:val="24"/>
        </w:rPr>
      </w:pPr>
      <w:r w:rsidRPr="00095CA2">
        <w:rPr>
          <w:rFonts w:ascii="Palatino Linotype" w:hAnsi="Palatino Linotype" w:cs="Tahoma"/>
          <w:iCs/>
          <w:sz w:val="24"/>
          <w:lang w:eastAsia="es-ES_tradnl"/>
        </w:rPr>
        <w:t>El tabulador de sueldos de la administración 2022-2024 correspondiente al ejercicio 2022</w:t>
      </w:r>
      <w:r>
        <w:rPr>
          <w:rFonts w:ascii="Palatino Linotype" w:hAnsi="Palatino Linotype" w:cs="Tahoma"/>
          <w:iCs/>
          <w:sz w:val="24"/>
          <w:lang w:eastAsia="es-ES_tradnl"/>
        </w:rPr>
        <w:t>.</w:t>
      </w:r>
    </w:p>
    <w:p w:rsidR="00095CA2" w:rsidRDefault="00095CA2" w:rsidP="00095C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w:t>
      </w:r>
      <w:r w:rsidR="00246E4F">
        <w:rPr>
          <w:rFonts w:ascii="Palatino Linotype" w:eastAsia="Palatino Linotype" w:hAnsi="Palatino Linotype" w:cs="Palatino Linotype"/>
          <w:sz w:val="24"/>
          <w:szCs w:val="24"/>
        </w:rPr>
        <w:t>rmación Mexiquense (SAIMEX), en su respuesta lo siguiente:</w:t>
      </w:r>
      <w:r>
        <w:rPr>
          <w:rFonts w:ascii="Palatino Linotype" w:eastAsia="Palatino Linotype" w:hAnsi="Palatino Linotype" w:cs="Palatino Linotype"/>
          <w:sz w:val="24"/>
          <w:szCs w:val="24"/>
        </w:rPr>
        <w:t xml:space="preserve"> </w:t>
      </w:r>
    </w:p>
    <w:p w:rsidR="00246E4F" w:rsidRPr="003C5675" w:rsidRDefault="00246E4F" w:rsidP="00246E4F">
      <w:pPr>
        <w:pStyle w:val="Prrafodelista"/>
        <w:numPr>
          <w:ilvl w:val="0"/>
          <w:numId w:val="1"/>
        </w:numPr>
        <w:spacing w:line="360" w:lineRule="auto"/>
        <w:jc w:val="both"/>
        <w:rPr>
          <w:rFonts w:ascii="Palatino Linotype" w:hAnsi="Palatino Linotype" w:cs="Tahoma"/>
          <w:sz w:val="24"/>
        </w:rPr>
      </w:pPr>
      <w:r w:rsidRPr="00246E4F">
        <w:rPr>
          <w:rFonts w:ascii="Palatino Linotype" w:hAnsi="Palatino Linotype" w:cs="Tahoma"/>
          <w:sz w:val="24"/>
        </w:rPr>
        <w:t>Remitió la información del detalle anual de remuneraciones que recibirá el personal del Ayuntamiento, incluidos nombres que debieron ser clasificados.</w:t>
      </w:r>
    </w:p>
    <w:p w:rsidR="00246E4F" w:rsidRPr="003C5675" w:rsidRDefault="00246E4F" w:rsidP="00246E4F">
      <w:pPr>
        <w:pStyle w:val="Prrafodelista"/>
        <w:numPr>
          <w:ilvl w:val="0"/>
          <w:numId w:val="1"/>
        </w:numPr>
        <w:spacing w:line="360" w:lineRule="auto"/>
        <w:jc w:val="both"/>
        <w:rPr>
          <w:rFonts w:ascii="Palatino Linotype" w:hAnsi="Palatino Linotype" w:cs="Tahoma"/>
          <w:sz w:val="24"/>
        </w:rPr>
      </w:pPr>
      <w:r w:rsidRPr="00246E4F">
        <w:rPr>
          <w:rFonts w:ascii="Palatino Linotype" w:hAnsi="Palatino Linotype" w:cs="Tahoma"/>
          <w:sz w:val="24"/>
        </w:rPr>
        <w:t xml:space="preserve">Diferentes referencias de pago </w:t>
      </w:r>
    </w:p>
    <w:p w:rsidR="00246E4F" w:rsidRPr="003C5675" w:rsidRDefault="00246E4F" w:rsidP="003C5675">
      <w:pPr>
        <w:pStyle w:val="Prrafodelista"/>
        <w:numPr>
          <w:ilvl w:val="0"/>
          <w:numId w:val="1"/>
        </w:numPr>
        <w:spacing w:line="360" w:lineRule="auto"/>
        <w:jc w:val="both"/>
        <w:rPr>
          <w:sz w:val="24"/>
        </w:rPr>
      </w:pPr>
      <w:r w:rsidRPr="00246E4F">
        <w:rPr>
          <w:rFonts w:ascii="Palatino Linotype" w:hAnsi="Palatino Linotype" w:cs="Tahoma"/>
          <w:sz w:val="24"/>
        </w:rPr>
        <w:t>El acuse de recibo de las declaraciones solicitadas</w:t>
      </w:r>
    </w:p>
    <w:p w:rsidR="00095CA2" w:rsidRPr="00246E4F" w:rsidRDefault="00246E4F" w:rsidP="00246E4F">
      <w:pPr>
        <w:pStyle w:val="Prrafodelista"/>
        <w:numPr>
          <w:ilvl w:val="0"/>
          <w:numId w:val="1"/>
        </w:numPr>
        <w:spacing w:line="360" w:lineRule="auto"/>
        <w:jc w:val="both"/>
        <w:rPr>
          <w:sz w:val="24"/>
        </w:rPr>
      </w:pPr>
      <w:r w:rsidRPr="00246E4F">
        <w:rPr>
          <w:rFonts w:ascii="Palatino Linotype" w:hAnsi="Palatino Linotype" w:cs="Tahoma"/>
          <w:sz w:val="24"/>
        </w:rPr>
        <w:t xml:space="preserve">El Tabulador de sueldos </w:t>
      </w:r>
    </w:p>
    <w:p w:rsidR="00246E4F" w:rsidRPr="00246E4F" w:rsidRDefault="00246E4F" w:rsidP="00246E4F">
      <w:pPr>
        <w:spacing w:line="360" w:lineRule="auto"/>
        <w:jc w:val="both"/>
        <w:rPr>
          <w:sz w:val="24"/>
        </w:rPr>
      </w:pPr>
    </w:p>
    <w:p w:rsidR="00095CA2" w:rsidRDefault="00095CA2" w:rsidP="00095CA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w:t>
      </w:r>
      <w:r w:rsidR="003C5675">
        <w:rPr>
          <w:rFonts w:ascii="Palatino Linotype" w:eastAsia="Palatino Linotype" w:hAnsi="Palatino Linotype" w:cs="Palatino Linotype"/>
          <w:sz w:val="24"/>
          <w:szCs w:val="24"/>
        </w:rPr>
        <w:t>onocida la respuesta</w:t>
      </w:r>
      <w:r>
        <w:rPr>
          <w:rFonts w:ascii="Palatino Linotype" w:eastAsia="Palatino Linotype" w:hAnsi="Palatino Linotype" w:cs="Palatino Linotype"/>
          <w:sz w:val="24"/>
          <w:szCs w:val="24"/>
        </w:rPr>
        <w:t xml:space="preserve">, al no estar conforme con los términos de la misma, la persona solicitante presentó </w:t>
      </w:r>
      <w:r w:rsidR="00246E4F">
        <w:rPr>
          <w:rFonts w:ascii="Palatino Linotype" w:eastAsia="Palatino Linotype" w:hAnsi="Palatino Linotype" w:cs="Palatino Linotype"/>
          <w:sz w:val="24"/>
          <w:szCs w:val="24"/>
        </w:rPr>
        <w:t>el</w:t>
      </w:r>
      <w:r>
        <w:rPr>
          <w:rFonts w:ascii="Palatino Linotype" w:eastAsia="Palatino Linotype" w:hAnsi="Palatino Linotype" w:cs="Palatino Linotype"/>
          <w:sz w:val="24"/>
          <w:szCs w:val="24"/>
        </w:rPr>
        <w:t xml:space="preserve"> recurso de revisión mediante </w:t>
      </w:r>
      <w:r w:rsidR="00246E4F">
        <w:rPr>
          <w:rFonts w:ascii="Palatino Linotype" w:eastAsia="Palatino Linotype" w:hAnsi="Palatino Linotype" w:cs="Palatino Linotype"/>
          <w:sz w:val="24"/>
          <w:szCs w:val="24"/>
        </w:rPr>
        <w:t>el</w:t>
      </w:r>
      <w:r>
        <w:rPr>
          <w:rFonts w:ascii="Palatino Linotype" w:eastAsia="Palatino Linotype" w:hAnsi="Palatino Linotype" w:cs="Palatino Linotype"/>
          <w:sz w:val="24"/>
          <w:szCs w:val="24"/>
        </w:rPr>
        <w:t xml:space="preserve"> cual señaló como: </w:t>
      </w:r>
    </w:p>
    <w:p w:rsidR="00095CA2" w:rsidRDefault="00095CA2" w:rsidP="00095CA2">
      <w:pPr>
        <w:spacing w:after="0" w:line="360" w:lineRule="auto"/>
        <w:ind w:right="-3"/>
        <w:jc w:val="both"/>
        <w:rPr>
          <w:rFonts w:ascii="Palatino Linotype" w:eastAsia="Palatino Linotype" w:hAnsi="Palatino Linotype" w:cs="Palatino Linotype"/>
          <w:sz w:val="24"/>
          <w:szCs w:val="24"/>
        </w:rPr>
      </w:pPr>
    </w:p>
    <w:p w:rsidR="00095CA2" w:rsidRDefault="00095CA2" w:rsidP="00095CA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ACTO IMPUGNADO</w:t>
      </w:r>
    </w:p>
    <w:p w:rsidR="00095CA2" w:rsidRDefault="00095CA2" w:rsidP="00095CA2">
      <w:pPr>
        <w:spacing w:after="0" w:line="360" w:lineRule="auto"/>
        <w:ind w:left="566" w:right="-3"/>
        <w:jc w:val="both"/>
        <w:rPr>
          <w:rFonts w:ascii="Palatino Linotype" w:eastAsia="Palatino Linotype" w:hAnsi="Palatino Linotype" w:cs="Palatino Linotype"/>
          <w:i/>
        </w:rPr>
      </w:pPr>
      <w:r>
        <w:rPr>
          <w:rFonts w:ascii="Palatino Linotype" w:eastAsia="Palatino Linotype" w:hAnsi="Palatino Linotype" w:cs="Palatino Linotype"/>
          <w:i/>
        </w:rPr>
        <w:t>“</w:t>
      </w:r>
      <w:r w:rsidR="00246E4F" w:rsidRPr="00246E4F">
        <w:rPr>
          <w:rFonts w:ascii="Palatino Linotype" w:eastAsia="Palatino Linotype" w:hAnsi="Palatino Linotype" w:cs="Palatino Linotype"/>
          <w:i/>
        </w:rPr>
        <w:t>Información Incompleta</w:t>
      </w:r>
      <w:r>
        <w:rPr>
          <w:rFonts w:ascii="Palatino Linotype" w:eastAsia="Palatino Linotype" w:hAnsi="Palatino Linotype" w:cs="Palatino Linotype"/>
          <w:i/>
        </w:rPr>
        <w:t>”</w:t>
      </w:r>
    </w:p>
    <w:p w:rsidR="00095CA2" w:rsidRDefault="00095CA2" w:rsidP="00095CA2">
      <w:pPr>
        <w:spacing w:after="0" w:line="360" w:lineRule="auto"/>
        <w:ind w:right="-3"/>
        <w:jc w:val="both"/>
        <w:rPr>
          <w:rFonts w:ascii="Palatino Linotype" w:eastAsia="Palatino Linotype" w:hAnsi="Palatino Linotype" w:cs="Palatino Linotype"/>
          <w:sz w:val="24"/>
          <w:szCs w:val="24"/>
        </w:rPr>
      </w:pPr>
    </w:p>
    <w:p w:rsidR="00095CA2" w:rsidRDefault="00095CA2" w:rsidP="00095CA2">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O MOTIVOS DE LA INCONFORMIDAD</w:t>
      </w:r>
    </w:p>
    <w:p w:rsidR="00095CA2" w:rsidRDefault="00095CA2" w:rsidP="00C05A5D">
      <w:pPr>
        <w:spacing w:after="0" w:line="276" w:lineRule="auto"/>
        <w:ind w:left="566" w:right="436"/>
        <w:jc w:val="both"/>
        <w:rPr>
          <w:rFonts w:ascii="Palatino Linotype" w:eastAsia="Palatino Linotype" w:hAnsi="Palatino Linotype" w:cs="Palatino Linotype"/>
          <w:sz w:val="24"/>
          <w:szCs w:val="24"/>
        </w:rPr>
      </w:pPr>
      <w:r>
        <w:rPr>
          <w:rFonts w:ascii="Palatino Linotype" w:eastAsia="Palatino Linotype" w:hAnsi="Palatino Linotype" w:cs="Palatino Linotype"/>
          <w:i/>
        </w:rPr>
        <w:t>“</w:t>
      </w:r>
      <w:r w:rsidR="00246E4F" w:rsidRPr="00246E4F">
        <w:rPr>
          <w:rFonts w:ascii="Palatino Linotype" w:eastAsia="Palatino Linotype" w:hAnsi="Palatino Linotype" w:cs="Palatino Linotype"/>
          <w:i/>
        </w:rPr>
        <w:t>En mi solicitud pedí, las declaraciones al SAT y el acuse. Solo me mandan el acuse. Están pendientes las declaraciones. También solicite la nomina detallada del primer trimestre de 2022. Con algunos datos específicamente. Y estas no fueron anexadas. Me mandan el tabulador de sueldos y el formato de remuneraciones de servidores públicos, ese formato no suple la información que solicito en la nomina, pues los dos primeros son parte del presupuesto del año 2022, pero no es lo real que se pago. Por lo que nuevamente solicito las nominas de las 6 primeras quincenas del ejercicio 2022. Con los detalles mencionados en mi solicitud 00070/TEPETLAO/IP/2022. De antemano gracias por la información recibida y quedo en espera de la complementaria.</w:t>
      </w:r>
      <w:r>
        <w:rPr>
          <w:rFonts w:ascii="Palatino Linotype" w:eastAsia="Palatino Linotype" w:hAnsi="Palatino Linotype" w:cs="Palatino Linotype"/>
          <w:i/>
        </w:rPr>
        <w:t>” (si</w:t>
      </w:r>
      <w:r>
        <w:rPr>
          <w:rFonts w:ascii="Palatino Linotype" w:eastAsia="Palatino Linotype" w:hAnsi="Palatino Linotype" w:cs="Palatino Linotype"/>
          <w:sz w:val="24"/>
          <w:szCs w:val="24"/>
        </w:rPr>
        <w:t>c)</w:t>
      </w:r>
    </w:p>
    <w:p w:rsidR="00095CA2" w:rsidRDefault="00095CA2" w:rsidP="00095CA2">
      <w:pPr>
        <w:spacing w:after="0" w:line="360" w:lineRule="auto"/>
        <w:ind w:right="-3"/>
        <w:jc w:val="both"/>
        <w:rPr>
          <w:rFonts w:ascii="Palatino Linotype" w:eastAsia="Palatino Linotype" w:hAnsi="Palatino Linotype" w:cs="Palatino Linotype"/>
          <w:sz w:val="24"/>
          <w:szCs w:val="24"/>
        </w:rPr>
      </w:pPr>
    </w:p>
    <w:p w:rsidR="00095CA2" w:rsidRDefault="00095CA2" w:rsidP="00095CA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w:t>
      </w:r>
      <w:r w:rsidR="00246E4F">
        <w:rPr>
          <w:rFonts w:ascii="Palatino Linotype" w:eastAsia="Palatino Linotype" w:hAnsi="Palatino Linotype" w:cs="Palatino Linotype"/>
          <w:sz w:val="24"/>
          <w:szCs w:val="24"/>
        </w:rPr>
        <w:t>por lo que el Sujeto Obligado,  s</w:t>
      </w:r>
      <w:r w:rsidR="00246E4F" w:rsidRPr="00246E4F">
        <w:rPr>
          <w:rFonts w:ascii="Palatino Linotype" w:eastAsia="Palatino Linotype" w:hAnsi="Palatino Linotype" w:cs="Palatino Linotype"/>
          <w:sz w:val="24"/>
          <w:szCs w:val="24"/>
        </w:rPr>
        <w:t>eñaló adjuntar la nómina detallada del primer trimestre del año dos mil veintidós, sin embargo no fue posible ponerla a la vista del Particular, por dejar visible el nombre de eleme</w:t>
      </w:r>
      <w:r w:rsidR="00246E4F">
        <w:rPr>
          <w:rFonts w:ascii="Palatino Linotype" w:eastAsia="Palatino Linotype" w:hAnsi="Palatino Linotype" w:cs="Palatino Linotype"/>
          <w:sz w:val="24"/>
          <w:szCs w:val="24"/>
        </w:rPr>
        <w:t xml:space="preserve">ntos operativos, de igual </w:t>
      </w:r>
      <w:r w:rsidR="00246E4F">
        <w:rPr>
          <w:rFonts w:ascii="Palatino Linotype" w:eastAsia="Palatino Linotype" w:hAnsi="Palatino Linotype" w:cs="Palatino Linotype"/>
          <w:sz w:val="24"/>
          <w:szCs w:val="24"/>
        </w:rPr>
        <w:lastRenderedPageBreak/>
        <w:t xml:space="preserve">forma </w:t>
      </w:r>
      <w:r w:rsidR="00246E4F" w:rsidRPr="00246E4F">
        <w:rPr>
          <w:rFonts w:ascii="Palatino Linotype" w:eastAsia="Palatino Linotype" w:hAnsi="Palatino Linotype" w:cs="Palatino Linotype"/>
          <w:sz w:val="24"/>
          <w:szCs w:val="24"/>
        </w:rPr>
        <w:t>envió las declaraciones de impuestos federales de ISR retenciones por salarios, de los meses de ene</w:t>
      </w:r>
      <w:r w:rsidR="00246E4F">
        <w:rPr>
          <w:rFonts w:ascii="Palatino Linotype" w:eastAsia="Palatino Linotype" w:hAnsi="Palatino Linotype" w:cs="Palatino Linotype"/>
          <w:sz w:val="24"/>
          <w:szCs w:val="24"/>
        </w:rPr>
        <w:t xml:space="preserve">ro a abril de dos mil veintidós, no obstante a lo anterior </w:t>
      </w:r>
      <w:r>
        <w:rPr>
          <w:rFonts w:ascii="Palatino Linotype" w:eastAsia="Palatino Linotype" w:hAnsi="Palatino Linotype" w:cs="Palatino Linotype"/>
          <w:sz w:val="24"/>
          <w:szCs w:val="24"/>
        </w:rPr>
        <w:t>el Recurrente fue</w:t>
      </w:r>
      <w:r w:rsidR="003C5675">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omiso en realizar manifestación alguna que a su derecho asistiera. Por lo que, previo análisis de las constancias y de la naturaleza de la información, la Ponencia que resolvió determinó </w:t>
      </w:r>
      <w:r w:rsidR="003C5675">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095CA2" w:rsidRDefault="00095CA2" w:rsidP="00095CA2">
      <w:pPr>
        <w:spacing w:after="0" w:line="276" w:lineRule="auto"/>
        <w:ind w:left="567" w:right="990"/>
        <w:jc w:val="both"/>
        <w:rPr>
          <w:rFonts w:ascii="Palatino Linotype" w:eastAsia="Palatino Linotype" w:hAnsi="Palatino Linotype" w:cs="Palatino Linotype"/>
          <w:b/>
          <w:i/>
        </w:rPr>
      </w:pPr>
    </w:p>
    <w:p w:rsidR="003C5675" w:rsidRPr="003C5675" w:rsidRDefault="00095CA2" w:rsidP="003C5675">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w:t>
      </w:r>
      <w:r w:rsidR="003C5675" w:rsidRPr="003C5675">
        <w:rPr>
          <w:rFonts w:ascii="Palatino Linotype" w:eastAsia="Palatino Linotype" w:hAnsi="Palatino Linotype" w:cs="Palatino Linotype"/>
          <w:i/>
        </w:rPr>
        <w:t>SEGUNDO. Se ORDENA al Ayuntamiento de Tepetlaoxtoc, a efecto de que, previa búsqueda exhaustiva y razonable en los archivos de sus áreas competentes, remita, a través del Sistema de Acceso a la Información Mexiquense (SAIMEX), de ser procedente en versión pública los documentos en los que obre, lo siguiente:</w:t>
      </w:r>
    </w:p>
    <w:p w:rsidR="003C5675" w:rsidRPr="003C5675" w:rsidRDefault="003C5675" w:rsidP="003C5675">
      <w:pPr>
        <w:spacing w:after="0" w:line="276" w:lineRule="auto"/>
        <w:ind w:left="851" w:right="706"/>
        <w:jc w:val="both"/>
        <w:rPr>
          <w:rFonts w:ascii="Palatino Linotype" w:eastAsia="Palatino Linotype" w:hAnsi="Palatino Linotype" w:cs="Palatino Linotype"/>
          <w:i/>
        </w:rPr>
      </w:pPr>
    </w:p>
    <w:p w:rsidR="003C5675" w:rsidRPr="003C5675" w:rsidRDefault="003C5675" w:rsidP="003C5675">
      <w:pPr>
        <w:spacing w:after="0" w:line="276" w:lineRule="auto"/>
        <w:ind w:left="851" w:right="706"/>
        <w:jc w:val="both"/>
        <w:rPr>
          <w:rFonts w:ascii="Palatino Linotype" w:eastAsia="Palatino Linotype" w:hAnsi="Palatino Linotype" w:cs="Palatino Linotype"/>
          <w:i/>
        </w:rPr>
      </w:pPr>
      <w:r w:rsidRPr="003C5675">
        <w:rPr>
          <w:rFonts w:ascii="Palatino Linotype" w:eastAsia="Palatino Linotype" w:hAnsi="Palatino Linotype" w:cs="Palatino Linotype"/>
          <w:i/>
        </w:rPr>
        <w:t>•</w:t>
      </w:r>
      <w:r w:rsidRPr="003C5675">
        <w:rPr>
          <w:rFonts w:ascii="Palatino Linotype" w:eastAsia="Palatino Linotype" w:hAnsi="Palatino Linotype" w:cs="Palatino Linotype"/>
          <w:i/>
        </w:rPr>
        <w:tab/>
        <w:t>La Conciliación de Nómina Mensual, correspondiente a los meses de enero a marzo de dos mil veintidós.</w:t>
      </w:r>
    </w:p>
    <w:p w:rsidR="003C5675" w:rsidRPr="003C5675" w:rsidRDefault="003C5675" w:rsidP="003C5675">
      <w:pPr>
        <w:spacing w:after="0" w:line="276" w:lineRule="auto"/>
        <w:ind w:left="851" w:right="706"/>
        <w:jc w:val="both"/>
        <w:rPr>
          <w:rFonts w:ascii="Palatino Linotype" w:eastAsia="Palatino Linotype" w:hAnsi="Palatino Linotype" w:cs="Palatino Linotype"/>
          <w:i/>
        </w:rPr>
      </w:pPr>
    </w:p>
    <w:p w:rsidR="00095CA2" w:rsidRDefault="003C5675" w:rsidP="003C5675">
      <w:pPr>
        <w:spacing w:after="0" w:line="276" w:lineRule="auto"/>
        <w:ind w:left="851" w:right="706"/>
        <w:jc w:val="both"/>
        <w:rPr>
          <w:rFonts w:ascii="Palatino Linotype" w:eastAsia="Palatino Linotype" w:hAnsi="Palatino Linotype" w:cs="Palatino Linotype"/>
          <w:i/>
        </w:rPr>
      </w:pPr>
      <w:r w:rsidRPr="003C5675">
        <w:rPr>
          <w:rFonts w:ascii="Palatino Linotype" w:eastAsia="Palatino Linotype" w:hAnsi="Palatino Linotype" w:cs="Palatino Linotype"/>
          <w:i/>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r w:rsidRPr="003C5675">
        <w:rPr>
          <w:rFonts w:ascii="Palatino Linotype" w:eastAsia="Palatino Linotype" w:hAnsi="Palatino Linotype" w:cs="Palatino Linotype"/>
          <w:b/>
          <w:i/>
        </w:rPr>
        <w:t>.</w:t>
      </w:r>
    </w:p>
    <w:p w:rsidR="00095CA2" w:rsidRDefault="00095CA2" w:rsidP="00095CA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 (Sic) </w:t>
      </w:r>
    </w:p>
    <w:p w:rsidR="00095CA2" w:rsidRDefault="00095CA2" w:rsidP="00095CA2">
      <w:pPr>
        <w:spacing w:after="0" w:line="360" w:lineRule="auto"/>
        <w:jc w:val="both"/>
        <w:rPr>
          <w:rFonts w:ascii="Palatino Linotype" w:eastAsia="Palatino Linotype" w:hAnsi="Palatino Linotype" w:cs="Palatino Linotype"/>
          <w:sz w:val="23"/>
          <w:szCs w:val="23"/>
        </w:rPr>
      </w:pPr>
    </w:p>
    <w:p w:rsidR="00095CA2" w:rsidRDefault="003C5675" w:rsidP="003C5675">
      <w:pPr>
        <w:spacing w:line="360" w:lineRule="auto"/>
        <w:contextualSpacing/>
        <w:jc w:val="both"/>
        <w:rPr>
          <w:rFonts w:ascii="Palatino Linotype" w:eastAsia="Palatino Linotype" w:hAnsi="Palatino Linotype" w:cs="Palatino Linotype"/>
          <w:sz w:val="24"/>
          <w:szCs w:val="24"/>
        </w:rPr>
      </w:pPr>
      <w:r w:rsidRPr="003C5675">
        <w:rPr>
          <w:rFonts w:ascii="Palatino Linotype" w:hAnsi="Palatino Linotype"/>
          <w:sz w:val="24"/>
          <w:szCs w:val="24"/>
          <w:lang w:val="es-ES"/>
        </w:rPr>
        <w:t>En ese sentido</w:t>
      </w:r>
      <w:r w:rsidRPr="003C5675">
        <w:rPr>
          <w:rFonts w:ascii="Palatino Linotype" w:hAnsi="Palatino Linotype"/>
          <w:sz w:val="24"/>
          <w:szCs w:val="24"/>
        </w:rPr>
        <w:t xml:space="preserve"> debe mencionarse que, tratándose de información reservada como lo son los </w:t>
      </w:r>
      <w:r w:rsidRPr="003C5675">
        <w:rPr>
          <w:rFonts w:ascii="Palatino Linotype" w:hAnsi="Palatino Linotype" w:cs="Tahoma"/>
          <w:b/>
          <w:bCs/>
          <w:sz w:val="24"/>
          <w:szCs w:val="24"/>
        </w:rPr>
        <w:t>nombres de los elementos operativos de la Dirección de Seguridad Pública Municipal</w:t>
      </w:r>
      <w:r w:rsidRPr="003C5675">
        <w:rPr>
          <w:rFonts w:ascii="Palatino Linotype" w:hAnsi="Palatino Linotype"/>
          <w:b/>
          <w:sz w:val="24"/>
          <w:szCs w:val="24"/>
        </w:rPr>
        <w:t>,</w:t>
      </w:r>
      <w:r w:rsidRPr="003C5675">
        <w:rPr>
          <w:rFonts w:ascii="Palatino Linotype" w:hAnsi="Palatino Linotype"/>
          <w:sz w:val="24"/>
          <w:szCs w:val="24"/>
        </w:rPr>
        <w:t xml:space="preserve"> se deberá clasificar como información reservada aquella que sea relativa a los nombres de</w:t>
      </w:r>
      <w:r w:rsidRPr="003C5675">
        <w:rPr>
          <w:rFonts w:ascii="Palatino Linotype" w:hAnsi="Palatino Linotype" w:cs="Tahoma"/>
          <w:bCs/>
          <w:sz w:val="24"/>
          <w:szCs w:val="24"/>
        </w:rPr>
        <w:t xml:space="preserve"> </w:t>
      </w:r>
      <w:r w:rsidRPr="003C5675">
        <w:rPr>
          <w:rFonts w:ascii="Palatino Linotype" w:hAnsi="Palatino Linotype" w:cs="Tahoma"/>
          <w:b/>
          <w:bCs/>
          <w:sz w:val="24"/>
          <w:szCs w:val="24"/>
        </w:rPr>
        <w:t xml:space="preserve">aquellos funcionarios púbicos que realicen actividades operativas en materia de seguridad, </w:t>
      </w:r>
      <w:r w:rsidRPr="003C5675">
        <w:rPr>
          <w:rFonts w:ascii="Palatino Linotype" w:hAnsi="Palatino Linotype"/>
          <w:sz w:val="24"/>
          <w:szCs w:val="24"/>
        </w:rPr>
        <w:t xml:space="preserve">para lo que es necesario el desarrollo de la prueba de daño,  </w:t>
      </w:r>
      <w:r w:rsidRPr="003C5675">
        <w:rPr>
          <w:rFonts w:ascii="Palatino Linotype" w:hAnsi="Palatino Linotype"/>
          <w:b/>
          <w:sz w:val="24"/>
          <w:szCs w:val="24"/>
        </w:rPr>
        <w:lastRenderedPageBreak/>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3C5675">
        <w:rPr>
          <w:rFonts w:ascii="Palatino Linotype" w:hAnsi="Palatino Linotype"/>
          <w:sz w:val="24"/>
          <w:szCs w:val="24"/>
        </w:rPr>
        <w:t xml:space="preserve">. </w:t>
      </w:r>
      <w:r w:rsidR="00095CA2" w:rsidRPr="003C5675">
        <w:rPr>
          <w:rFonts w:ascii="Palatino Linotype" w:eastAsia="Palatino Linotype" w:hAnsi="Palatino Linotype" w:cs="Palatino Linotype"/>
          <w:sz w:val="24"/>
          <w:szCs w:val="24"/>
        </w:rPr>
        <w:t xml:space="preserve"> </w:t>
      </w:r>
      <w:r w:rsidR="00095CA2">
        <w:rPr>
          <w:rFonts w:ascii="Palatino Linotype" w:eastAsia="Palatino Linotype" w:hAnsi="Palatino Linotype" w:cs="Palatino Linotype"/>
          <w:sz w:val="24"/>
          <w:szCs w:val="24"/>
        </w:rPr>
        <w:t xml:space="preserve">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3C5675" w:rsidRDefault="003C5675" w:rsidP="003C5675">
      <w:pPr>
        <w:spacing w:line="360" w:lineRule="auto"/>
        <w:contextualSpacing/>
        <w:jc w:val="both"/>
        <w:rPr>
          <w:rFonts w:ascii="Palatino Linotype" w:eastAsia="Palatino Linotype" w:hAnsi="Palatino Linotype" w:cs="Palatino Linotype"/>
          <w:sz w:val="24"/>
          <w:szCs w:val="24"/>
        </w:rPr>
      </w:pPr>
    </w:p>
    <w:p w:rsidR="00095CA2" w:rsidRDefault="00095CA2" w:rsidP="003C5675">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w:t>
      </w:r>
      <w:r>
        <w:rPr>
          <w:rFonts w:ascii="Palatino Linotype" w:eastAsia="Palatino Linotype" w:hAnsi="Palatino Linotype" w:cs="Palatino Linotype"/>
          <w:sz w:val="24"/>
          <w:szCs w:val="24"/>
        </w:rPr>
        <w:lastRenderedPageBreak/>
        <w:t xml:space="preserve">e identificable al superar el interés público de que se difunda atendiendo al principio de proporcionalidad y el medio menos restrictivo disponible para evitar perjuicio. </w:t>
      </w:r>
    </w:p>
    <w:p w:rsidR="003C5675" w:rsidRDefault="003C5675" w:rsidP="003C5675">
      <w:pPr>
        <w:spacing w:line="360" w:lineRule="auto"/>
        <w:contextualSpacing/>
        <w:jc w:val="both"/>
        <w:rPr>
          <w:rFonts w:ascii="Palatino Linotype" w:eastAsia="Palatino Linotype" w:hAnsi="Palatino Linotype" w:cs="Palatino Linotype"/>
          <w:sz w:val="24"/>
          <w:szCs w:val="24"/>
        </w:rPr>
      </w:pPr>
    </w:p>
    <w:p w:rsidR="00095CA2" w:rsidRDefault="00095CA2" w:rsidP="003C5675">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3C5675" w:rsidRDefault="003C5675" w:rsidP="003C5675">
      <w:pPr>
        <w:spacing w:line="360" w:lineRule="auto"/>
        <w:contextualSpacing/>
        <w:jc w:val="both"/>
        <w:rPr>
          <w:rFonts w:ascii="Palatino Linotype" w:eastAsia="Palatino Linotype" w:hAnsi="Palatino Linotype" w:cs="Palatino Linotype"/>
          <w:sz w:val="24"/>
          <w:szCs w:val="24"/>
        </w:rPr>
      </w:pP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 xml:space="preserve">Deberán elegir la opción de excepción al acceso a la información que menos lo restrinja, la cual será adecuada y proporcional para la protección del interés </w:t>
      </w:r>
      <w:r>
        <w:rPr>
          <w:rFonts w:ascii="Palatino Linotype" w:eastAsia="Palatino Linotype" w:hAnsi="Palatino Linotype" w:cs="Palatino Linotype"/>
          <w:i/>
          <w:color w:val="000000"/>
        </w:rPr>
        <w:lastRenderedPageBreak/>
        <w:t>público, y deberá inte1ferir lo menos posible en el ejercicio efectivo del derecho de acceso a la información."(Sic)</w:t>
      </w:r>
    </w:p>
    <w:p w:rsidR="00095CA2" w:rsidRDefault="00095CA2" w:rsidP="00095CA2">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095CA2" w:rsidRDefault="00095CA2" w:rsidP="003C5675">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w:t>
      </w:r>
      <w:bookmarkStart w:id="1" w:name="_GoBack"/>
      <w:bookmarkEnd w:id="1"/>
      <w:r>
        <w:rPr>
          <w:rFonts w:ascii="Palatino Linotype" w:eastAsia="Palatino Linotype" w:hAnsi="Palatino Linotype" w:cs="Palatino Linotype"/>
          <w:b/>
          <w:sz w:val="24"/>
          <w:szCs w:val="24"/>
        </w:rPr>
        <w:t>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3C5675" w:rsidRDefault="003C5675" w:rsidP="003C5675">
      <w:pPr>
        <w:spacing w:line="360" w:lineRule="auto"/>
        <w:contextualSpacing/>
        <w:jc w:val="both"/>
        <w:rPr>
          <w:rFonts w:ascii="Palatino Linotype" w:eastAsia="Palatino Linotype" w:hAnsi="Palatino Linotype" w:cs="Palatino Linotype"/>
          <w:sz w:val="24"/>
          <w:szCs w:val="24"/>
        </w:rPr>
      </w:pPr>
    </w:p>
    <w:p w:rsidR="00095CA2" w:rsidRDefault="00095CA2" w:rsidP="003C5675">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sidR="003C5675">
        <w:rPr>
          <w:rFonts w:ascii="Palatino Linotype" w:eastAsia="Palatino Linotype" w:hAnsi="Palatino Linotype" w:cs="Palatino Linotype"/>
          <w:b/>
          <w:sz w:val="24"/>
          <w:szCs w:val="24"/>
        </w:rPr>
        <w:t>1126</w:t>
      </w:r>
      <w:r>
        <w:rPr>
          <w:rFonts w:ascii="Palatino Linotype" w:eastAsia="Palatino Linotype" w:hAnsi="Palatino Linotype" w:cs="Palatino Linotype"/>
          <w:b/>
          <w:sz w:val="24"/>
          <w:szCs w:val="24"/>
        </w:rPr>
        <w:t>6/INFOEM/IP/RR/2022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C13E0D" w:rsidRDefault="00C13E0D" w:rsidP="003C5675">
      <w:pPr>
        <w:spacing w:line="360" w:lineRule="auto"/>
        <w:contextualSpacing/>
        <w:jc w:val="both"/>
        <w:rPr>
          <w:rFonts w:ascii="Palatino Linotype" w:eastAsia="Palatino Linotype" w:hAnsi="Palatino Linotype" w:cs="Palatino Linotype"/>
          <w:sz w:val="24"/>
          <w:szCs w:val="24"/>
        </w:rPr>
      </w:pPr>
    </w:p>
    <w:p w:rsidR="00095CA2" w:rsidRDefault="00095CA2" w:rsidP="00095CA2">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w:t>
      </w:r>
      <w:r>
        <w:rPr>
          <w:rFonts w:ascii="Palatino Linotype" w:eastAsia="Palatino Linotype" w:hAnsi="Palatino Linotype" w:cs="Palatino Linotype"/>
          <w:i/>
          <w:color w:val="000000"/>
        </w:rPr>
        <w:lastRenderedPageBreak/>
        <w:t>mayor que el interés de conocerla y por consiguiente debe clasificarse como reservada…” (Sic)</w:t>
      </w:r>
    </w:p>
    <w:p w:rsidR="00095CA2" w:rsidRDefault="00095CA2" w:rsidP="00095CA2">
      <w:pPr>
        <w:jc w:val="both"/>
        <w:rPr>
          <w:rFonts w:ascii="Palatino Linotype" w:eastAsia="Palatino Linotype" w:hAnsi="Palatino Linotype" w:cs="Palatino Linotype"/>
        </w:rPr>
      </w:pPr>
    </w:p>
    <w:p w:rsidR="00095CA2" w:rsidRDefault="00095CA2" w:rsidP="003C5675">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3C5675" w:rsidRDefault="003C5675" w:rsidP="003C5675">
      <w:pPr>
        <w:spacing w:line="360" w:lineRule="auto"/>
        <w:contextualSpacing/>
        <w:jc w:val="both"/>
        <w:rPr>
          <w:rFonts w:ascii="Palatino Linotype" w:eastAsia="Palatino Linotype" w:hAnsi="Palatino Linotype" w:cs="Palatino Linotype"/>
          <w:sz w:val="24"/>
          <w:szCs w:val="24"/>
        </w:rPr>
      </w:pPr>
    </w:p>
    <w:p w:rsidR="00095CA2" w:rsidRDefault="00095CA2" w:rsidP="003C5675">
      <w:pPr>
        <w:spacing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rsidR="003C5675" w:rsidRDefault="003C5675" w:rsidP="003C5675">
      <w:pPr>
        <w:spacing w:line="360" w:lineRule="auto"/>
        <w:contextualSpacing/>
        <w:jc w:val="both"/>
        <w:rPr>
          <w:rFonts w:ascii="Palatino Linotype" w:eastAsia="Palatino Linotype" w:hAnsi="Palatino Linotype" w:cs="Palatino Linotype"/>
          <w:b/>
          <w:sz w:val="24"/>
          <w:szCs w:val="24"/>
        </w:rPr>
      </w:pPr>
    </w:p>
    <w:p w:rsidR="003C5675" w:rsidRDefault="00095CA2" w:rsidP="00095CA2">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r w:rsidR="003C5675">
        <w:rPr>
          <w:rFonts w:ascii="Palatino Linotype" w:eastAsia="Palatino Linotype" w:hAnsi="Palatino Linotype" w:cs="Palatino Linotype"/>
          <w:sz w:val="24"/>
          <w:szCs w:val="24"/>
        </w:rPr>
        <w:t xml:space="preserve"> </w:t>
      </w:r>
    </w:p>
    <w:p w:rsidR="00095CA2" w:rsidRPr="003C5675" w:rsidRDefault="00095CA2" w:rsidP="00095CA2">
      <w:pPr>
        <w:spacing w:before="240" w:after="240" w:line="360" w:lineRule="auto"/>
        <w:contextualSpacing/>
        <w:jc w:val="both"/>
        <w:rPr>
          <w:rFonts w:ascii="Palatino Linotype" w:eastAsia="Palatino Linotype" w:hAnsi="Palatino Linotype" w:cs="Palatino Linotype"/>
          <w:sz w:val="24"/>
          <w:szCs w:val="24"/>
        </w:rPr>
        <w:sectPr w:rsidR="00095CA2" w:rsidRPr="003C5675">
          <w:headerReference w:type="even" r:id="rId7"/>
          <w:headerReference w:type="default" r:id="rId8"/>
          <w:footerReference w:type="default" r:id="rId9"/>
          <w:headerReference w:type="first" r:id="rId10"/>
          <w:pgSz w:w="12240" w:h="15840"/>
          <w:pgMar w:top="1983" w:right="1327" w:bottom="2836" w:left="1985" w:header="709" w:footer="586" w:gutter="0"/>
          <w:pgNumType w:start="1"/>
          <w:cols w:space="720"/>
        </w:sectPr>
      </w:pPr>
      <w:r>
        <w:rPr>
          <w:rFonts w:ascii="Palatino Linotype" w:eastAsia="Palatino Linotype" w:hAnsi="Palatino Linotype" w:cs="Palatino Linotype"/>
          <w:sz w:val="24"/>
          <w:szCs w:val="24"/>
        </w:rPr>
        <w:lastRenderedPageBreak/>
        <w:t xml:space="preserve">Lo expuesto, constituyen las razones y fundamentos que me llevan a emitir la opinión </w:t>
      </w:r>
      <w:r w:rsidR="003C5675">
        <w:rPr>
          <w:rFonts w:ascii="Palatino Linotype" w:eastAsia="Palatino Linotype" w:hAnsi="Palatino Linotype" w:cs="Palatino Linotype"/>
          <w:sz w:val="24"/>
          <w:szCs w:val="24"/>
        </w:rPr>
        <w:t>particular que se ha expresado.</w:t>
      </w:r>
    </w:p>
    <w:p w:rsidR="00FB7E84" w:rsidRDefault="00805281" w:rsidP="003C5675"/>
    <w:sectPr w:rsidR="00FB7E84">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77A" w:rsidRDefault="007D577A" w:rsidP="00095CA2">
      <w:pPr>
        <w:spacing w:after="0" w:line="240" w:lineRule="auto"/>
      </w:pPr>
      <w:r>
        <w:separator/>
      </w:r>
    </w:p>
  </w:endnote>
  <w:endnote w:type="continuationSeparator" w:id="0">
    <w:p w:rsidR="007D577A" w:rsidRDefault="007D577A" w:rsidP="000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A2" w:rsidRDefault="00095CA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528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5281">
      <w:rPr>
        <w:rFonts w:ascii="Arial" w:eastAsia="Arial" w:hAnsi="Arial" w:cs="Arial"/>
        <w:b/>
        <w:noProof/>
        <w:color w:val="000000"/>
        <w:sz w:val="20"/>
        <w:szCs w:val="20"/>
      </w:rPr>
      <w:t>9</w:t>
    </w:r>
    <w:r>
      <w:rPr>
        <w:rFonts w:ascii="Arial" w:eastAsia="Arial" w:hAnsi="Arial" w:cs="Arial"/>
        <w:b/>
        <w:color w:val="000000"/>
        <w:sz w:val="20"/>
        <w:szCs w:val="20"/>
      </w:rPr>
      <w:fldChar w:fldCharType="end"/>
    </w:r>
  </w:p>
  <w:p w:rsidR="00095CA2" w:rsidRDefault="00095CA2">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77A" w:rsidRDefault="007D577A" w:rsidP="00095CA2">
      <w:pPr>
        <w:spacing w:after="0" w:line="240" w:lineRule="auto"/>
      </w:pPr>
      <w:r>
        <w:separator/>
      </w:r>
    </w:p>
  </w:footnote>
  <w:footnote w:type="continuationSeparator" w:id="0">
    <w:p w:rsidR="007D577A" w:rsidRDefault="007D577A" w:rsidP="00095CA2">
      <w:pPr>
        <w:spacing w:after="0" w:line="240" w:lineRule="auto"/>
      </w:pPr>
      <w:r>
        <w:continuationSeparator/>
      </w:r>
    </w:p>
  </w:footnote>
  <w:footnote w:id="1">
    <w:p w:rsidR="00095CA2" w:rsidRDefault="00095CA2" w:rsidP="00095CA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095CA2" w:rsidRDefault="00095CA2" w:rsidP="00095CA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A2" w:rsidRDefault="00095CA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2C7DB8C" id="_x0000_t202" coordsize="21600,21600" o:spt="202" path="m,l,21600r21600,l21600,xe">
              <v:stroke joinstyle="miter"/>
              <v:path gradientshapeok="t" o:connecttype="rect"/>
            </v:shapetype>
            <v:shape id="Cuadro de texto 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" filled="f" stroked="f">
              <o:lock v:ext="edit" selection="t" text="t" shapetype="t"/>
            </v:shape>
          </w:pict>
        </mc:Fallback>
      </mc:AlternateContent>
    </w:r>
    <w:r w:rsidR="00805281">
      <w:rPr>
        <w:rFonts w:ascii="Times New Roman" w:eastAsia="Times New Roman" w:hAnsi="Times New Roman" w:cs="Times New Roman"/>
        <w:color w:val="000000"/>
        <w:sz w:val="24"/>
        <w:szCs w:val="24"/>
      </w:rPr>
      <w:pict>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sidR="00805281">
      <w:rPr>
        <w:rFonts w:ascii="Times New Roman" w:eastAsia="Times New Roman" w:hAnsi="Times New Roman" w:cs="Times New Roman"/>
        <w:color w:val="000000"/>
        <w:sz w:val="24"/>
        <w:szCs w:val="24"/>
      </w:rPr>
      <w:pict>
        <v:shape id="PowerPlusWaterMarkObject2" o:spid="_x0000_s2052" type="#_x0000_m2054" style="position:absolute;margin-left:0;margin-top:0;width:518.25pt;height:111.05pt;rotation:315;z-index:-251655168;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v:handles>
            <v:h position="#0,bottomRight" xrange="6629,14971"/>
          </v:handles>
          <o:lock v:ext="edit" text="t" shapetype="t"/>
          <w10:wrap anchorx="margin" anchory="margin"/>
        </v:shape>
      </w:pict>
    </w:r>
    <w:r>
      <w:rPr>
        <w:rFonts w:ascii="Times New Roman" w:eastAsia="Times New Roman" w:hAnsi="Times New Roman" w:cs="Times New Roman"/>
        <w:noProof/>
        <w:color w:val="000000"/>
        <w:sz w:val="24"/>
        <w:szCs w:val="24"/>
      </w:rPr>
      <mc:AlternateContent>
        <mc:Choice Requires="wps">
          <w:drawing>
            <wp:anchor distT="0" distB="0" distL="0" distR="0" simplePos="0" relativeHeight="251655168" behindDoc="1" locked="0" layoutInCell="1" hidden="0" allowOverlap="1" wp14:anchorId="3A196D24" wp14:editId="7C7CBF0A">
              <wp:simplePos x="0" y="0"/>
              <wp:positionH relativeFrom="margin">
                <wp:align>center</wp:align>
              </wp:positionH>
              <wp:positionV relativeFrom="margin">
                <wp:align>center</wp:align>
              </wp:positionV>
              <wp:extent cx="5301943" cy="5301943"/>
              <wp:effectExtent l="0" t="0" r="0" b="0"/>
              <wp:wrapNone/>
              <wp:docPr id="3" name="Rectángulo 3"/>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wps:spPr>
                    <wps:txbx>
                      <w:txbxContent>
                        <w:p w:rsidR="00095CA2" w:rsidRDefault="00095CA2">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w14:anchorId="3A196D24" id="Rectángulo 3" o:spid="_x0000_s1026" style="position:absolute;margin-left:0;margin-top:0;width:417.5pt;height:417.5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" filled="f" stroked="f">
              <v:textbox inset="2.53958mm,2.53958mm,2.53958mm,2.53958mm">
                <w:txbxContent>
                  <w:p w:rsidR="00095CA2" w:rsidRDefault="00095CA2">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A2" w:rsidRDefault="00095CA2">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4144" behindDoc="1" locked="0" layoutInCell="1" hidden="0" allowOverlap="1" wp14:anchorId="58B9CEFA" wp14:editId="6B463FD5">
          <wp:simplePos x="0" y="0"/>
          <wp:positionH relativeFrom="column">
            <wp:posOffset>-1114013</wp:posOffset>
          </wp:positionH>
          <wp:positionV relativeFrom="paragraph">
            <wp:posOffset>-449579</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3C5675" w:rsidRPr="00FB2266" w:rsidRDefault="00095CA2" w:rsidP="003C5675">
    <w:pPr>
      <w:pStyle w:val="Encabezado"/>
      <w:tabs>
        <w:tab w:val="left" w:pos="5685"/>
        <w:tab w:val="right" w:pos="8928"/>
      </w:tabs>
      <w:rPr>
        <w:rFonts w:ascii="Palatino Linotype" w:hAnsi="Palatino Linotype" w:cs="Arial"/>
        <w:b/>
        <w:sz w:val="22"/>
        <w:szCs w:val="22"/>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sidR="003C5675">
      <w:rPr>
        <w:rFonts w:ascii="Palatino Linotype" w:eastAsia="Palatino Linotype" w:hAnsi="Palatino Linotype" w:cs="Palatino Linotype"/>
        <w:b/>
        <w:color w:val="000000"/>
        <w:sz w:val="20"/>
        <w:szCs w:val="20"/>
      </w:rPr>
      <w:t xml:space="preserve">          </w:t>
    </w:r>
    <w:r w:rsidR="003C5675" w:rsidRPr="00FB2266">
      <w:rPr>
        <w:rFonts w:ascii="Palatino Linotype" w:hAnsi="Palatino Linotype" w:cs="Arial"/>
        <w:b/>
        <w:sz w:val="22"/>
        <w:szCs w:val="22"/>
      </w:rPr>
      <w:t xml:space="preserve">OPINIÓN PARTICULAR </w:t>
    </w:r>
  </w:p>
  <w:p w:rsidR="003C5675" w:rsidRPr="00475038" w:rsidRDefault="003C5675" w:rsidP="003C5675">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 xml:space="preserve">RECURSO DE REVISIÓN </w:t>
    </w:r>
    <w:r>
      <w:rPr>
        <w:rFonts w:ascii="Palatino Linotype" w:hAnsi="Palatino Linotype" w:cs="Arial"/>
        <w:b/>
        <w:sz w:val="22"/>
        <w:szCs w:val="22"/>
      </w:rPr>
      <w:t>11266</w:t>
    </w:r>
    <w:r w:rsidRPr="00FB2266">
      <w:rPr>
        <w:rFonts w:ascii="Palatino Linotype" w:hAnsi="Palatino Linotype" w:cs="Arial"/>
        <w:b/>
        <w:sz w:val="22"/>
        <w:szCs w:val="22"/>
      </w:rPr>
      <w:t>/INFOEM/IP/RR/2022</w:t>
    </w:r>
  </w:p>
  <w:p w:rsidR="00095CA2" w:rsidRDefault="00095CA2" w:rsidP="003C5675">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18"/>
        <w:szCs w:val="18"/>
      </w:rPr>
    </w:pPr>
  </w:p>
  <w:p w:rsidR="00095CA2" w:rsidRDefault="00095CA2">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A2" w:rsidRDefault="00095CA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AD8B2B5" id="_x0000_t202" coordsize="21600,21600" o:spt="202" path="m,l,21600r21600,l21600,xe">
              <v:stroke joinstyle="miter"/>
              <v:path gradientshapeok="t" o:connecttype="rect"/>
            </v:shapetype>
            <v:shape id="Cuadro de texto 5"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" filled="f" stroked="f">
              <o:lock v:ext="edit" selection="t" text="t" shapetype="t"/>
            </v:shape>
          </w:pict>
        </mc:Fallback>
      </mc:AlternateContent>
    </w:r>
    <w:r w:rsidR="00805281">
      <w:rPr>
        <w:rFonts w:ascii="Times New Roman" w:eastAsia="Times New Roman" w:hAnsi="Times New Roman" w:cs="Times New Roman"/>
        <w:color w:val="000000"/>
        <w:sz w:val="24"/>
        <w:szCs w:val="24"/>
      </w:rPr>
      <w:pict>
        <v:shapetype id="_x0000_m2053"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sidR="00805281">
      <w:rPr>
        <w:rFonts w:ascii="Times New Roman" w:eastAsia="Times New Roman" w:hAnsi="Times New Roman" w:cs="Times New Roman"/>
        <w:color w:val="000000"/>
        <w:sz w:val="24"/>
        <w:szCs w:val="24"/>
      </w:rPr>
      <w:pict>
        <v:shape id="PowerPlusWaterMarkObject1" o:spid="_x0000_s2051" type="#_x0000_m2053" style="position:absolute;margin-left:0;margin-top:0;width:518.25pt;height:111.05pt;rotation:315;z-index:-251656192;mso-position-horizontal:center;mso-position-horizontal-relative:margin;mso-position-vertical:center;mso-position-vertical-relative:margin" o:spt="136" adj="10800" path="m@7,l@8,m@5,21600l@6,21600e" fillcolor="#c45911"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
          <v:handles>
            <v:h position="#0,bottomRight" xrange="6629,14971"/>
          </v:handles>
          <o:lock v:ext="edit" text="t" shapetype="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D5" w:rsidRDefault="006249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63360" behindDoc="1" locked="0" layoutInCell="1" hidden="0" allowOverlap="1" wp14:anchorId="21A9CEFC" wp14:editId="0A766946">
          <wp:simplePos x="0" y="0"/>
          <wp:positionH relativeFrom="column">
            <wp:posOffset>-1190625</wp:posOffset>
          </wp:positionH>
          <wp:positionV relativeFrom="paragraph">
            <wp:posOffset>-410210</wp:posOffset>
          </wp:positionV>
          <wp:extent cx="7510628" cy="988377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E967D5" w:rsidRDefault="0080528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967D5" w:rsidRDefault="0080528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967D5" w:rsidRDefault="003C5675">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E967D5" w:rsidRDefault="008052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E967D5" w:rsidRDefault="008052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4379F"/>
    <w:multiLevelType w:val="hybridMultilevel"/>
    <w:tmpl w:val="F2044C28"/>
    <w:lvl w:ilvl="0" w:tplc="41F25052">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A2"/>
    <w:rsid w:val="00095CA2"/>
    <w:rsid w:val="000E1AD0"/>
    <w:rsid w:val="00163143"/>
    <w:rsid w:val="00246E4F"/>
    <w:rsid w:val="002B4050"/>
    <w:rsid w:val="003C5675"/>
    <w:rsid w:val="006249E8"/>
    <w:rsid w:val="007D577A"/>
    <w:rsid w:val="00805281"/>
    <w:rsid w:val="00C05A5D"/>
    <w:rsid w:val="00C13E0D"/>
    <w:rsid w:val="00E27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FCA2E9D0-174C-4F50-A383-442309E5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CA2"/>
    <w:pPr>
      <w:spacing w:line="25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CA2"/>
    <w:pPr>
      <w:ind w:left="720"/>
      <w:contextualSpacing/>
    </w:pPr>
  </w:style>
  <w:style w:type="paragraph" w:styleId="Piedepgina">
    <w:name w:val="footer"/>
    <w:basedOn w:val="Normal"/>
    <w:link w:val="PiedepginaCar"/>
    <w:uiPriority w:val="99"/>
    <w:unhideWhenUsed/>
    <w:rsid w:val="003C5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675"/>
    <w:rPr>
      <w:rFonts w:ascii="Calibri" w:eastAsia="Calibri" w:hAnsi="Calibri" w:cs="Calibri"/>
      <w:lang w:eastAsia="es-MX"/>
    </w:rPr>
  </w:style>
  <w:style w:type="paragraph" w:styleId="Encabezado">
    <w:name w:val="header"/>
    <w:basedOn w:val="Normal"/>
    <w:link w:val="EncabezadoCar"/>
    <w:uiPriority w:val="99"/>
    <w:unhideWhenUsed/>
    <w:rsid w:val="003C567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567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1856</Words>
  <Characters>10212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2022-10-17T14:36:00Z</cp:lastPrinted>
  <dcterms:created xsi:type="dcterms:W3CDTF">2022-10-17T14:35:00Z</dcterms:created>
  <dcterms:modified xsi:type="dcterms:W3CDTF">2022-10-17T14:41:00Z</dcterms:modified>
</cp:coreProperties>
</file>