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7F8" w:rsidRDefault="007A0287">
      <w:pPr>
        <w:spacing w:after="0" w:line="360" w:lineRule="auto"/>
        <w:ind w:right="139"/>
        <w:jc w:val="both"/>
        <w:rPr>
          <w:rFonts w:ascii="Palatino Linotype" w:eastAsia="Palatino Linotype" w:hAnsi="Palatino Linotype" w:cs="Palatino Linotype"/>
          <w:b/>
          <w:sz w:val="24"/>
          <w:szCs w:val="24"/>
        </w:rPr>
      </w:pPr>
      <w:bookmarkStart w:id="0" w:name="_heading=h.gjdgxs" w:colFirst="0" w:colLast="0"/>
      <w:bookmarkEnd w:id="0"/>
      <w:r>
        <w:rPr>
          <w:rFonts w:ascii="Palatino Linotype" w:eastAsia="Palatino Linotype" w:hAnsi="Palatino Linotype" w:cs="Palatino Linotype"/>
          <w:b/>
          <w:sz w:val="24"/>
          <w:szCs w:val="24"/>
        </w:rPr>
        <w:t xml:space="preserve">OPINIÓN PARTICULAR QUE FORMULA LA COMISIONADA GUADALUPE RAMÍREZ PEÑA, EN RELACIÓN CON LA RESOLUCIÓN DICTADA POR EL PLENO DEL INSTITUTO DE TRANSPARENCIA, ACCESO A LA INFORMACIÓN PÚBLICA Y PROTECCIÓN DE DATOS PERSONALES DEL ESTADO DE MÉXICO Y MUNICIPIOS, EN </w:t>
      </w:r>
      <w:r>
        <w:rPr>
          <w:rFonts w:ascii="Palatino Linotype" w:eastAsia="Palatino Linotype" w:hAnsi="Palatino Linotype" w:cs="Palatino Linotype"/>
          <w:b/>
          <w:sz w:val="24"/>
          <w:szCs w:val="24"/>
        </w:rPr>
        <w:t xml:space="preserve">LA CUADRAGÉSIMA TERCERA SESIÓN ORDINARIA DEL TREINTA DE NOVIEMBRE DE DOS MIL VEINTIDÓS, EN EL RECURSO DE REVISIÓN 06996/INFOEM/IP/RR/2022. </w:t>
      </w:r>
    </w:p>
    <w:p w:rsidR="000877F8" w:rsidRDefault="000877F8">
      <w:pPr>
        <w:spacing w:after="0" w:line="360" w:lineRule="auto"/>
        <w:jc w:val="both"/>
        <w:rPr>
          <w:rFonts w:ascii="Palatino Linotype" w:eastAsia="Palatino Linotype" w:hAnsi="Palatino Linotype" w:cs="Palatino Linotype"/>
          <w:b/>
          <w:sz w:val="24"/>
          <w:szCs w:val="24"/>
        </w:rPr>
      </w:pPr>
    </w:p>
    <w:p w:rsidR="000877F8" w:rsidRDefault="007A0287">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pleno del Instituto de Transparencia, Acceso a la Información Pública y Protección de Datos Personales del Estad</w:t>
      </w:r>
      <w:r>
        <w:rPr>
          <w:rFonts w:ascii="Palatino Linotype" w:eastAsia="Palatino Linotype" w:hAnsi="Palatino Linotype" w:cs="Palatino Linotype"/>
          <w:sz w:val="24"/>
          <w:szCs w:val="24"/>
        </w:rPr>
        <w:t xml:space="preserve">o de México y Municipios, aprobó por </w:t>
      </w:r>
      <w:r w:rsidR="003A5E3A" w:rsidRPr="003A5E3A">
        <w:rPr>
          <w:rFonts w:ascii="Palatino Linotype" w:eastAsia="Palatino Linotype" w:hAnsi="Palatino Linotype" w:cs="Palatino Linotype"/>
          <w:sz w:val="24"/>
          <w:szCs w:val="24"/>
        </w:rPr>
        <w:t>m</w:t>
      </w:r>
      <w:r w:rsidR="003A5E3A">
        <w:rPr>
          <w:rFonts w:ascii="Palatino Linotype" w:eastAsia="Palatino Linotype" w:hAnsi="Palatino Linotype" w:cs="Palatino Linotype"/>
          <w:sz w:val="24"/>
          <w:szCs w:val="24"/>
        </w:rPr>
        <w:t>ayor</w:t>
      </w:r>
      <w:r w:rsidR="003A5E3A" w:rsidRPr="003A5E3A">
        <w:rPr>
          <w:rFonts w:ascii="Palatino Linotype" w:eastAsia="Palatino Linotype" w:hAnsi="Palatino Linotype" w:cs="Palatino Linotype"/>
          <w:sz w:val="24"/>
          <w:szCs w:val="24"/>
        </w:rPr>
        <w:t>ía</w:t>
      </w:r>
      <w:r w:rsidR="003A5E3A">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 xml:space="preserve">de votos, la resolución relativa al recurso de revisión </w:t>
      </w:r>
      <w:r>
        <w:rPr>
          <w:rFonts w:ascii="Palatino Linotype" w:eastAsia="Palatino Linotype" w:hAnsi="Palatino Linotype" w:cs="Palatino Linotype"/>
          <w:b/>
          <w:sz w:val="24"/>
          <w:szCs w:val="24"/>
        </w:rPr>
        <w:t>06996/INFOEM/IP/RR/2022</w:t>
      </w:r>
      <w:r>
        <w:rPr>
          <w:rFonts w:ascii="Palatino Linotype" w:eastAsia="Palatino Linotype" w:hAnsi="Palatino Linotype" w:cs="Palatino Linotype"/>
          <w:sz w:val="24"/>
          <w:szCs w:val="24"/>
        </w:rPr>
        <w:t xml:space="preserve">, presentada por el </w:t>
      </w:r>
      <w:r>
        <w:rPr>
          <w:rFonts w:ascii="Palatino Linotype" w:eastAsia="Palatino Linotype" w:hAnsi="Palatino Linotype" w:cs="Palatino Linotype"/>
          <w:b/>
          <w:sz w:val="24"/>
          <w:szCs w:val="24"/>
        </w:rPr>
        <w:t>Comisionado Luis Gustavo Parra Noriega</w:t>
      </w:r>
      <w:r>
        <w:rPr>
          <w:rFonts w:ascii="Palatino Linotype" w:eastAsia="Palatino Linotype" w:hAnsi="Palatino Linotype" w:cs="Palatino Linotype"/>
          <w:sz w:val="24"/>
          <w:szCs w:val="24"/>
        </w:rPr>
        <w:t>, respecto de la cual, la suscrita for</w:t>
      </w:r>
      <w:r>
        <w:rPr>
          <w:rFonts w:ascii="Palatino Linotype" w:eastAsia="Palatino Linotype" w:hAnsi="Palatino Linotype" w:cs="Palatino Linotype"/>
          <w:sz w:val="24"/>
          <w:szCs w:val="24"/>
        </w:rPr>
        <w:t xml:space="preserve">mula </w:t>
      </w:r>
      <w:r>
        <w:rPr>
          <w:rFonts w:ascii="Palatino Linotype" w:eastAsia="Palatino Linotype" w:hAnsi="Palatino Linotype" w:cs="Palatino Linotype"/>
          <w:b/>
          <w:sz w:val="24"/>
          <w:szCs w:val="24"/>
        </w:rPr>
        <w:t>OPINIÓN PARTICULAR</w:t>
      </w:r>
      <w:r>
        <w:rPr>
          <w:rFonts w:ascii="Palatino Linotype" w:eastAsia="Palatino Linotype" w:hAnsi="Palatino Linotype" w:cs="Palatino Linotype"/>
          <w:sz w:val="24"/>
          <w:szCs w:val="24"/>
        </w:rPr>
        <w:t>, con fundamento en el artículo 14 fracción XI del Reglamento Interior del Instituto de Transparencia, Acceso a la Información Pública y Protección de Datos Personales del Estado de México y Municipios.</w:t>
      </w:r>
    </w:p>
    <w:p w:rsidR="000877F8" w:rsidRDefault="007A0287">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0877F8" w:rsidRDefault="007A0287">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La que suscribe, comparte en</w:t>
      </w:r>
      <w:r>
        <w:rPr>
          <w:rFonts w:ascii="Palatino Linotype" w:eastAsia="Palatino Linotype" w:hAnsi="Palatino Linotype" w:cs="Palatino Linotype"/>
          <w:sz w:val="24"/>
          <w:szCs w:val="24"/>
        </w:rPr>
        <w:t xml:space="preserve"> esencia el sentido del estudio realizado en la resolución emitida por el Comisionado Ponente; sin embargo, resulta necesario destacar que la prueba de daño que se desarrolla en el proyecto de resolución que nos ocupa, debió ser realizada por el </w:t>
      </w:r>
      <w:r>
        <w:rPr>
          <w:rFonts w:ascii="Palatino Linotype" w:eastAsia="Palatino Linotype" w:hAnsi="Palatino Linotype" w:cs="Palatino Linotype"/>
          <w:b/>
          <w:sz w:val="24"/>
          <w:szCs w:val="24"/>
        </w:rPr>
        <w:t>SUJETO OBL</w:t>
      </w:r>
      <w:r>
        <w:rPr>
          <w:rFonts w:ascii="Palatino Linotype" w:eastAsia="Palatino Linotype" w:hAnsi="Palatino Linotype" w:cs="Palatino Linotype"/>
          <w:b/>
          <w:sz w:val="24"/>
          <w:szCs w:val="24"/>
        </w:rPr>
        <w:t>IGADO</w:t>
      </w:r>
      <w:r>
        <w:rPr>
          <w:rFonts w:ascii="Palatino Linotype" w:eastAsia="Palatino Linotype" w:hAnsi="Palatino Linotype" w:cs="Palatino Linotype"/>
          <w:sz w:val="24"/>
          <w:szCs w:val="24"/>
        </w:rPr>
        <w:t xml:space="preserve">. En el caso concreto el </w:t>
      </w:r>
      <w:r>
        <w:rPr>
          <w:rFonts w:ascii="Palatino Linotype" w:eastAsia="Palatino Linotype" w:hAnsi="Palatino Linotype" w:cs="Palatino Linotype"/>
          <w:sz w:val="24"/>
          <w:szCs w:val="24"/>
        </w:rPr>
        <w:lastRenderedPageBreak/>
        <w:t xml:space="preserve">hoy Recurrente requirió al Ayuntamiento de Tlalnepantla de Baz, que en esencia se le proporcionara la siguiente información: </w:t>
      </w:r>
    </w:p>
    <w:p w:rsidR="000877F8" w:rsidRDefault="007A0287">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w:t>
      </w:r>
    </w:p>
    <w:p w:rsidR="000877F8" w:rsidRDefault="007A0287">
      <w:pPr>
        <w:tabs>
          <w:tab w:val="left" w:pos="8505"/>
        </w:tabs>
        <w:spacing w:after="0" w:line="240" w:lineRule="auto"/>
        <w:ind w:left="567" w:right="539"/>
        <w:jc w:val="both"/>
        <w:rPr>
          <w:rFonts w:ascii="Palatino Linotype" w:eastAsia="Palatino Linotype" w:hAnsi="Palatino Linotype" w:cs="Palatino Linotype"/>
          <w:i/>
        </w:rPr>
      </w:pPr>
      <w:r>
        <w:rPr>
          <w:rFonts w:ascii="Palatino Linotype" w:eastAsia="Palatino Linotype" w:hAnsi="Palatino Linotype" w:cs="Palatino Linotype"/>
          <w:i/>
        </w:rPr>
        <w:t>“listado de personal de la ultima quincena de enero de 2022 donde venga en nombre y apellidos, num</w:t>
      </w:r>
      <w:r>
        <w:rPr>
          <w:rFonts w:ascii="Palatino Linotype" w:eastAsia="Palatino Linotype" w:hAnsi="Palatino Linotype" w:cs="Palatino Linotype"/>
          <w:i/>
        </w:rPr>
        <w:t>ero de empleado, area de adscripción asi como la categoria y finalmente si es sindicalizado o eventual o base o labora por honorarios." (Sic)</w:t>
      </w:r>
    </w:p>
    <w:p w:rsidR="000877F8" w:rsidRDefault="000877F8">
      <w:pPr>
        <w:spacing w:after="0" w:line="360" w:lineRule="auto"/>
        <w:jc w:val="both"/>
        <w:rPr>
          <w:rFonts w:ascii="Palatino Linotype" w:eastAsia="Palatino Linotype" w:hAnsi="Palatino Linotype" w:cs="Palatino Linotype"/>
          <w:b/>
          <w:sz w:val="24"/>
          <w:szCs w:val="24"/>
        </w:rPr>
      </w:pPr>
    </w:p>
    <w:p w:rsidR="000877F8" w:rsidRDefault="007A0287">
      <w:pPr>
        <w:spacing w:after="0" w:line="360" w:lineRule="auto"/>
        <w:ind w:right="139"/>
        <w:jc w:val="both"/>
        <w:rPr>
          <w:rFonts w:ascii="Palatino Linotype" w:eastAsia="Palatino Linotype" w:hAnsi="Palatino Linotype" w:cs="Palatino Linotype"/>
          <w:sz w:val="24"/>
          <w:szCs w:val="24"/>
        </w:rPr>
      </w:pPr>
      <w:bookmarkStart w:id="1" w:name="_heading=h.30j0zll" w:colFirst="0" w:colLast="0"/>
      <w:bookmarkEnd w:id="1"/>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a través de su Dirección de Administración, en respuesta remitió un listado en donde se ve el</w:t>
      </w:r>
      <w:r>
        <w:rPr>
          <w:rFonts w:ascii="Palatino Linotype" w:eastAsia="Palatino Linotype" w:hAnsi="Palatino Linotype" w:cs="Palatino Linotype"/>
          <w:sz w:val="24"/>
          <w:szCs w:val="24"/>
        </w:rPr>
        <w:t xml:space="preserve"> nombre, número consecutivo, categoría y departamento 3778 registros.</w:t>
      </w:r>
    </w:p>
    <w:p w:rsidR="000877F8" w:rsidRDefault="000877F8">
      <w:pPr>
        <w:spacing w:after="0" w:line="360" w:lineRule="auto"/>
        <w:ind w:right="139"/>
        <w:jc w:val="both"/>
        <w:rPr>
          <w:rFonts w:ascii="Palatino Linotype" w:eastAsia="Palatino Linotype" w:hAnsi="Palatino Linotype" w:cs="Palatino Linotype"/>
          <w:sz w:val="24"/>
          <w:szCs w:val="24"/>
        </w:rPr>
      </w:pPr>
    </w:p>
    <w:p w:rsidR="000877F8" w:rsidRDefault="007A0287">
      <w:pPr>
        <w:spacing w:after="0"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particular se inconformó en lo medular porque no se le otorgó el número de empleado.</w:t>
      </w:r>
    </w:p>
    <w:p w:rsidR="000877F8" w:rsidRDefault="000877F8">
      <w:pPr>
        <w:spacing w:after="0" w:line="360" w:lineRule="auto"/>
        <w:ind w:left="567" w:right="539"/>
        <w:jc w:val="both"/>
        <w:rPr>
          <w:rFonts w:ascii="Palatino Linotype" w:eastAsia="Palatino Linotype" w:hAnsi="Palatino Linotype" w:cs="Palatino Linotype"/>
          <w:i/>
        </w:rPr>
      </w:pPr>
    </w:p>
    <w:p w:rsidR="000877F8" w:rsidRDefault="007A0287">
      <w:pPr>
        <w:spacing w:after="0" w:line="360" w:lineRule="auto"/>
        <w:ind w:right="139"/>
        <w:jc w:val="both"/>
        <w:rPr>
          <w:rFonts w:ascii="Palatino Linotype" w:eastAsia="Palatino Linotype" w:hAnsi="Palatino Linotype" w:cs="Palatino Linotype"/>
          <w:sz w:val="24"/>
          <w:szCs w:val="24"/>
          <w:highlight w:val="green"/>
        </w:rPr>
      </w:pPr>
      <w:r>
        <w:rPr>
          <w:rFonts w:ascii="Palatino Linotype" w:eastAsia="Palatino Linotype" w:hAnsi="Palatino Linotype" w:cs="Palatino Linotype"/>
          <w:sz w:val="24"/>
          <w:szCs w:val="24"/>
        </w:rPr>
        <w:t xml:space="preserve">Ante la interposición del recurso de revisión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través de su </w:t>
      </w:r>
      <w:r w:rsidR="00AE36F7">
        <w:rPr>
          <w:rFonts w:ascii="Palatino Linotype" w:eastAsia="Palatino Linotype" w:hAnsi="Palatino Linotype" w:cs="Palatino Linotype"/>
          <w:sz w:val="24"/>
          <w:szCs w:val="24"/>
        </w:rPr>
        <w:t xml:space="preserve">alcance al </w:t>
      </w:r>
      <w:r>
        <w:rPr>
          <w:rFonts w:ascii="Palatino Linotype" w:eastAsia="Palatino Linotype" w:hAnsi="Palatino Linotype" w:cs="Palatino Linotype"/>
          <w:sz w:val="24"/>
          <w:szCs w:val="24"/>
        </w:rPr>
        <w:t>informe justifi</w:t>
      </w:r>
      <w:r>
        <w:rPr>
          <w:rFonts w:ascii="Palatino Linotype" w:eastAsia="Palatino Linotype" w:hAnsi="Palatino Linotype" w:cs="Palatino Linotype"/>
          <w:sz w:val="24"/>
          <w:szCs w:val="24"/>
        </w:rPr>
        <w:t>cad</w:t>
      </w:r>
      <w:r w:rsidRPr="00AE36F7">
        <w:rPr>
          <w:rFonts w:ascii="Palatino Linotype" w:eastAsia="Palatino Linotype" w:hAnsi="Palatino Linotype" w:cs="Palatino Linotype"/>
          <w:sz w:val="24"/>
          <w:szCs w:val="24"/>
        </w:rPr>
        <w:t xml:space="preserve">o remitió </w:t>
      </w:r>
      <w:r w:rsidRPr="00AE36F7">
        <w:rPr>
          <w:rFonts w:ascii="Palatino Linotype" w:eastAsia="Palatino Linotype" w:hAnsi="Palatino Linotype" w:cs="Palatino Linotype"/>
          <w:sz w:val="24"/>
          <w:szCs w:val="24"/>
        </w:rPr>
        <w:t>el Acuerdo de Reserva de Información 02/CT/41-ORD/2022 de la Cuadragésima Primera Sesión Ordinaria por medio del cual se confirma la clasificación de reserva parcial referente a los nombres, cargos, puestos, departamento y adscripción de todos</w:t>
      </w:r>
      <w:r w:rsidRPr="00AE36F7">
        <w:rPr>
          <w:rFonts w:ascii="Palatino Linotype" w:eastAsia="Palatino Linotype" w:hAnsi="Palatino Linotype" w:cs="Palatino Linotype"/>
          <w:sz w:val="24"/>
          <w:szCs w:val="24"/>
        </w:rPr>
        <w:t xml:space="preserve"> los servidores públicos adscritos al área encargada de la Seguridad Pública Municipal, remitiendo de nueva cuenta un listado en donde se aprecia testado los nombres, cargos, puestos, departamento y adscripción de todos los servidores públicos adscritos al</w:t>
      </w:r>
      <w:r w:rsidRPr="00AE36F7">
        <w:rPr>
          <w:rFonts w:ascii="Palatino Linotype" w:eastAsia="Palatino Linotype" w:hAnsi="Palatino Linotype" w:cs="Palatino Linotype"/>
          <w:sz w:val="24"/>
          <w:szCs w:val="24"/>
        </w:rPr>
        <w:t xml:space="preserve"> área encargada de </w:t>
      </w:r>
      <w:r w:rsidR="00AE36F7" w:rsidRPr="00AE36F7">
        <w:rPr>
          <w:rFonts w:ascii="Palatino Linotype" w:eastAsia="Palatino Linotype" w:hAnsi="Palatino Linotype" w:cs="Palatino Linotype"/>
          <w:sz w:val="24"/>
          <w:szCs w:val="24"/>
        </w:rPr>
        <w:t>la Seguridad Pública Municipal.</w:t>
      </w:r>
    </w:p>
    <w:p w:rsidR="000877F8" w:rsidRDefault="007A0287">
      <w:pPr>
        <w:spacing w:after="0" w:line="360" w:lineRule="auto"/>
        <w:ind w:right="139"/>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lastRenderedPageBreak/>
        <w:t xml:space="preserve">Por lo que, previo análisis de las constancias y de la naturaleza de la información, el Comisionado Ponente determinó en su </w:t>
      </w:r>
      <w:r>
        <w:rPr>
          <w:rFonts w:ascii="Palatino Linotype" w:eastAsia="Palatino Linotype" w:hAnsi="Palatino Linotype" w:cs="Palatino Linotype"/>
          <w:b/>
          <w:sz w:val="24"/>
          <w:szCs w:val="24"/>
        </w:rPr>
        <w:t>resolutivo segundo</w:t>
      </w:r>
      <w:r>
        <w:rPr>
          <w:rFonts w:ascii="Palatino Linotype" w:eastAsia="Palatino Linotype" w:hAnsi="Palatino Linotype" w:cs="Palatino Linotype"/>
          <w:sz w:val="24"/>
          <w:szCs w:val="24"/>
        </w:rPr>
        <w:t>, ordenar</w:t>
      </w:r>
      <w:r>
        <w:rPr>
          <w:rFonts w:ascii="Palatino Linotype" w:eastAsia="Palatino Linotype" w:hAnsi="Palatino Linotype" w:cs="Palatino Linotype"/>
          <w:b/>
          <w:sz w:val="24"/>
          <w:szCs w:val="24"/>
        </w:rPr>
        <w:t xml:space="preserve"> en versión pública, lo siguiente:</w:t>
      </w:r>
    </w:p>
    <w:p w:rsidR="000877F8" w:rsidRDefault="000877F8">
      <w:pPr>
        <w:spacing w:after="0" w:line="360" w:lineRule="auto"/>
        <w:jc w:val="both"/>
        <w:rPr>
          <w:rFonts w:ascii="Palatino Linotype" w:eastAsia="Palatino Linotype" w:hAnsi="Palatino Linotype" w:cs="Palatino Linotype"/>
          <w:i/>
          <w:sz w:val="24"/>
          <w:szCs w:val="24"/>
        </w:rPr>
      </w:pPr>
    </w:p>
    <w:p w:rsidR="000877F8" w:rsidRDefault="007A0287">
      <w:pPr>
        <w:spacing w:after="0" w:line="360" w:lineRule="auto"/>
        <w:ind w:left="567"/>
        <w:jc w:val="both"/>
        <w:rPr>
          <w:rFonts w:ascii="Palatino Linotype" w:eastAsia="Palatino Linotype" w:hAnsi="Palatino Linotype" w:cs="Palatino Linotype"/>
          <w:i/>
        </w:rPr>
      </w:pPr>
      <w:r>
        <w:rPr>
          <w:rFonts w:ascii="Palatino Linotype" w:eastAsia="Palatino Linotype" w:hAnsi="Palatino Linotype" w:cs="Palatino Linotype"/>
          <w:i/>
        </w:rPr>
        <w:t>“El listado remitido en Informe Justificado.</w:t>
      </w:r>
      <w:bookmarkStart w:id="2" w:name="_GoBack"/>
      <w:bookmarkEnd w:id="2"/>
    </w:p>
    <w:p w:rsidR="000877F8" w:rsidRDefault="007A0287">
      <w:pPr>
        <w:spacing w:after="0" w:line="360" w:lineRule="auto"/>
        <w:ind w:left="567"/>
        <w:jc w:val="both"/>
        <w:rPr>
          <w:rFonts w:ascii="Palatino Linotype" w:eastAsia="Palatino Linotype" w:hAnsi="Palatino Linotype" w:cs="Palatino Linotype"/>
          <w:i/>
        </w:rPr>
      </w:pPr>
      <w:r>
        <w:rPr>
          <w:rFonts w:ascii="Palatino Linotype" w:eastAsia="Palatino Linotype" w:hAnsi="Palatino Linotype" w:cs="Palatino Linotype"/>
          <w:i/>
        </w:rPr>
        <w:t>Además, deberá proporcionar el Acuerdo de Clasificación donde el Comité de Transparencia, confirme la eliminación de los datos referidos en el Considerando QUINTO, en la versi</w:t>
      </w:r>
      <w:r>
        <w:rPr>
          <w:rFonts w:ascii="Palatino Linotype" w:eastAsia="Palatino Linotype" w:hAnsi="Palatino Linotype" w:cs="Palatino Linotype"/>
          <w:i/>
        </w:rPr>
        <w:t>ón pública, de conformidad con los artículos 49, fracciones II y VIII y 132, fracción II de la Ley de Transparencia y Acceso a la Información Pública del Estado de México y Municipios.” (Sic)</w:t>
      </w:r>
    </w:p>
    <w:p w:rsidR="000877F8" w:rsidRDefault="000877F8">
      <w:pPr>
        <w:spacing w:line="240" w:lineRule="auto"/>
        <w:ind w:left="567" w:right="990"/>
        <w:jc w:val="both"/>
        <w:rPr>
          <w:rFonts w:ascii="Palatino Linotype" w:eastAsia="Palatino Linotype" w:hAnsi="Palatino Linotype" w:cs="Palatino Linotype"/>
          <w:i/>
        </w:rPr>
      </w:pPr>
    </w:p>
    <w:p w:rsidR="000877F8" w:rsidRDefault="007A0287">
      <w:pPr>
        <w:spacing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debe mencionarse, que como fue acordado, tratándose de información reservada como lo es el </w:t>
      </w:r>
      <w:r>
        <w:rPr>
          <w:rFonts w:ascii="Palatino Linotype" w:eastAsia="Palatino Linotype" w:hAnsi="Palatino Linotype" w:cs="Palatino Linotype"/>
          <w:b/>
          <w:sz w:val="24"/>
          <w:szCs w:val="24"/>
        </w:rPr>
        <w:t xml:space="preserve">nombre de los elementos operativos de la Dirección de Seguridad Pública Municipal que se encuentren activos, </w:t>
      </w:r>
      <w:r>
        <w:rPr>
          <w:rFonts w:ascii="Palatino Linotype" w:eastAsia="Palatino Linotype" w:hAnsi="Palatino Linotype" w:cs="Palatino Linotype"/>
          <w:sz w:val="24"/>
          <w:szCs w:val="24"/>
        </w:rPr>
        <w:t>se deberá clasificar como información res</w:t>
      </w:r>
      <w:r>
        <w:rPr>
          <w:rFonts w:ascii="Palatino Linotype" w:eastAsia="Palatino Linotype" w:hAnsi="Palatino Linotype" w:cs="Palatino Linotype"/>
          <w:sz w:val="24"/>
          <w:szCs w:val="24"/>
        </w:rPr>
        <w:t>ervada para lo que es necesario el desarrollo de la prueba de daño, debiendo valorar el daño que causaría la divulgación de la información, con la finalidad de sustentar la reserva y arribar a una determinación debidamente fundada y motivada que tenga como</w:t>
      </w:r>
      <w:r>
        <w:rPr>
          <w:rFonts w:ascii="Palatino Linotype" w:eastAsia="Palatino Linotype" w:hAnsi="Palatino Linotype" w:cs="Palatino Linotype"/>
          <w:sz w:val="24"/>
          <w:szCs w:val="24"/>
        </w:rPr>
        <w:t xml:space="preserve"> consecuencia la clasificación de la información, además de analizar si el periodo de clasificación resulta acorde con la naturaleza de la información requerida. En otras palabras, la determinación que Confirme una clasificación, debe contener un análisis </w:t>
      </w:r>
      <w:r>
        <w:rPr>
          <w:rFonts w:ascii="Palatino Linotype" w:eastAsia="Palatino Linotype" w:hAnsi="Palatino Linotype" w:cs="Palatino Linotype"/>
          <w:sz w:val="24"/>
          <w:szCs w:val="24"/>
        </w:rPr>
        <w:t xml:space="preserve">exhaustivo de los elementos de forma y fondo que establecen los artículos 122, 125, 128, 129, 130, 131, 132 fracción II, 134 de la Ley de Transparencia y Acceso a la Información Pública del Estado de </w:t>
      </w:r>
      <w:r>
        <w:rPr>
          <w:rFonts w:ascii="Palatino Linotype" w:eastAsia="Palatino Linotype" w:hAnsi="Palatino Linotype" w:cs="Palatino Linotype"/>
          <w:sz w:val="24"/>
          <w:szCs w:val="24"/>
        </w:rPr>
        <w:lastRenderedPageBreak/>
        <w:t>México y Municipios y los Lineamientos Generales en Mate</w:t>
      </w:r>
      <w:r>
        <w:rPr>
          <w:rFonts w:ascii="Palatino Linotype" w:eastAsia="Palatino Linotype" w:hAnsi="Palatino Linotype" w:cs="Palatino Linotype"/>
          <w:sz w:val="24"/>
          <w:szCs w:val="24"/>
        </w:rPr>
        <w:t xml:space="preserve">ria de Clasificación y Desclasificación de la Información, así como para la elaboración de Versiones Públicas. </w:t>
      </w:r>
    </w:p>
    <w:p w:rsidR="000877F8" w:rsidRDefault="007A0287">
      <w:pPr>
        <w:spacing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esta perspectiva, el Acuerdo de Clasificación de Información tiene como propósito primordial que los particulares conozcan de manera completa</w:t>
      </w:r>
      <w:r>
        <w:rPr>
          <w:rFonts w:ascii="Palatino Linotype" w:eastAsia="Palatino Linotype" w:hAnsi="Palatino Linotype" w:cs="Palatino Linotype"/>
          <w:sz w:val="24"/>
          <w:szCs w:val="24"/>
        </w:rPr>
        <w:t xml:space="preserve"> las condiciones y circunstancias que determinaron negar el acceso a la información; a través de la adecuada fundamentación y motivación de la clasificación de información, que incluya la prueba de daño a fin de establecer el perjuicio que podría provocar </w:t>
      </w:r>
      <w:r>
        <w:rPr>
          <w:rFonts w:ascii="Palatino Linotype" w:eastAsia="Palatino Linotype" w:hAnsi="Palatino Linotype" w:cs="Palatino Linotype"/>
          <w:sz w:val="24"/>
          <w:szCs w:val="24"/>
        </w:rPr>
        <w:t>la entrega de la información, toda vez que los artículos 128 y 129 de la Ley de la Materia, disponen que para que los sujetos obligados puedan invocar una causa se deberá fundar y motivar, a través de la aplicación de la prueba de daño, en la cual se justi</w:t>
      </w:r>
      <w:r>
        <w:rPr>
          <w:rFonts w:ascii="Palatino Linotype" w:eastAsia="Palatino Linotype" w:hAnsi="Palatino Linotype" w:cs="Palatino Linotype"/>
          <w:sz w:val="24"/>
          <w:szCs w:val="24"/>
        </w:rPr>
        <w:t xml:space="preserve">fique que la divulgación de la información representa un riesgo real demostrable e identificable al superar el interés público de que se difunda atendiendo al principio de proporcionalidad y el medio menos restrictivo disponible para evitar perjuicio. </w:t>
      </w:r>
    </w:p>
    <w:p w:rsidR="000877F8" w:rsidRDefault="007A0287">
      <w:pPr>
        <w:spacing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Al </w:t>
      </w:r>
      <w:r>
        <w:rPr>
          <w:rFonts w:ascii="Palatino Linotype" w:eastAsia="Palatino Linotype" w:hAnsi="Palatino Linotype" w:cs="Palatino Linotype"/>
          <w:sz w:val="24"/>
          <w:szCs w:val="24"/>
        </w:rPr>
        <w:t>respecto, los Lineamientos Generales en Materia de Clasificación y Desclasificación de la Información, así como para la elaboración de versiones públicas, establecen en su numeral Trigésimo Tercero que para la aplicación de la prueba de daño los sujetos ob</w:t>
      </w:r>
      <w:r>
        <w:rPr>
          <w:rFonts w:ascii="Palatino Linotype" w:eastAsia="Palatino Linotype" w:hAnsi="Palatino Linotype" w:cs="Palatino Linotype"/>
          <w:sz w:val="24"/>
          <w:szCs w:val="24"/>
        </w:rPr>
        <w:t xml:space="preserve">ligados atenderán lo siguiente: </w:t>
      </w:r>
    </w:p>
    <w:p w:rsidR="000877F8" w:rsidRDefault="007A0287">
      <w:pPr>
        <w:spacing w:line="240" w:lineRule="auto"/>
        <w:ind w:left="567" w:right="990"/>
        <w:jc w:val="both"/>
        <w:rPr>
          <w:rFonts w:ascii="Palatino Linotype" w:eastAsia="Palatino Linotype" w:hAnsi="Palatino Linotype" w:cs="Palatino Linotype"/>
          <w:i/>
        </w:rPr>
      </w:pPr>
      <w:r>
        <w:rPr>
          <w:rFonts w:ascii="Palatino Linotype" w:eastAsia="Palatino Linotype" w:hAnsi="Palatino Linotype" w:cs="Palatino Linotype"/>
          <w:i/>
        </w:rPr>
        <w:t xml:space="preserve">"Trigésimo tercero. Para la aplicación de la prueba de daño a la que hace referencia el artículo 104 de la Ley General, los sujetos obligados atenderán lo siguiente: </w:t>
      </w:r>
    </w:p>
    <w:p w:rsidR="000877F8" w:rsidRDefault="007A0287">
      <w:pPr>
        <w:numPr>
          <w:ilvl w:val="0"/>
          <w:numId w:val="1"/>
        </w:numPr>
        <w:pBdr>
          <w:top w:val="nil"/>
          <w:left w:val="nil"/>
          <w:bottom w:val="nil"/>
          <w:right w:val="nil"/>
          <w:between w:val="nil"/>
        </w:pBdr>
        <w:spacing w:after="0" w:line="240" w:lineRule="auto"/>
        <w:ind w:left="567" w:right="990" w:hanging="141"/>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lastRenderedPageBreak/>
        <w:t>Se deberá citar la fracción y, en su caso, la causal apl</w:t>
      </w:r>
      <w:r>
        <w:rPr>
          <w:rFonts w:ascii="Palatino Linotype" w:eastAsia="Palatino Linotype" w:hAnsi="Palatino Linotype" w:cs="Palatino Linotype"/>
          <w:i/>
          <w:color w:val="000000"/>
        </w:rPr>
        <w:t xml:space="preserve">icable del artículo 113 de la Ley General, vinculándola con el Lineamiento especifico del presente ordenamiento y, cuando corresponda, el supuesto normativo que expresamente le otorga el carácter de información reservada; </w:t>
      </w:r>
    </w:p>
    <w:p w:rsidR="000877F8" w:rsidRDefault="007A0287">
      <w:pPr>
        <w:numPr>
          <w:ilvl w:val="0"/>
          <w:numId w:val="1"/>
        </w:numPr>
        <w:pBdr>
          <w:top w:val="nil"/>
          <w:left w:val="nil"/>
          <w:bottom w:val="nil"/>
          <w:right w:val="nil"/>
          <w:between w:val="nil"/>
        </w:pBdr>
        <w:spacing w:after="0" w:line="240" w:lineRule="auto"/>
        <w:ind w:left="567" w:right="990" w:hanging="28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Mediante la ponderación de los in</w:t>
      </w:r>
      <w:r>
        <w:rPr>
          <w:rFonts w:ascii="Palatino Linotype" w:eastAsia="Palatino Linotype" w:hAnsi="Palatino Linotype" w:cs="Palatino Linotype"/>
          <w:i/>
          <w:color w:val="000000"/>
        </w:rPr>
        <w:t xml:space="preserve">tereses en conflicto, los sujetos obligados deberán demostrar que la publicidad de la información solicitada generaría un riesgo de perjuicio y por lo tanto, tendrán que acreditar que este último rebasa el interés público protegido por la reserva; </w:t>
      </w:r>
    </w:p>
    <w:p w:rsidR="000877F8" w:rsidRDefault="007A0287">
      <w:pPr>
        <w:numPr>
          <w:ilvl w:val="0"/>
          <w:numId w:val="1"/>
        </w:numPr>
        <w:pBdr>
          <w:top w:val="nil"/>
          <w:left w:val="nil"/>
          <w:bottom w:val="nil"/>
          <w:right w:val="nil"/>
          <w:between w:val="nil"/>
        </w:pBdr>
        <w:spacing w:after="0" w:line="240" w:lineRule="auto"/>
        <w:ind w:left="567" w:right="990" w:hanging="28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Se debe</w:t>
      </w:r>
      <w:r>
        <w:rPr>
          <w:rFonts w:ascii="Palatino Linotype" w:eastAsia="Palatino Linotype" w:hAnsi="Palatino Linotype" w:cs="Palatino Linotype"/>
          <w:i/>
          <w:color w:val="000000"/>
        </w:rPr>
        <w:t xml:space="preserve"> de acreditar el vínculo entre la difusión de la información y la afectación del interés jurídico tutelado de que se trate; </w:t>
      </w:r>
    </w:p>
    <w:p w:rsidR="000877F8" w:rsidRDefault="007A0287">
      <w:pPr>
        <w:numPr>
          <w:ilvl w:val="0"/>
          <w:numId w:val="1"/>
        </w:numPr>
        <w:pBdr>
          <w:top w:val="nil"/>
          <w:left w:val="nil"/>
          <w:bottom w:val="nil"/>
          <w:right w:val="nil"/>
          <w:between w:val="nil"/>
        </w:pBdr>
        <w:spacing w:after="0" w:line="240" w:lineRule="auto"/>
        <w:ind w:left="567" w:right="990" w:hanging="28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Precisar las razones objetivas por las que la apertura de la información generaría una afectación, a través de los elementos de un </w:t>
      </w:r>
      <w:r>
        <w:rPr>
          <w:rFonts w:ascii="Palatino Linotype" w:eastAsia="Palatino Linotype" w:hAnsi="Palatino Linotype" w:cs="Palatino Linotype"/>
          <w:i/>
          <w:color w:val="000000"/>
        </w:rPr>
        <w:t xml:space="preserve">riesgo real, demostrable e identificable; </w:t>
      </w:r>
    </w:p>
    <w:p w:rsidR="000877F8" w:rsidRDefault="007A0287">
      <w:pPr>
        <w:numPr>
          <w:ilvl w:val="0"/>
          <w:numId w:val="1"/>
        </w:numPr>
        <w:pBdr>
          <w:top w:val="nil"/>
          <w:left w:val="nil"/>
          <w:bottom w:val="nil"/>
          <w:right w:val="nil"/>
          <w:between w:val="nil"/>
        </w:pBdr>
        <w:spacing w:after="0" w:line="240" w:lineRule="auto"/>
        <w:ind w:left="567" w:right="990" w:hanging="28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En la motivación de la clasificación, el sujeto obligado deberá acreditar las circunstancias de modo, tiempo y lugar del daño, y </w:t>
      </w:r>
    </w:p>
    <w:p w:rsidR="000877F8" w:rsidRDefault="007A0287">
      <w:pPr>
        <w:numPr>
          <w:ilvl w:val="0"/>
          <w:numId w:val="1"/>
        </w:numPr>
        <w:pBdr>
          <w:top w:val="nil"/>
          <w:left w:val="nil"/>
          <w:bottom w:val="nil"/>
          <w:right w:val="nil"/>
          <w:between w:val="nil"/>
        </w:pBdr>
        <w:spacing w:after="0" w:line="240" w:lineRule="auto"/>
        <w:ind w:left="567" w:right="990" w:hanging="283"/>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Deberán elegir la opción de excepción al acceso a la información que menos lo restr</w:t>
      </w:r>
      <w:r>
        <w:rPr>
          <w:rFonts w:ascii="Palatino Linotype" w:eastAsia="Palatino Linotype" w:hAnsi="Palatino Linotype" w:cs="Palatino Linotype"/>
          <w:i/>
          <w:color w:val="000000"/>
        </w:rPr>
        <w:t xml:space="preserve">inja, la cual será adecuada y proporcional para la protección del interés público, y deberá inte1ferir lo menos posible en el ejercicio efectivo del derecho de acceso a la información."(Sic) </w:t>
      </w:r>
    </w:p>
    <w:p w:rsidR="000877F8" w:rsidRDefault="000877F8">
      <w:pPr>
        <w:spacing w:line="360" w:lineRule="auto"/>
        <w:ind w:right="-6"/>
        <w:jc w:val="both"/>
        <w:rPr>
          <w:rFonts w:ascii="Palatino Linotype" w:eastAsia="Palatino Linotype" w:hAnsi="Palatino Linotype" w:cs="Palatino Linotype"/>
          <w:sz w:val="24"/>
          <w:szCs w:val="24"/>
        </w:rPr>
      </w:pPr>
    </w:p>
    <w:p w:rsidR="000877F8" w:rsidRDefault="007A0287">
      <w:pPr>
        <w:spacing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conclusión, para convalidar la clasificación como información reservada, se debe efectuar el estudio de clasificación a la luz de los elementos que exigen los Lineamientos generales en materia de clasificación y desclasificación de la información, así c</w:t>
      </w:r>
      <w:r>
        <w:rPr>
          <w:rFonts w:ascii="Palatino Linotype" w:eastAsia="Palatino Linotype" w:hAnsi="Palatino Linotype" w:cs="Palatino Linotype"/>
          <w:sz w:val="24"/>
          <w:szCs w:val="24"/>
        </w:rPr>
        <w:t>omo para la elaboración de versiones públicas, y efectuar un análisis exhaustivo en todos aquellos casos que restrinjan el derecho de acceso a la información de los particulares, como es la figura de la clasificación de la información para verificar que se</w:t>
      </w:r>
      <w:r>
        <w:rPr>
          <w:rFonts w:ascii="Palatino Linotype" w:eastAsia="Palatino Linotype" w:hAnsi="Palatino Linotype" w:cs="Palatino Linotype"/>
          <w:sz w:val="24"/>
          <w:szCs w:val="24"/>
        </w:rPr>
        <w:t xml:space="preserve"> acredita la prueba de daño. </w:t>
      </w:r>
    </w:p>
    <w:p w:rsidR="000877F8" w:rsidRDefault="007A0287">
      <w:pPr>
        <w:spacing w:line="360" w:lineRule="auto"/>
        <w:ind w:right="139"/>
        <w:jc w:val="both"/>
        <w:rPr>
          <w:rFonts w:ascii="Palatino Linotype" w:eastAsia="Palatino Linotype" w:hAnsi="Palatino Linotype" w:cs="Palatino Linotype"/>
          <w:sz w:val="24"/>
          <w:szCs w:val="24"/>
        </w:rPr>
      </w:pPr>
      <w:bookmarkStart w:id="3" w:name="_heading=h.3znysh7" w:colFirst="0" w:colLast="0"/>
      <w:bookmarkEnd w:id="3"/>
      <w:r>
        <w:rPr>
          <w:rFonts w:ascii="Palatino Linotype" w:eastAsia="Palatino Linotype" w:hAnsi="Palatino Linotype" w:cs="Palatino Linotype"/>
          <w:sz w:val="24"/>
          <w:szCs w:val="24"/>
        </w:rPr>
        <w:t xml:space="preserve">Bajo este contexto, se analizó la resolución del recurso de revisión </w:t>
      </w:r>
      <w:r>
        <w:rPr>
          <w:rFonts w:ascii="Palatino Linotype" w:eastAsia="Palatino Linotype" w:hAnsi="Palatino Linotype" w:cs="Palatino Linotype"/>
          <w:b/>
          <w:sz w:val="24"/>
          <w:szCs w:val="24"/>
        </w:rPr>
        <w:t>06996/INFOEM/IP/RR/2022</w:t>
      </w:r>
      <w:r>
        <w:rPr>
          <w:rFonts w:ascii="Palatino Linotype" w:eastAsia="Palatino Linotype" w:hAnsi="Palatino Linotype" w:cs="Palatino Linotype"/>
          <w:sz w:val="24"/>
          <w:szCs w:val="24"/>
        </w:rPr>
        <w:t xml:space="preserve">, en la cual, el Comisionado Ponente, realiza la prueba </w:t>
      </w:r>
      <w:r>
        <w:rPr>
          <w:rFonts w:ascii="Palatino Linotype" w:eastAsia="Palatino Linotype" w:hAnsi="Palatino Linotype" w:cs="Palatino Linotype"/>
          <w:sz w:val="24"/>
          <w:szCs w:val="24"/>
        </w:rPr>
        <w:lastRenderedPageBreak/>
        <w:t>de daño a partir de los elementos proporcionados por las partes, circunstancia</w:t>
      </w:r>
      <w:r>
        <w:rPr>
          <w:rFonts w:ascii="Palatino Linotype" w:eastAsia="Palatino Linotype" w:hAnsi="Palatino Linotype" w:cs="Palatino Linotype"/>
          <w:sz w:val="24"/>
          <w:szCs w:val="24"/>
        </w:rPr>
        <w:t>s que, a consideración de la suscrita y derivado de lo antes señalado, les corresponde comprobar a los Sujetos Obligados, en razón de que, dentro de la Ley de Transparencia y Acceso a la Información Pública del Estado de México y Municipios, se encuentra q</w:t>
      </w:r>
      <w:r>
        <w:rPr>
          <w:rFonts w:ascii="Palatino Linotype" w:eastAsia="Palatino Linotype" w:hAnsi="Palatino Linotype" w:cs="Palatino Linotype"/>
          <w:sz w:val="24"/>
          <w:szCs w:val="24"/>
        </w:rPr>
        <w:t xml:space="preserve">ue, para reservar una información, se debe aplicar una prueba de daño, la cual es definida por la Ley de la Materia en su artículo 3 fracción XXXII, como: </w:t>
      </w:r>
    </w:p>
    <w:p w:rsidR="000877F8" w:rsidRDefault="007A0287">
      <w:pPr>
        <w:spacing w:line="240" w:lineRule="auto"/>
        <w:ind w:left="567" w:right="990"/>
        <w:jc w:val="both"/>
        <w:rPr>
          <w:rFonts w:ascii="Palatino Linotype" w:eastAsia="Palatino Linotype" w:hAnsi="Palatino Linotype" w:cs="Palatino Linotype"/>
          <w:sz w:val="24"/>
          <w:szCs w:val="24"/>
        </w:rPr>
      </w:pPr>
      <w:r>
        <w:rPr>
          <w:rFonts w:ascii="Palatino Linotype" w:eastAsia="Palatino Linotype" w:hAnsi="Palatino Linotype" w:cs="Palatino Linotype"/>
          <w:i/>
        </w:rPr>
        <w:t>“XXXIII. Prueba de Daño: Responsabilidad de los sujetos obligados de demostrar de manera fundada y m</w:t>
      </w:r>
      <w:r>
        <w:rPr>
          <w:rFonts w:ascii="Palatino Linotype" w:eastAsia="Palatino Linotype" w:hAnsi="Palatino Linotype" w:cs="Palatino Linotype"/>
          <w:i/>
        </w:rPr>
        <w:t>otivada que la divulgación de información lesiona el interés jurídicamente protegido por la Ley, y que el menoscabo o daño que puede producirse con la publicidad de la información es mayor que el interés de conocerla y por consiguiente debe clasificarse co</w:t>
      </w:r>
      <w:r>
        <w:rPr>
          <w:rFonts w:ascii="Palatino Linotype" w:eastAsia="Palatino Linotype" w:hAnsi="Palatino Linotype" w:cs="Palatino Linotype"/>
          <w:i/>
        </w:rPr>
        <w:t>mo reservada…” (Sic)</w:t>
      </w:r>
      <w:r>
        <w:rPr>
          <w:rFonts w:ascii="Palatino Linotype" w:eastAsia="Palatino Linotype" w:hAnsi="Palatino Linotype" w:cs="Palatino Linotype"/>
        </w:rPr>
        <w:t xml:space="preserve"> </w:t>
      </w:r>
    </w:p>
    <w:p w:rsidR="000877F8" w:rsidRDefault="007A0287">
      <w:pPr>
        <w:spacing w:line="360" w:lineRule="auto"/>
        <w:ind w:right="13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Precepto legal en donde establece que </w:t>
      </w:r>
      <w:r>
        <w:rPr>
          <w:rFonts w:ascii="Palatino Linotype" w:eastAsia="Palatino Linotype" w:hAnsi="Palatino Linotype" w:cs="Palatino Linotype"/>
          <w:b/>
          <w:sz w:val="24"/>
          <w:szCs w:val="24"/>
        </w:rPr>
        <w:t>los encargados de realizar la prueba de daño, son los Sujeto Obligados</w:t>
      </w:r>
      <w:r>
        <w:rPr>
          <w:rFonts w:ascii="Palatino Linotype" w:eastAsia="Palatino Linotype" w:hAnsi="Palatino Linotype" w:cs="Palatino Linotype"/>
          <w:sz w:val="24"/>
          <w:szCs w:val="24"/>
        </w:rPr>
        <w:t>; es decir, que los Sujetos Obligados quienes generan, administran o posean, la información, son los que deben de clasificar l</w:t>
      </w:r>
      <w:r>
        <w:rPr>
          <w:rFonts w:ascii="Palatino Linotype" w:eastAsia="Palatino Linotype" w:hAnsi="Palatino Linotype" w:cs="Palatino Linotype"/>
          <w:sz w:val="24"/>
          <w:szCs w:val="24"/>
        </w:rPr>
        <w:t xml:space="preserve">a información como reservada, por actualizar alguna causal de reserva señala en el artículo 140 de la Ley de la Materia, siendo los responsables de aplicar la prueba de daño para demostrar que la divulgación de la información lesiona interés jurídicamente </w:t>
      </w:r>
      <w:r>
        <w:rPr>
          <w:rFonts w:ascii="Palatino Linotype" w:eastAsia="Palatino Linotype" w:hAnsi="Palatino Linotype" w:cs="Palatino Linotype"/>
          <w:sz w:val="24"/>
          <w:szCs w:val="24"/>
        </w:rPr>
        <w:t xml:space="preserve">protegido por la Ley, y que el menoscabo o daño que puede producirse con la publicidad de la información es mayor que el interés de conocerla. </w:t>
      </w:r>
    </w:p>
    <w:p w:rsidR="000877F8" w:rsidRDefault="007A0287">
      <w:pPr>
        <w:spacing w:line="360" w:lineRule="auto"/>
        <w:ind w:right="139"/>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Esto es, que, a través de la prueba de daño, los Sujetos Obligados expongan las razones, motivos o circunstancias especiales que los lleven a concluir que la </w:t>
      </w:r>
      <w:r>
        <w:rPr>
          <w:rFonts w:ascii="Palatino Linotype" w:eastAsia="Palatino Linotype" w:hAnsi="Palatino Linotype" w:cs="Palatino Linotype"/>
          <w:b/>
          <w:sz w:val="24"/>
          <w:szCs w:val="24"/>
        </w:rPr>
        <w:lastRenderedPageBreak/>
        <w:t>información adquiere el carácter de reservada, y se ajusta a los supuestos previstos en la normati</w:t>
      </w:r>
      <w:r>
        <w:rPr>
          <w:rFonts w:ascii="Palatino Linotype" w:eastAsia="Palatino Linotype" w:hAnsi="Palatino Linotype" w:cs="Palatino Linotype"/>
          <w:b/>
          <w:sz w:val="24"/>
          <w:szCs w:val="24"/>
        </w:rPr>
        <w:t>vidad como fundamento.</w:t>
      </w:r>
    </w:p>
    <w:p w:rsidR="000877F8" w:rsidRDefault="007A0287">
      <w:pPr>
        <w:spacing w:line="360" w:lineRule="auto"/>
        <w:ind w:right="-6"/>
        <w:jc w:val="both"/>
        <w:rPr>
          <w:rFonts w:ascii="Palatino Linotype" w:eastAsia="Palatino Linotype" w:hAnsi="Palatino Linotype" w:cs="Palatino Linotype"/>
          <w:sz w:val="24"/>
          <w:szCs w:val="24"/>
        </w:rPr>
      </w:pPr>
      <w:bookmarkStart w:id="4" w:name="_heading=h.1fob9te" w:colFirst="0" w:colLast="0"/>
      <w:bookmarkEnd w:id="4"/>
      <w:r>
        <w:rPr>
          <w:rFonts w:ascii="Palatino Linotype" w:eastAsia="Palatino Linotype" w:hAnsi="Palatino Linotype" w:cs="Palatino Linotype"/>
          <w:sz w:val="24"/>
          <w:szCs w:val="24"/>
        </w:rPr>
        <w:t>Por lo que, en opinión de la Suscrita, y en términos de lo dispuesto por la normatividad en la materia son los Sujetos Obligados los que deben aportar los elementos desarrollar la prueba de daño necesaria y suficiente, a fin de garan</w:t>
      </w:r>
      <w:r>
        <w:rPr>
          <w:rFonts w:ascii="Palatino Linotype" w:eastAsia="Palatino Linotype" w:hAnsi="Palatino Linotype" w:cs="Palatino Linotype"/>
          <w:sz w:val="24"/>
          <w:szCs w:val="24"/>
        </w:rPr>
        <w:t xml:space="preserve">tizar la reserva de información y la adecuada temporalidad de esta, aportando elementos necesarios para su clasificación y favoreciendo, en su caso, la entrega de documentos mediante la versión pública. </w:t>
      </w:r>
    </w:p>
    <w:p w:rsidR="000877F8" w:rsidRDefault="003A5E3A">
      <w:pPr>
        <w:spacing w:line="360" w:lineRule="auto"/>
        <w:ind w:right="-6"/>
        <w:jc w:val="both"/>
        <w:rPr>
          <w:rFonts w:ascii="Palatino Linotype" w:eastAsia="Palatino Linotype" w:hAnsi="Palatino Linotype" w:cs="Palatino Linotype"/>
          <w:sz w:val="24"/>
          <w:szCs w:val="24"/>
        </w:rPr>
        <w:sectPr w:rsidR="000877F8">
          <w:headerReference w:type="even" r:id="rId8"/>
          <w:headerReference w:type="default" r:id="rId9"/>
          <w:footerReference w:type="default" r:id="rId10"/>
          <w:pgSz w:w="12240" w:h="15840"/>
          <w:pgMar w:top="1871" w:right="1327" w:bottom="2836" w:left="1985" w:header="709" w:footer="586" w:gutter="0"/>
          <w:pgNumType w:start="1"/>
          <w:cols w:space="720"/>
        </w:sectPr>
      </w:pPr>
      <w:r>
        <w:rPr>
          <w:noProof/>
        </w:rPr>
        <mc:AlternateContent>
          <mc:Choice Requires="wps">
            <w:drawing>
              <wp:anchor distT="0" distB="0" distL="114300" distR="114300" simplePos="0" relativeHeight="251658240" behindDoc="0" locked="0" layoutInCell="1" hidden="0" allowOverlap="1">
                <wp:simplePos x="0" y="0"/>
                <wp:positionH relativeFrom="column">
                  <wp:posOffset>63576</wp:posOffset>
                </wp:positionH>
                <wp:positionV relativeFrom="paragraph">
                  <wp:posOffset>648105</wp:posOffset>
                </wp:positionV>
                <wp:extent cx="5354727" cy="3196743"/>
                <wp:effectExtent l="0" t="0" r="36830" b="22860"/>
                <wp:wrapNone/>
                <wp:docPr id="23" name="Conector recto de flecha 23"/>
                <wp:cNvGraphicFramePr/>
                <a:graphic xmlns:a="http://schemas.openxmlformats.org/drawingml/2006/main">
                  <a:graphicData uri="http://schemas.microsoft.com/office/word/2010/wordprocessingShape">
                    <wps:wsp>
                      <wps:cNvCnPr/>
                      <wps:spPr>
                        <a:xfrm>
                          <a:off x="0" y="0"/>
                          <a:ext cx="5354727" cy="3196743"/>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961E1CD" id="_x0000_t32" coordsize="21600,21600" o:spt="32" o:oned="t" path="m,l21600,21600e" filled="f">
                <v:path arrowok="t" fillok="f" o:connecttype="none"/>
                <o:lock v:ext="edit" shapetype="t"/>
              </v:shapetype>
              <v:shape id="Conector recto de flecha 23" o:spid="_x0000_s1026" type="#_x0000_t32" style="position:absolute;margin-left:5pt;margin-top:51.05pt;width:421.65pt;height:25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3cv6wEAAMYDAAAOAAAAZHJzL2Uyb0RvYy54bWysU0tvGjEQvlfqf7B8L8tCCAliyQGaXqoW&#10;qe0PmPjBWvVLHpeFf9+xl5I+DpGi7sE7nuc334zXDydn2VElNMF3vJ1MOVNeBGn8oePfvj6+u+MM&#10;M3gJNnjV8bNC/rB5+2Y9xJWahT5YqRKjJB5XQ+x4n3NcNQ2KXjnASYjKk1GH5CDTNR0amWCg7M42&#10;s+n0thlCkjEFoRBJuxuNfFPza61E/qw1qsxsxwlbrmeq51M5m80aVocEsTfiAgNegcKB8VT0mmoH&#10;GdiPZP5J5YxIAYPOExFcE7Q2QtUeqJt2+lc3X3qIqvZC5GC80oT/L634dNwnZmTHZ3POPDia0ZYm&#10;JXJILJUfk4ppq0QPjFyIryHiisK2fp8uN4z7VJo/6eTKn9pip8rx+cqxOmUmSLmYL26WsyVngmzz&#10;9v52eVOzNs/hMWH+oIJjReg45gTm0GeCNeJqK9Nw/IiZAFDgr4BS24dHY20dq/Vs6Pj9YragakDL&#10;pS1kEl2kdtEfahoM1sgSUoLr2qmtTewItDDye1sapgp/eJVyO8B+dKqmcY+cybTM1riO303LN6p7&#10;BfK9lyyfI7HriV1egKHjzCp6NSRUvBmMfdmP0FhPoMoYRuKL9BTkuc6j6mlZKuzLYpdt/P1eo5+f&#10;3+YnAAAA//8DAFBLAwQUAAYACAAAACEA/jrvKN0AAAAKAQAADwAAAGRycy9kb3ducmV2LnhtbEyP&#10;wWrDMBBE74X+g9hCb42UuDbBtRxCoYecQtN8gGxtbVNpZSzFcf6+m1N7WoYdZt5Uu8U7MeMUh0Aa&#10;1isFAqkNdqBOw/nr42ULIiZD1rhAqOGGEXb140NlShuu9InzKXWCQyiWRkOf0lhKGdsevYmrMCLx&#10;7ztM3iSWUyftZK4c7p3cKFVIbwbiht6M+N5j+3O6eA37+dBlMjvOt4FeMRVuPoTmqPXz07J/A5Fw&#10;SX9muOMzOtTM1IQL2Sgca8VT0v1u1iDYsM2zDESjoVB5DrKu5P8J9S8AAAD//wMAUEsBAi0AFAAG&#10;AAgAAAAhALaDOJL+AAAA4QEAABMAAAAAAAAAAAAAAAAAAAAAAFtDb250ZW50X1R5cGVzXS54bWxQ&#10;SwECLQAUAAYACAAAACEAOP0h/9YAAACUAQAACwAAAAAAAAAAAAAAAAAvAQAAX3JlbHMvLnJlbHNQ&#10;SwECLQAUAAYACAAAACEAmV93L+sBAADGAwAADgAAAAAAAAAAAAAAAAAuAgAAZHJzL2Uyb0RvYy54&#10;bWxQSwECLQAUAAYACAAAACEA/jrvKN0AAAAKAQAADwAAAAAAAAAAAAAAAABFBAAAZHJzL2Rvd25y&#10;ZXYueG1sUEsFBgAAAAAEAAQA8wAAAE8FAAAAAA==&#10;" strokecolor="black [3200]">
                <v:stroke startarrowwidth="narrow" startarrowlength="short" endarrowwidth="narrow" endarrowlength="short" joinstyle="miter"/>
              </v:shape>
            </w:pict>
          </mc:Fallback>
        </mc:AlternateContent>
      </w:r>
      <w:r w:rsidR="007A0287">
        <w:rPr>
          <w:rFonts w:ascii="Palatino Linotype" w:eastAsia="Palatino Linotype" w:hAnsi="Palatino Linotype" w:cs="Palatino Linotype"/>
          <w:sz w:val="24"/>
          <w:szCs w:val="24"/>
        </w:rPr>
        <w:t>Lo expuesto, constituyen las razones y fundamentos que me llevan a emitir la opinión particular que se ha expresado.</w:t>
      </w:r>
    </w:p>
    <w:p w:rsidR="000877F8" w:rsidRDefault="000877F8">
      <w:pPr>
        <w:spacing w:before="240" w:after="240" w:line="360" w:lineRule="auto"/>
        <w:ind w:right="423"/>
        <w:jc w:val="both"/>
        <w:rPr>
          <w:rFonts w:ascii="Palatino Linotype" w:eastAsia="Palatino Linotype" w:hAnsi="Palatino Linotype" w:cs="Palatino Linotype"/>
          <w:sz w:val="24"/>
          <w:szCs w:val="24"/>
        </w:rPr>
      </w:pPr>
    </w:p>
    <w:sectPr w:rsidR="000877F8">
      <w:headerReference w:type="default" r:id="rId11"/>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287" w:rsidRDefault="007A0287">
      <w:pPr>
        <w:spacing w:after="0" w:line="240" w:lineRule="auto"/>
      </w:pPr>
      <w:r>
        <w:separator/>
      </w:r>
    </w:p>
  </w:endnote>
  <w:endnote w:type="continuationSeparator" w:id="0">
    <w:p w:rsidR="007A0287" w:rsidRDefault="007A0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7F8" w:rsidRDefault="007A028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3A5E3A">
      <w:rPr>
        <w:rFonts w:ascii="Arial" w:eastAsia="Arial" w:hAnsi="Arial" w:cs="Arial"/>
        <w:b/>
        <w:color w:val="000000"/>
        <w:sz w:val="20"/>
        <w:szCs w:val="20"/>
      </w:rPr>
      <w:fldChar w:fldCharType="separate"/>
    </w:r>
    <w:r w:rsidR="00CA53F5">
      <w:rPr>
        <w:rFonts w:ascii="Arial" w:eastAsia="Arial" w:hAnsi="Arial" w:cs="Arial"/>
        <w:b/>
        <w:noProof/>
        <w:color w:val="000000"/>
        <w:sz w:val="20"/>
        <w:szCs w:val="20"/>
      </w:rPr>
      <w:t>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3A5E3A">
      <w:rPr>
        <w:rFonts w:ascii="Arial" w:eastAsia="Arial" w:hAnsi="Arial" w:cs="Arial"/>
        <w:b/>
        <w:color w:val="000000"/>
        <w:sz w:val="20"/>
        <w:szCs w:val="20"/>
      </w:rPr>
      <w:fldChar w:fldCharType="separate"/>
    </w:r>
    <w:r w:rsidR="00CA53F5">
      <w:rPr>
        <w:rFonts w:ascii="Arial" w:eastAsia="Arial" w:hAnsi="Arial" w:cs="Arial"/>
        <w:b/>
        <w:noProof/>
        <w:color w:val="000000"/>
        <w:sz w:val="20"/>
        <w:szCs w:val="20"/>
      </w:rPr>
      <w:t>8</w:t>
    </w:r>
    <w:r>
      <w:rPr>
        <w:rFonts w:ascii="Arial" w:eastAsia="Arial" w:hAnsi="Arial" w:cs="Arial"/>
        <w:b/>
        <w:color w:val="000000"/>
        <w:sz w:val="20"/>
        <w:szCs w:val="20"/>
      </w:rPr>
      <w:fldChar w:fldCharType="end"/>
    </w:r>
  </w:p>
  <w:p w:rsidR="000877F8" w:rsidRDefault="000877F8">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287" w:rsidRDefault="007A0287">
      <w:pPr>
        <w:spacing w:after="0" w:line="240" w:lineRule="auto"/>
      </w:pPr>
      <w:r>
        <w:separator/>
      </w:r>
    </w:p>
  </w:footnote>
  <w:footnote w:type="continuationSeparator" w:id="0">
    <w:p w:rsidR="007A0287" w:rsidRDefault="007A0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7F8" w:rsidRDefault="007A028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g">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6614295" cy="6614295"/>
              <wp:effectExtent l="0" t="0" r="0" b="0"/>
              <wp:wrapNone/>
              <wp:docPr id="22" name="Rectángulo 22"/>
              <wp:cNvGraphicFramePr/>
              <a:graphic xmlns:a="http://schemas.openxmlformats.org/drawingml/2006/main">
                <a:graphicData uri="http://schemas.microsoft.com/office/word/2010/wordprocessingShape">
                  <wps:wsp>
                    <wps:cNvSpPr/>
                    <wps:spPr>
                      <a:xfrm rot="-2700000">
                        <a:off x="2440875" y="3394238"/>
                        <a:ext cx="5810250" cy="771525"/>
                      </a:xfrm>
                      <a:prstGeom prst="rect">
                        <a:avLst/>
                      </a:prstGeom>
                      <a:noFill/>
                      <a:ln>
                        <a:noFill/>
                      </a:ln>
                    </wps:spPr>
                    <wps:txbx>
                      <w:txbxContent>
                        <w:p w:rsidR="000877F8" w:rsidRDefault="007A0287">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614295" cy="6614295"/>
              <wp:effectExtent b="0" l="0" r="0" t="0"/>
              <wp:wrapNone/>
              <wp:docPr id="2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614295" cy="6614295"/>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7F8" w:rsidRDefault="007A028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rPr>
      <w:drawing>
        <wp:anchor distT="0" distB="0" distL="0" distR="0" simplePos="0" relativeHeight="251658240" behindDoc="1" locked="0" layoutInCell="1" hidden="0" allowOverlap="1">
          <wp:simplePos x="0" y="0"/>
          <wp:positionH relativeFrom="column">
            <wp:posOffset>-1096621</wp:posOffset>
          </wp:positionH>
          <wp:positionV relativeFrom="paragraph">
            <wp:posOffset>-434355</wp:posOffset>
          </wp:positionV>
          <wp:extent cx="7521053" cy="9897494"/>
          <wp:effectExtent l="0" t="0" r="0" b="0"/>
          <wp:wrapNone/>
          <wp:docPr id="2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21053" cy="9897494"/>
                  </a:xfrm>
                  <a:prstGeom prst="rect">
                    <a:avLst/>
                  </a:prstGeom>
                  <a:ln/>
                </pic:spPr>
              </pic:pic>
            </a:graphicData>
          </a:graphic>
        </wp:anchor>
      </w:drawing>
    </w:r>
  </w:p>
  <w:p w:rsidR="000877F8" w:rsidRDefault="000877F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0877F8" w:rsidRDefault="000877F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0877F8" w:rsidRDefault="007A028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OPINIÓN PARTICULAR </w:t>
    </w:r>
  </w:p>
  <w:p w:rsidR="000877F8" w:rsidRDefault="007A028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RECURSO DE REVISIÓN </w:t>
    </w:r>
    <w:r>
      <w:rPr>
        <w:rFonts w:ascii="Palatino Linotype" w:eastAsia="Palatino Linotype" w:hAnsi="Palatino Linotype" w:cs="Palatino Linotype"/>
        <w:b/>
        <w:color w:val="000000"/>
      </w:rPr>
      <w:t>06996/INFOEM/IP/RR/2022.</w:t>
    </w:r>
  </w:p>
  <w:p w:rsidR="000877F8" w:rsidRDefault="000877F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7F8" w:rsidRDefault="000877F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0877F8" w:rsidRDefault="000877F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0877F8" w:rsidRDefault="000877F8">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0877F8" w:rsidRDefault="000877F8">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B5CF0"/>
    <w:multiLevelType w:val="multilevel"/>
    <w:tmpl w:val="491C38A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7F8"/>
    <w:rsid w:val="000877F8"/>
    <w:rsid w:val="003A5E3A"/>
    <w:rsid w:val="007A0287"/>
    <w:rsid w:val="00AE36F7"/>
    <w:rsid w:val="00CA53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C16942-E78D-4568-9701-8BE0E381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GxFmaDF1FnNyXzd1n4jn3BNBLg==">AMUW2mXDDLkhR+9VPAsQsQ7irfntHuUCjes9YSQ+jhj7NkZNA/wsEkvcbI0kXXBVzQ3sGhgMqGe1UdLtDHmijjEbea3EH+4SWUDMOrCVpxhD49lRFz1oSRPvVx+TMwpx9IJTm2CE1ryDBvdKoMyE7G7CgINpPokez6GKIbjTwcSA2aDmKqyg8jw=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1536</Words>
  <Characters>8454</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Jhancarlo</cp:lastModifiedBy>
  <cp:revision>3</cp:revision>
  <cp:lastPrinted>2022-12-05T16:40:00Z</cp:lastPrinted>
  <dcterms:created xsi:type="dcterms:W3CDTF">2022-12-02T19:57:00Z</dcterms:created>
  <dcterms:modified xsi:type="dcterms:W3CDTF">2022-12-05T16:40:00Z</dcterms:modified>
</cp:coreProperties>
</file>