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C422C2" w:rsidRDefault="000B2A76" w:rsidP="000B2A76">
      <w:pPr>
        <w:spacing w:before="240" w:after="240" w:line="360" w:lineRule="auto"/>
        <w:jc w:val="both"/>
        <w:rPr>
          <w:rFonts w:ascii="Palatino Linotype" w:hAnsi="Palatino Linotype"/>
          <w:b/>
          <w:sz w:val="24"/>
          <w:szCs w:val="24"/>
        </w:rPr>
      </w:pPr>
      <w:bookmarkStart w:id="0" w:name="_GoBack"/>
      <w:bookmarkEnd w:id="0"/>
      <w:r w:rsidRPr="00C422C2">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VIGÉSIMA </w:t>
      </w:r>
      <w:r w:rsidR="008C438F" w:rsidRPr="00C422C2">
        <w:rPr>
          <w:rFonts w:ascii="Palatino Linotype" w:hAnsi="Palatino Linotype"/>
          <w:b/>
          <w:sz w:val="24"/>
          <w:szCs w:val="24"/>
        </w:rPr>
        <w:t>QUIN</w:t>
      </w:r>
      <w:r w:rsidR="008E58A8" w:rsidRPr="00C422C2">
        <w:rPr>
          <w:rFonts w:ascii="Palatino Linotype" w:hAnsi="Palatino Linotype"/>
          <w:b/>
          <w:sz w:val="24"/>
          <w:szCs w:val="24"/>
        </w:rPr>
        <w:t>T</w:t>
      </w:r>
      <w:r w:rsidR="00AF1499" w:rsidRPr="00C422C2">
        <w:rPr>
          <w:rFonts w:ascii="Palatino Linotype" w:hAnsi="Palatino Linotype"/>
          <w:b/>
          <w:sz w:val="24"/>
          <w:szCs w:val="24"/>
        </w:rPr>
        <w:t xml:space="preserve">A </w:t>
      </w:r>
      <w:r w:rsidRPr="00C422C2">
        <w:rPr>
          <w:rFonts w:ascii="Palatino Linotype" w:hAnsi="Palatino Linotype"/>
          <w:b/>
          <w:sz w:val="24"/>
          <w:szCs w:val="24"/>
        </w:rPr>
        <w:t xml:space="preserve">SESIÓN ORDINARIA DEL </w:t>
      </w:r>
      <w:r w:rsidR="008C438F" w:rsidRPr="00C422C2">
        <w:rPr>
          <w:rFonts w:ascii="Palatino Linotype" w:hAnsi="Palatino Linotype"/>
          <w:b/>
          <w:sz w:val="24"/>
          <w:szCs w:val="24"/>
        </w:rPr>
        <w:t>SEIS DE JUL</w:t>
      </w:r>
      <w:r w:rsidRPr="00C422C2">
        <w:rPr>
          <w:rFonts w:ascii="Palatino Linotype" w:hAnsi="Palatino Linotype"/>
          <w:b/>
          <w:sz w:val="24"/>
          <w:szCs w:val="24"/>
        </w:rPr>
        <w:t>IO DE DOS MIL VEINTIDÓS, EN EL RECURSO DE REVISIÓN 0</w:t>
      </w:r>
      <w:r w:rsidR="002E2039" w:rsidRPr="00C422C2">
        <w:rPr>
          <w:rFonts w:ascii="Palatino Linotype" w:hAnsi="Palatino Linotype"/>
          <w:b/>
          <w:sz w:val="24"/>
          <w:szCs w:val="24"/>
        </w:rPr>
        <w:t>394</w:t>
      </w:r>
      <w:r w:rsidR="008C438F" w:rsidRPr="00C422C2">
        <w:rPr>
          <w:rFonts w:ascii="Palatino Linotype" w:hAnsi="Palatino Linotype"/>
          <w:b/>
          <w:sz w:val="24"/>
          <w:szCs w:val="24"/>
        </w:rPr>
        <w:t>6</w:t>
      </w:r>
      <w:r w:rsidRPr="00C422C2">
        <w:rPr>
          <w:rFonts w:ascii="Palatino Linotype" w:hAnsi="Palatino Linotype"/>
          <w:b/>
          <w:sz w:val="24"/>
          <w:szCs w:val="24"/>
        </w:rPr>
        <w:t>/INFOEM/IP/RR/2022.</w:t>
      </w:r>
    </w:p>
    <w:p w:rsidR="000B2A76" w:rsidRPr="00C422C2" w:rsidRDefault="000B2A76" w:rsidP="000B2A76">
      <w:pPr>
        <w:spacing w:before="240" w:after="240" w:line="360" w:lineRule="auto"/>
        <w:jc w:val="both"/>
        <w:rPr>
          <w:rFonts w:ascii="Palatino Linotype" w:hAnsi="Palatino Linotype"/>
          <w:sz w:val="24"/>
          <w:szCs w:val="24"/>
        </w:rPr>
      </w:pPr>
      <w:r w:rsidRPr="00C422C2">
        <w:rPr>
          <w:rFonts w:ascii="Palatino Linotype" w:hAnsi="Palatino Linotype"/>
          <w:sz w:val="24"/>
          <w:szCs w:val="24"/>
        </w:rPr>
        <w:t xml:space="preserve">El pleno del Instituto de Transparencia, Acceso a la Información Pública y Protección de Datos Personales del Estado de México y Municipios, aprobó por </w:t>
      </w:r>
      <w:r w:rsidR="00AF1499" w:rsidRPr="00C422C2">
        <w:rPr>
          <w:rFonts w:ascii="Palatino Linotype" w:hAnsi="Palatino Linotype"/>
          <w:sz w:val="24"/>
          <w:szCs w:val="24"/>
        </w:rPr>
        <w:t>unanimidad</w:t>
      </w:r>
      <w:r w:rsidR="00D36CD9" w:rsidRPr="00C422C2">
        <w:rPr>
          <w:rFonts w:ascii="Palatino Linotype" w:hAnsi="Palatino Linotype"/>
          <w:sz w:val="24"/>
          <w:szCs w:val="24"/>
        </w:rPr>
        <w:t xml:space="preserve"> </w:t>
      </w:r>
      <w:r w:rsidRPr="00C422C2">
        <w:rPr>
          <w:rFonts w:ascii="Palatino Linotype" w:hAnsi="Palatino Linotype"/>
          <w:sz w:val="24"/>
          <w:szCs w:val="24"/>
        </w:rPr>
        <w:t xml:space="preserve">de votos, la resolución relativa al recurso de revisión </w:t>
      </w:r>
      <w:r w:rsidR="002E2039" w:rsidRPr="00C422C2">
        <w:rPr>
          <w:rFonts w:ascii="Palatino Linotype" w:hAnsi="Palatino Linotype"/>
          <w:b/>
          <w:sz w:val="24"/>
          <w:szCs w:val="24"/>
        </w:rPr>
        <w:t>0394</w:t>
      </w:r>
      <w:r w:rsidR="008C438F" w:rsidRPr="00C422C2">
        <w:rPr>
          <w:rFonts w:ascii="Palatino Linotype" w:hAnsi="Palatino Linotype"/>
          <w:b/>
          <w:sz w:val="24"/>
          <w:szCs w:val="24"/>
        </w:rPr>
        <w:t>6</w:t>
      </w:r>
      <w:r w:rsidRPr="00C422C2">
        <w:rPr>
          <w:rFonts w:ascii="Palatino Linotype" w:hAnsi="Palatino Linotype"/>
          <w:b/>
          <w:sz w:val="24"/>
          <w:szCs w:val="24"/>
        </w:rPr>
        <w:t>/INFOEM/IP/RR/2022,</w:t>
      </w:r>
      <w:r w:rsidRPr="00C422C2">
        <w:rPr>
          <w:rFonts w:ascii="Palatino Linotype" w:hAnsi="Palatino Linotype"/>
          <w:sz w:val="24"/>
          <w:szCs w:val="24"/>
        </w:rPr>
        <w:t xml:space="preserve"> presentada por el Comisionado Luis Gustavo Parra Noriega, respecto de la cual, la suscrita formula </w:t>
      </w:r>
      <w:r w:rsidRPr="00C422C2">
        <w:rPr>
          <w:rFonts w:ascii="Palatino Linotype" w:hAnsi="Palatino Linotype"/>
          <w:b/>
          <w:sz w:val="24"/>
          <w:szCs w:val="24"/>
        </w:rPr>
        <w:t>OPINIÓN  PARTICULAR</w:t>
      </w:r>
      <w:r w:rsidRPr="00C422C2">
        <w:rPr>
          <w:rFonts w:ascii="Palatino Linotype" w:hAnsi="Palatino Linotype"/>
          <w:sz w:val="24"/>
          <w:szCs w:val="24"/>
        </w:rPr>
        <w:t>,  con fundamento en el artículo 14 fracción XI del Reglamento Interior del Instituto de Transparencia, Acceso a la Información Pública y Protección de Datos Personales del Estado de México y Municipios.</w:t>
      </w:r>
    </w:p>
    <w:p w:rsidR="000B2A76" w:rsidRPr="00C422C2" w:rsidRDefault="000B2A76" w:rsidP="000B2A76">
      <w:pPr>
        <w:spacing w:before="240" w:after="240" w:line="360" w:lineRule="auto"/>
        <w:jc w:val="both"/>
        <w:rPr>
          <w:rFonts w:ascii="Palatino Linotype" w:hAnsi="Palatino Linotype"/>
          <w:sz w:val="24"/>
          <w:szCs w:val="24"/>
        </w:rPr>
      </w:pPr>
      <w:r w:rsidRPr="00C422C2">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8E58A8" w:rsidRPr="00C422C2" w:rsidRDefault="000B2A76" w:rsidP="00081965">
      <w:pPr>
        <w:spacing w:before="240" w:after="240" w:line="360" w:lineRule="auto"/>
        <w:jc w:val="both"/>
        <w:rPr>
          <w:rFonts w:ascii="Palatino Linotype" w:hAnsi="Palatino Linotype"/>
          <w:sz w:val="24"/>
          <w:szCs w:val="24"/>
        </w:rPr>
      </w:pPr>
      <w:r w:rsidRPr="00C422C2">
        <w:rPr>
          <w:rFonts w:ascii="Palatino Linotype" w:hAnsi="Palatino Linotype"/>
          <w:sz w:val="24"/>
          <w:szCs w:val="24"/>
        </w:rPr>
        <w:t xml:space="preserve">En el caso concreto el hoy Recurrente requirió al </w:t>
      </w:r>
      <w:r w:rsidR="002E2039" w:rsidRPr="00C422C2">
        <w:rPr>
          <w:rFonts w:ascii="Palatino Linotype" w:hAnsi="Palatino Linotype"/>
          <w:bCs/>
          <w:sz w:val="24"/>
          <w:szCs w:val="24"/>
        </w:rPr>
        <w:t>Ayuntamiento de Ixtlahuaca</w:t>
      </w:r>
      <w:r w:rsidRPr="00C422C2">
        <w:rPr>
          <w:rFonts w:ascii="Palatino Linotype" w:hAnsi="Palatino Linotype"/>
          <w:sz w:val="24"/>
          <w:szCs w:val="24"/>
        </w:rPr>
        <w:t>, que en esencia se le proporcionara</w:t>
      </w:r>
      <w:r w:rsidR="00081965" w:rsidRPr="00C422C2">
        <w:rPr>
          <w:rFonts w:ascii="Palatino Linotype" w:hAnsi="Palatino Linotype"/>
          <w:sz w:val="24"/>
          <w:szCs w:val="24"/>
        </w:rPr>
        <w:t xml:space="preserve"> </w:t>
      </w:r>
      <w:bookmarkStart w:id="1" w:name="_Hlk105611386"/>
      <w:r w:rsidR="002E2039" w:rsidRPr="00C422C2">
        <w:rPr>
          <w:rFonts w:ascii="Palatino Linotype" w:hAnsi="Palatino Linotype"/>
          <w:sz w:val="24"/>
          <w:szCs w:val="24"/>
        </w:rPr>
        <w:t xml:space="preserve">el listado el nombre completo, cargo, adscripción, </w:t>
      </w:r>
      <w:r w:rsidR="002E2039" w:rsidRPr="00C422C2">
        <w:rPr>
          <w:rFonts w:ascii="Palatino Linotype" w:hAnsi="Palatino Linotype"/>
          <w:sz w:val="24"/>
          <w:szCs w:val="24"/>
        </w:rPr>
        <w:lastRenderedPageBreak/>
        <w:t>escolaridad y sueldo bruto y neto de todo el personal de base y de confianza adscrito al Ayuntamiento de Ixtlahuaca que haya laborado durante la primer quincena del mes de febrero de la presente anualidad</w:t>
      </w:r>
      <w:r w:rsidR="00D07D24" w:rsidRPr="00C422C2">
        <w:rPr>
          <w:rFonts w:ascii="Palatino Linotype" w:hAnsi="Palatino Linotype"/>
          <w:sz w:val="24"/>
          <w:szCs w:val="24"/>
        </w:rPr>
        <w:t xml:space="preserve">. </w:t>
      </w:r>
    </w:p>
    <w:p w:rsidR="002E2039" w:rsidRPr="00C422C2" w:rsidRDefault="00081965" w:rsidP="00C422C2">
      <w:pPr>
        <w:spacing w:after="0" w:line="360" w:lineRule="auto"/>
        <w:jc w:val="both"/>
        <w:rPr>
          <w:rFonts w:ascii="Palatino Linotype" w:eastAsia="Calibri" w:hAnsi="Palatino Linotype" w:cs="Times New Roman"/>
          <w:color w:val="000000"/>
          <w:sz w:val="24"/>
          <w:szCs w:val="24"/>
        </w:rPr>
      </w:pPr>
      <w:r w:rsidRPr="00C422C2">
        <w:rPr>
          <w:rFonts w:ascii="Palatino Linotype" w:hAnsi="Palatino Linotype"/>
          <w:sz w:val="24"/>
          <w:szCs w:val="24"/>
        </w:rPr>
        <w:t xml:space="preserve">El Sujeto Obligado </w:t>
      </w:r>
      <w:bookmarkEnd w:id="1"/>
      <w:r w:rsidR="00D07D24" w:rsidRPr="00C422C2">
        <w:rPr>
          <w:rFonts w:ascii="Palatino Linotype" w:eastAsia="Calibri" w:hAnsi="Palatino Linotype" w:cs="Times New Roman"/>
          <w:color w:val="000000"/>
          <w:sz w:val="24"/>
          <w:szCs w:val="24"/>
        </w:rPr>
        <w:t xml:space="preserve">notificó, a través del Sistema de Acceso a la Información Mexiquense (SAIMEX), la respuesta a la solicitud de acceso a la información pública, </w:t>
      </w:r>
      <w:r w:rsidR="002E2039" w:rsidRPr="00C422C2">
        <w:rPr>
          <w:rFonts w:ascii="Palatino Linotype" w:eastAsia="Calibri" w:hAnsi="Palatino Linotype" w:cs="Times New Roman"/>
          <w:color w:val="000000"/>
          <w:sz w:val="24"/>
          <w:szCs w:val="24"/>
        </w:rPr>
        <w:t>a través del oficio número PMIX/DA/RH/0412/2022, de la misma fecha de recepción, suscrito por la Directora de Administración y dirigido a la Titular de la Unidad de Transparencia y Acceso a la Información Pública Municipal, en los siguientes términos:</w:t>
      </w:r>
    </w:p>
    <w:p w:rsidR="002E2039" w:rsidRPr="002E2039" w:rsidRDefault="002E2039" w:rsidP="00C422C2">
      <w:pPr>
        <w:spacing w:after="0" w:line="276" w:lineRule="auto"/>
        <w:ind w:left="567" w:right="706"/>
        <w:jc w:val="both"/>
        <w:rPr>
          <w:rFonts w:ascii="Palatino Linotype" w:eastAsia="Calibri" w:hAnsi="Palatino Linotype" w:cs="Times New Roman"/>
          <w:color w:val="000000"/>
        </w:rPr>
      </w:pPr>
      <w:r w:rsidRPr="002E2039">
        <w:rPr>
          <w:rFonts w:ascii="Palatino Linotype" w:eastAsia="Calibri" w:hAnsi="Palatino Linotype" w:cs="Times New Roman"/>
          <w:color w:val="000000"/>
        </w:rPr>
        <w:t>“…</w:t>
      </w:r>
    </w:p>
    <w:p w:rsidR="002E2039" w:rsidRPr="002E2039" w:rsidRDefault="002E2039" w:rsidP="00C422C2">
      <w:pPr>
        <w:spacing w:after="0" w:line="276" w:lineRule="auto"/>
        <w:ind w:left="567" w:right="706"/>
        <w:jc w:val="both"/>
        <w:rPr>
          <w:rFonts w:ascii="Palatino Linotype" w:eastAsia="Calibri" w:hAnsi="Palatino Linotype" w:cs="Times New Roman"/>
          <w:i/>
          <w:iCs/>
          <w:color w:val="000000"/>
        </w:rPr>
      </w:pPr>
      <w:r w:rsidRPr="002E2039">
        <w:rPr>
          <w:rFonts w:ascii="Palatino Linotype" w:eastAsia="Calibri" w:hAnsi="Palatino Linotype" w:cs="Times New Roman"/>
          <w:i/>
          <w:iCs/>
          <w:color w:val="000000"/>
        </w:rPr>
        <w:t>“Se envía nómina en versión pública, correspondiente al periodo que comprende del 01 al 15 de febrero de 2022, de los servidores públicos solicitados de este Ayuntamiento Constitucional de Ixtlahuaca, la cual es información fiel del sistema de nómina en l cual, de dicha versión no se testa dato alguno, exceptuando los nombres de los servidores públicos que fungen como policías en la Dirección de Seguridad Pública y Tránsito, los cuales se testaron de conformidad con el Artículo 140 fracción IV de la Ley de Transparencia y Acceso a la Información Pública del Estado de México y Municipios y el Artículo 113 fracción V de la Ley General de Transparencia y Acceso a la Información Pública, ya que es un dato que pone en riesgo su seguridad por las funciones que desempeña. Mostrando los datos que como su nombre indica son públicos, los cuales son: periodo de pago comprendido, nombre, puesto, escolaridad, dependencia, detalle de percepciones, sueldo bruto y neto, así como el membrete oficial de la administración en turno 2022-2024,”</w:t>
      </w:r>
    </w:p>
    <w:p w:rsidR="002E2039" w:rsidRPr="002E2039" w:rsidRDefault="002E2039" w:rsidP="00C422C2">
      <w:pPr>
        <w:spacing w:after="0" w:line="276" w:lineRule="auto"/>
        <w:ind w:left="567" w:right="706"/>
        <w:jc w:val="both"/>
        <w:rPr>
          <w:rFonts w:ascii="Palatino Linotype" w:eastAsia="Calibri" w:hAnsi="Palatino Linotype" w:cs="Times New Roman"/>
          <w:color w:val="000000"/>
        </w:rPr>
      </w:pPr>
      <w:r w:rsidRPr="002E2039">
        <w:rPr>
          <w:rFonts w:ascii="Palatino Linotype" w:eastAsia="Calibri" w:hAnsi="Palatino Linotype" w:cs="Times New Roman"/>
          <w:color w:val="000000"/>
        </w:rPr>
        <w:t>…”</w:t>
      </w:r>
    </w:p>
    <w:p w:rsidR="002E2039" w:rsidRPr="002E2039" w:rsidRDefault="002E2039" w:rsidP="00C422C2">
      <w:pPr>
        <w:spacing w:after="0" w:line="360" w:lineRule="auto"/>
        <w:ind w:left="567" w:right="706"/>
        <w:rPr>
          <w:rFonts w:ascii="Palatino Linotype" w:eastAsia="Calibri" w:hAnsi="Palatino Linotype" w:cs="Times New Roman"/>
          <w:color w:val="000000"/>
        </w:rPr>
      </w:pPr>
    </w:p>
    <w:p w:rsidR="002E2039" w:rsidRPr="00C422C2" w:rsidRDefault="002E2039" w:rsidP="002E2039">
      <w:pPr>
        <w:spacing w:after="0" w:line="360" w:lineRule="auto"/>
        <w:jc w:val="both"/>
        <w:rPr>
          <w:rFonts w:ascii="Palatino Linotype" w:eastAsia="Calibri" w:hAnsi="Palatino Linotype" w:cs="Times New Roman"/>
          <w:color w:val="000000"/>
          <w:sz w:val="24"/>
          <w:szCs w:val="24"/>
        </w:rPr>
      </w:pPr>
      <w:r w:rsidRPr="00C422C2">
        <w:rPr>
          <w:rFonts w:ascii="Palatino Linotype" w:eastAsia="Calibri" w:hAnsi="Palatino Linotype" w:cs="Times New Roman"/>
          <w:color w:val="000000"/>
          <w:sz w:val="24"/>
          <w:szCs w:val="24"/>
        </w:rPr>
        <w:t xml:space="preserve">El Sujeto Obligado adjuntó la digitalización de las Remuneraciones de Servidores Públicos (Nómina), del primero al quince de febrero de dos mil veintidós, con los </w:t>
      </w:r>
      <w:r w:rsidRPr="00C422C2">
        <w:rPr>
          <w:rFonts w:ascii="Palatino Linotype" w:eastAsia="Calibri" w:hAnsi="Palatino Linotype" w:cs="Times New Roman"/>
          <w:color w:val="000000"/>
          <w:sz w:val="24"/>
          <w:szCs w:val="24"/>
        </w:rPr>
        <w:lastRenderedPageBreak/>
        <w:t xml:space="preserve">rubros: nombre, puesto funcional, dependencia, escolaridad, dietas, sueldo base, compensaciones, gratificaciones, otras percepciones, sueldo bruto y sueldo neto. </w:t>
      </w:r>
    </w:p>
    <w:p w:rsidR="008C438F" w:rsidRPr="008C438F" w:rsidRDefault="008C438F" w:rsidP="002E2039">
      <w:pPr>
        <w:spacing w:after="0" w:line="360" w:lineRule="auto"/>
        <w:jc w:val="both"/>
        <w:rPr>
          <w:rFonts w:ascii="Palatino Linotype" w:eastAsia="Calibri" w:hAnsi="Palatino Linotype" w:cs="Times New Roman"/>
          <w:color w:val="000000"/>
        </w:rPr>
      </w:pPr>
    </w:p>
    <w:p w:rsidR="008C438F" w:rsidRPr="00C422C2" w:rsidRDefault="000B2A76" w:rsidP="002E2039">
      <w:pPr>
        <w:spacing w:after="0" w:line="360" w:lineRule="auto"/>
        <w:jc w:val="both"/>
        <w:rPr>
          <w:rFonts w:ascii="Palatino Linotype" w:hAnsi="Palatino Linotype"/>
          <w:sz w:val="24"/>
          <w:szCs w:val="24"/>
        </w:rPr>
      </w:pPr>
      <w:r w:rsidRPr="00C422C2">
        <w:rPr>
          <w:rFonts w:ascii="Palatino Linotype" w:hAnsi="Palatino Linotype"/>
          <w:sz w:val="24"/>
          <w:szCs w:val="24"/>
        </w:rPr>
        <w:t xml:space="preserve">Ante </w:t>
      </w:r>
      <w:r w:rsidR="00081965" w:rsidRPr="00C422C2">
        <w:rPr>
          <w:rFonts w:ascii="Palatino Linotype" w:hAnsi="Palatino Linotype"/>
          <w:sz w:val="24"/>
          <w:szCs w:val="24"/>
        </w:rPr>
        <w:t>este acto d</w:t>
      </w:r>
      <w:r w:rsidRPr="00C422C2">
        <w:rPr>
          <w:rFonts w:ascii="Palatino Linotype" w:hAnsi="Palatino Linotype"/>
          <w:sz w:val="24"/>
          <w:szCs w:val="24"/>
        </w:rPr>
        <w:t>el Sujeto Obliga</w:t>
      </w:r>
      <w:r w:rsidR="00275288" w:rsidRPr="00C422C2">
        <w:rPr>
          <w:rFonts w:ascii="Palatino Linotype" w:hAnsi="Palatino Linotype"/>
          <w:sz w:val="24"/>
          <w:szCs w:val="24"/>
        </w:rPr>
        <w:t>do, el particular se inconfor</w:t>
      </w:r>
      <w:r w:rsidR="002E2039" w:rsidRPr="00C422C2">
        <w:rPr>
          <w:rFonts w:ascii="Palatino Linotype" w:hAnsi="Palatino Linotype"/>
          <w:sz w:val="24"/>
          <w:szCs w:val="24"/>
        </w:rPr>
        <w:t>ma, de manera medular por la clasificación de la información</w:t>
      </w:r>
      <w:r w:rsidR="008E58A8" w:rsidRPr="00C422C2">
        <w:rPr>
          <w:rFonts w:ascii="Palatino Linotype" w:hAnsi="Palatino Linotype"/>
          <w:sz w:val="24"/>
          <w:szCs w:val="24"/>
        </w:rPr>
        <w:t xml:space="preserve">. </w:t>
      </w:r>
    </w:p>
    <w:p w:rsidR="008C438F" w:rsidRPr="00C422C2" w:rsidRDefault="008C438F" w:rsidP="008C438F">
      <w:pPr>
        <w:spacing w:after="0" w:line="360" w:lineRule="auto"/>
        <w:jc w:val="both"/>
        <w:rPr>
          <w:rFonts w:ascii="Palatino Linotype" w:hAnsi="Palatino Linotype"/>
          <w:sz w:val="24"/>
          <w:szCs w:val="24"/>
        </w:rPr>
      </w:pPr>
    </w:p>
    <w:p w:rsidR="002E2039" w:rsidRPr="00C422C2" w:rsidRDefault="00AF1499" w:rsidP="002E2039">
      <w:pPr>
        <w:spacing w:line="360" w:lineRule="auto"/>
        <w:jc w:val="both"/>
        <w:rPr>
          <w:rFonts w:ascii="Palatino Linotype" w:eastAsia="Times New Roman" w:hAnsi="Palatino Linotype" w:cs="Tahoma"/>
          <w:bCs/>
          <w:noProof/>
          <w:color w:val="0D0D0D"/>
          <w:sz w:val="24"/>
          <w:szCs w:val="24"/>
          <w:lang w:eastAsia="es-ES"/>
        </w:rPr>
      </w:pPr>
      <w:r w:rsidRPr="00C422C2">
        <w:rPr>
          <w:rFonts w:ascii="Palatino Linotype" w:hAnsi="Palatino Linotype"/>
          <w:sz w:val="24"/>
          <w:szCs w:val="24"/>
        </w:rPr>
        <w:t xml:space="preserve">Es de señalar que el Sujeto Obligado </w:t>
      </w:r>
      <w:r w:rsidR="00275288" w:rsidRPr="00C422C2">
        <w:rPr>
          <w:rFonts w:ascii="Palatino Linotype" w:hAnsi="Palatino Linotype"/>
          <w:sz w:val="24"/>
          <w:szCs w:val="24"/>
        </w:rPr>
        <w:t xml:space="preserve">rindió </w:t>
      </w:r>
      <w:r w:rsidR="000B2A76" w:rsidRPr="00C422C2">
        <w:rPr>
          <w:rFonts w:ascii="Palatino Linotype" w:hAnsi="Palatino Linotype"/>
          <w:sz w:val="24"/>
          <w:szCs w:val="24"/>
        </w:rPr>
        <w:t>Informe Justificado</w:t>
      </w:r>
      <w:r w:rsidR="00275288" w:rsidRPr="00C422C2">
        <w:rPr>
          <w:rFonts w:ascii="Palatino Linotype" w:hAnsi="Palatino Linotype"/>
          <w:sz w:val="24"/>
          <w:szCs w:val="24"/>
        </w:rPr>
        <w:t xml:space="preserve"> </w:t>
      </w:r>
      <w:r w:rsidR="002E2039" w:rsidRPr="00C422C2">
        <w:rPr>
          <w:rFonts w:ascii="Palatino Linotype" w:eastAsia="Times New Roman" w:hAnsi="Palatino Linotype" w:cs="Tahoma"/>
          <w:bCs/>
          <w:noProof/>
          <w:color w:val="0D0D0D"/>
          <w:sz w:val="24"/>
          <w:szCs w:val="24"/>
          <w:lang w:eastAsia="es-ES"/>
        </w:rPr>
        <w:t>proporcionando el Acta del Comité de Transparencia, por medio del cual emitió el Acuerdo UTAIPM/EX/08/2022, por medio del cual confirmó la clasificación del nombre de los policias municipales, sin embargo</w:t>
      </w:r>
      <w:r w:rsidR="002E2039" w:rsidRPr="00C422C2">
        <w:rPr>
          <w:rFonts w:ascii="Palatino Linotype" w:eastAsia="Calibri" w:hAnsi="Palatino Linotype" w:cs="Tahoma"/>
          <w:bCs/>
          <w:color w:val="0D0D0D"/>
          <w:sz w:val="24"/>
          <w:szCs w:val="24"/>
        </w:rPr>
        <w:t>, del análisis del Acuerdo proporcionado, se logra vislumbrar que el Comité de Transparencia, no fundamentó, ni motivó la clasificación de la información, de manera correcta, en primera instancia, toda vez que se detectaron las siguientes inconsistencias:</w:t>
      </w:r>
    </w:p>
    <w:p w:rsidR="002E2039" w:rsidRPr="00C422C2" w:rsidRDefault="002E2039" w:rsidP="002E2039">
      <w:pPr>
        <w:numPr>
          <w:ilvl w:val="0"/>
          <w:numId w:val="8"/>
        </w:numPr>
        <w:spacing w:after="0" w:line="360" w:lineRule="auto"/>
        <w:ind w:right="990"/>
        <w:contextualSpacing/>
        <w:jc w:val="both"/>
        <w:rPr>
          <w:rFonts w:ascii="Palatino Linotype" w:eastAsia="Calibri" w:hAnsi="Palatino Linotype" w:cs="Tahoma"/>
          <w:bCs/>
          <w:color w:val="0D0D0D"/>
          <w:sz w:val="24"/>
          <w:szCs w:val="24"/>
        </w:rPr>
      </w:pPr>
      <w:r w:rsidRPr="00C422C2">
        <w:rPr>
          <w:rFonts w:ascii="Palatino Linotype" w:eastAsia="Calibri" w:hAnsi="Palatino Linotype" w:cs="Tahoma"/>
          <w:bCs/>
          <w:color w:val="0D0D0D"/>
          <w:sz w:val="24"/>
          <w:szCs w:val="24"/>
        </w:rPr>
        <w:t>No señaló de manera clara y precisa los artículos de los ordenamientos jurídicos aplicables.</w:t>
      </w:r>
    </w:p>
    <w:p w:rsidR="002E2039" w:rsidRPr="00C422C2" w:rsidRDefault="002E2039" w:rsidP="002E2039">
      <w:pPr>
        <w:spacing w:after="0" w:line="360" w:lineRule="auto"/>
        <w:ind w:left="720" w:right="990"/>
        <w:contextualSpacing/>
        <w:rPr>
          <w:rFonts w:ascii="Palatino Linotype" w:eastAsia="Calibri" w:hAnsi="Palatino Linotype" w:cs="Tahoma"/>
          <w:bCs/>
          <w:color w:val="0D0D0D"/>
          <w:sz w:val="24"/>
          <w:szCs w:val="24"/>
        </w:rPr>
      </w:pPr>
    </w:p>
    <w:p w:rsidR="002E2039" w:rsidRPr="00C422C2" w:rsidRDefault="002E2039" w:rsidP="002E2039">
      <w:pPr>
        <w:numPr>
          <w:ilvl w:val="0"/>
          <w:numId w:val="8"/>
        </w:numPr>
        <w:spacing w:after="0" w:line="360" w:lineRule="auto"/>
        <w:ind w:right="990"/>
        <w:contextualSpacing/>
        <w:jc w:val="both"/>
        <w:rPr>
          <w:rFonts w:ascii="Palatino Linotype" w:eastAsia="Calibri" w:hAnsi="Palatino Linotype" w:cs="Tahoma"/>
          <w:bCs/>
          <w:color w:val="0D0D0D"/>
          <w:sz w:val="24"/>
          <w:szCs w:val="24"/>
        </w:rPr>
      </w:pPr>
      <w:r w:rsidRPr="00C422C2">
        <w:rPr>
          <w:rFonts w:ascii="Palatino Linotype" w:eastAsia="Calibri" w:hAnsi="Palatino Linotype" w:cs="Tahoma"/>
          <w:bCs/>
          <w:color w:val="0D0D0D"/>
          <w:sz w:val="24"/>
          <w:szCs w:val="24"/>
        </w:rPr>
        <w:t>No señaló las razones objetivas, concretas y específicas por las cuales la apertura de la información generaría una afectación que rebase el interés público, pues, el Sujeto Obligado confundió la argumentación, entre diversos supuestos de clasificación distintos.</w:t>
      </w:r>
    </w:p>
    <w:p w:rsidR="002E2039" w:rsidRPr="00C422C2" w:rsidRDefault="002E2039" w:rsidP="002E2039">
      <w:pPr>
        <w:spacing w:after="0" w:line="360" w:lineRule="auto"/>
        <w:ind w:left="720" w:right="990"/>
        <w:contextualSpacing/>
        <w:rPr>
          <w:rFonts w:ascii="Palatino Linotype" w:eastAsia="Calibri" w:hAnsi="Palatino Linotype" w:cs="Tahoma"/>
          <w:bCs/>
          <w:color w:val="0D0D0D"/>
          <w:sz w:val="24"/>
          <w:szCs w:val="24"/>
        </w:rPr>
      </w:pPr>
    </w:p>
    <w:p w:rsidR="002E2039" w:rsidRPr="00C422C2" w:rsidRDefault="002E2039" w:rsidP="002E2039">
      <w:pPr>
        <w:numPr>
          <w:ilvl w:val="0"/>
          <w:numId w:val="8"/>
        </w:numPr>
        <w:spacing w:after="0" w:line="360" w:lineRule="auto"/>
        <w:ind w:right="990"/>
        <w:contextualSpacing/>
        <w:jc w:val="both"/>
        <w:rPr>
          <w:rFonts w:ascii="Palatino Linotype" w:eastAsia="Times New Roman" w:hAnsi="Palatino Linotype" w:cs="Tahoma"/>
          <w:color w:val="0D0D0D"/>
          <w:sz w:val="24"/>
          <w:szCs w:val="24"/>
          <w:lang w:eastAsia="es-ES"/>
        </w:rPr>
      </w:pPr>
      <w:r w:rsidRPr="00C422C2">
        <w:rPr>
          <w:rFonts w:ascii="Palatino Linotype" w:eastAsia="Times New Roman" w:hAnsi="Palatino Linotype" w:cs="Tahoma"/>
          <w:color w:val="0D0D0D"/>
          <w:sz w:val="24"/>
          <w:szCs w:val="24"/>
          <w:lang w:eastAsia="es-ES"/>
        </w:rPr>
        <w:lastRenderedPageBreak/>
        <w:t>No acreditó el vínculo entre la información peticionada y la afectación que podría causar a la auditoría realizada por el órgano señalado, pues únicamente precisó que podría afectar el trámite de los procedimientos administrativos.</w:t>
      </w:r>
    </w:p>
    <w:p w:rsidR="002E2039" w:rsidRPr="00C422C2" w:rsidRDefault="002E2039" w:rsidP="002E2039">
      <w:pPr>
        <w:spacing w:after="0" w:line="240" w:lineRule="auto"/>
        <w:ind w:left="720" w:right="990"/>
        <w:contextualSpacing/>
        <w:rPr>
          <w:rFonts w:ascii="Palatino Linotype" w:eastAsia="Calibri" w:hAnsi="Palatino Linotype" w:cs="Tahoma"/>
          <w:bCs/>
          <w:color w:val="0D0D0D"/>
          <w:sz w:val="24"/>
          <w:szCs w:val="24"/>
        </w:rPr>
      </w:pPr>
    </w:p>
    <w:p w:rsidR="002E2039" w:rsidRPr="00C422C2" w:rsidRDefault="002E2039" w:rsidP="002E2039">
      <w:pPr>
        <w:numPr>
          <w:ilvl w:val="0"/>
          <w:numId w:val="8"/>
        </w:numPr>
        <w:spacing w:after="0" w:line="360" w:lineRule="auto"/>
        <w:ind w:right="990"/>
        <w:contextualSpacing/>
        <w:jc w:val="both"/>
        <w:rPr>
          <w:rFonts w:ascii="Palatino Linotype" w:eastAsia="Times New Roman" w:hAnsi="Palatino Linotype" w:cs="Tahoma"/>
          <w:color w:val="0D0D0D"/>
          <w:sz w:val="24"/>
          <w:szCs w:val="24"/>
          <w:lang w:eastAsia="es-ES"/>
        </w:rPr>
      </w:pPr>
      <w:r w:rsidRPr="00C422C2">
        <w:rPr>
          <w:rFonts w:ascii="Palatino Linotype" w:eastAsia="Calibri" w:hAnsi="Palatino Linotype" w:cs="Tahoma"/>
          <w:bCs/>
          <w:color w:val="0D0D0D"/>
          <w:sz w:val="24"/>
          <w:szCs w:val="24"/>
        </w:rPr>
        <w:t>Omitió señalar, las circunstancias de tiempo, modo y lugar del daño que produciría entregar la información peticionada</w:t>
      </w:r>
      <w:r w:rsidRPr="00C422C2">
        <w:rPr>
          <w:rFonts w:ascii="Palatino Linotype" w:eastAsia="Times New Roman" w:hAnsi="Palatino Linotype" w:cs="Tahoma"/>
          <w:color w:val="0D0D0D"/>
          <w:sz w:val="24"/>
          <w:szCs w:val="24"/>
          <w:lang w:eastAsia="es-ES"/>
        </w:rPr>
        <w:t>.</w:t>
      </w:r>
    </w:p>
    <w:p w:rsidR="002E2039" w:rsidRPr="00C422C2" w:rsidRDefault="002E2039" w:rsidP="002E2039">
      <w:pPr>
        <w:spacing w:after="0" w:line="240" w:lineRule="auto"/>
        <w:ind w:left="720"/>
        <w:contextualSpacing/>
        <w:rPr>
          <w:rFonts w:ascii="Palatino Linotype" w:eastAsia="Times New Roman" w:hAnsi="Palatino Linotype" w:cs="Tahoma"/>
          <w:color w:val="0D0D0D"/>
          <w:sz w:val="24"/>
          <w:szCs w:val="24"/>
          <w:lang w:eastAsia="es-ES"/>
        </w:rPr>
      </w:pPr>
    </w:p>
    <w:p w:rsidR="002E2039" w:rsidRPr="00C422C2" w:rsidRDefault="002E2039" w:rsidP="002E2039">
      <w:pPr>
        <w:numPr>
          <w:ilvl w:val="0"/>
          <w:numId w:val="8"/>
        </w:numPr>
        <w:spacing w:after="0" w:line="360" w:lineRule="auto"/>
        <w:contextualSpacing/>
        <w:jc w:val="both"/>
        <w:rPr>
          <w:rFonts w:ascii="Palatino Linotype" w:eastAsia="Calibri" w:hAnsi="Palatino Linotype" w:cs="Tahoma"/>
          <w:bCs/>
          <w:color w:val="0D0D0D"/>
          <w:sz w:val="24"/>
          <w:szCs w:val="24"/>
        </w:rPr>
      </w:pPr>
      <w:r w:rsidRPr="00C422C2">
        <w:rPr>
          <w:rFonts w:ascii="Palatino Linotype" w:eastAsia="Calibri" w:hAnsi="Palatino Linotype" w:cs="Tahoma"/>
          <w:bCs/>
          <w:color w:val="0D0D0D"/>
          <w:sz w:val="24"/>
          <w:szCs w:val="24"/>
        </w:rPr>
        <w:t>No se establecieron las razones, por las cuales la reserva era el medio menos restrictivo, para la protección del interés jurídico.</w:t>
      </w:r>
    </w:p>
    <w:p w:rsidR="002E2039" w:rsidRPr="00C422C2" w:rsidRDefault="002E2039" w:rsidP="002E2039">
      <w:pPr>
        <w:spacing w:after="0" w:line="360" w:lineRule="auto"/>
        <w:jc w:val="both"/>
        <w:rPr>
          <w:rFonts w:ascii="Palatino Linotype" w:eastAsia="Times New Roman" w:hAnsi="Palatino Linotype" w:cs="Tahoma"/>
          <w:color w:val="0D0D0D"/>
          <w:sz w:val="24"/>
          <w:szCs w:val="24"/>
          <w:highlight w:val="yellow"/>
          <w:lang w:val="es-ES" w:eastAsia="es-ES"/>
        </w:rPr>
      </w:pPr>
    </w:p>
    <w:p w:rsidR="00AF1499" w:rsidRPr="00C422C2" w:rsidRDefault="000B2A76" w:rsidP="004A63C4">
      <w:pPr>
        <w:autoSpaceDE w:val="0"/>
        <w:autoSpaceDN w:val="0"/>
        <w:adjustRightInd w:val="0"/>
        <w:spacing w:line="360" w:lineRule="auto"/>
        <w:contextualSpacing/>
        <w:jc w:val="both"/>
        <w:rPr>
          <w:rFonts w:ascii="Palatino Linotype" w:hAnsi="Palatino Linotype"/>
          <w:sz w:val="24"/>
          <w:szCs w:val="24"/>
        </w:rPr>
      </w:pPr>
      <w:r w:rsidRPr="00C422C2">
        <w:rPr>
          <w:rFonts w:ascii="Palatino Linotype" w:hAnsi="Palatino Linotype"/>
          <w:sz w:val="24"/>
          <w:szCs w:val="24"/>
        </w:rPr>
        <w:t xml:space="preserve">Por lo que, previo análisis de las constancias y de la naturaleza de la información, la Ponencia determinó </w:t>
      </w:r>
      <w:r w:rsidR="00D07D24" w:rsidRPr="00C422C2">
        <w:rPr>
          <w:rFonts w:ascii="Palatino Linotype" w:hAnsi="Palatino Linotype"/>
          <w:b/>
          <w:sz w:val="24"/>
          <w:szCs w:val="24"/>
        </w:rPr>
        <w:t>MODIFI</w:t>
      </w:r>
      <w:r w:rsidR="008E58A8" w:rsidRPr="00C422C2">
        <w:rPr>
          <w:rFonts w:ascii="Palatino Linotype" w:hAnsi="Palatino Linotype"/>
          <w:b/>
          <w:sz w:val="24"/>
          <w:szCs w:val="24"/>
        </w:rPr>
        <w:t>CAR</w:t>
      </w:r>
      <w:r w:rsidR="008E58A8" w:rsidRPr="00C422C2">
        <w:rPr>
          <w:rFonts w:ascii="Palatino Linotype" w:hAnsi="Palatino Linotype"/>
          <w:sz w:val="24"/>
          <w:szCs w:val="24"/>
        </w:rPr>
        <w:t xml:space="preserve"> la respuesta y </w:t>
      </w:r>
      <w:r w:rsidR="00081965" w:rsidRPr="00C422C2">
        <w:rPr>
          <w:rFonts w:ascii="Palatino Linotype" w:hAnsi="Palatino Linotype"/>
          <w:sz w:val="24"/>
          <w:szCs w:val="24"/>
        </w:rPr>
        <w:t>or</w:t>
      </w:r>
      <w:r w:rsidR="008E58A8" w:rsidRPr="00C422C2">
        <w:rPr>
          <w:rFonts w:ascii="Palatino Linotype" w:hAnsi="Palatino Linotype"/>
          <w:sz w:val="24"/>
          <w:szCs w:val="24"/>
        </w:rPr>
        <w:t xml:space="preserve">denar la entrega de información, </w:t>
      </w:r>
      <w:r w:rsidR="00AF1499" w:rsidRPr="00C422C2">
        <w:rPr>
          <w:rFonts w:ascii="Palatino Linotype" w:hAnsi="Palatino Linotype"/>
          <w:sz w:val="24"/>
          <w:szCs w:val="24"/>
        </w:rPr>
        <w:t xml:space="preserve"> posteriormente </w:t>
      </w:r>
      <w:r w:rsidRPr="00C422C2">
        <w:rPr>
          <w:rFonts w:ascii="Palatino Linotype" w:hAnsi="Palatino Linotype"/>
          <w:sz w:val="24"/>
          <w:szCs w:val="24"/>
        </w:rPr>
        <w:t xml:space="preserve">en su </w:t>
      </w:r>
      <w:r w:rsidRPr="00C422C2">
        <w:rPr>
          <w:rFonts w:ascii="Palatino Linotype" w:hAnsi="Palatino Linotype"/>
          <w:b/>
          <w:sz w:val="24"/>
          <w:szCs w:val="24"/>
        </w:rPr>
        <w:t>resolutivo SEGUNDO</w:t>
      </w:r>
      <w:r w:rsidR="00081965" w:rsidRPr="00C422C2">
        <w:rPr>
          <w:rFonts w:ascii="Palatino Linotype" w:hAnsi="Palatino Linotype"/>
          <w:sz w:val="24"/>
          <w:szCs w:val="24"/>
        </w:rPr>
        <w:t>, precisar al Sujeto Obligado que deberá remitir al particular, lo siguiente</w:t>
      </w:r>
      <w:r w:rsidR="00AF1499" w:rsidRPr="00C422C2">
        <w:rPr>
          <w:rFonts w:ascii="Palatino Linotype" w:hAnsi="Palatino Linotype"/>
          <w:sz w:val="24"/>
          <w:szCs w:val="24"/>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2E2039" w:rsidRPr="002E2039" w:rsidRDefault="002E2039" w:rsidP="002E2039">
      <w:pPr>
        <w:autoSpaceDE w:val="0"/>
        <w:autoSpaceDN w:val="0"/>
        <w:adjustRightInd w:val="0"/>
        <w:spacing w:line="276" w:lineRule="auto"/>
        <w:ind w:left="567" w:right="990"/>
        <w:contextualSpacing/>
        <w:jc w:val="both"/>
        <w:rPr>
          <w:rFonts w:ascii="Palatino Linotype" w:hAnsi="Palatino Linotype"/>
          <w:bCs/>
          <w:i/>
          <w:szCs w:val="23"/>
        </w:rPr>
      </w:pPr>
      <w:r w:rsidRPr="002E2039">
        <w:rPr>
          <w:rFonts w:ascii="Palatino Linotype" w:hAnsi="Palatino Linotype"/>
          <w:b/>
          <w:bCs/>
          <w:i/>
          <w:szCs w:val="23"/>
        </w:rPr>
        <w:t>SEGUNDO.</w:t>
      </w:r>
      <w:r w:rsidRPr="002E2039">
        <w:rPr>
          <w:rFonts w:ascii="Palatino Linotype" w:hAnsi="Palatino Linotype"/>
          <w:bCs/>
          <w:i/>
          <w:szCs w:val="23"/>
        </w:rPr>
        <w:t xml:space="preserve">  Se </w:t>
      </w:r>
      <w:r w:rsidRPr="002E2039">
        <w:rPr>
          <w:rFonts w:ascii="Palatino Linotype" w:hAnsi="Palatino Linotype"/>
          <w:b/>
          <w:bCs/>
          <w:i/>
          <w:szCs w:val="23"/>
        </w:rPr>
        <w:t>ORDENA</w:t>
      </w:r>
      <w:r w:rsidRPr="002E2039">
        <w:rPr>
          <w:rFonts w:ascii="Palatino Linotype" w:hAnsi="Palatino Linotype"/>
          <w:bCs/>
          <w:i/>
          <w:szCs w:val="23"/>
        </w:rPr>
        <w:t xml:space="preserve"> al Ayuntamiento de Ixtlahuaca, a efecto de que, entregue, a través del Sistema de Acceso a la Información Mexiquense (SAIMEX), lo siguiente:</w:t>
      </w:r>
    </w:p>
    <w:p w:rsidR="002E2039" w:rsidRPr="002E2039" w:rsidRDefault="002E2039" w:rsidP="002E2039">
      <w:pPr>
        <w:autoSpaceDE w:val="0"/>
        <w:autoSpaceDN w:val="0"/>
        <w:adjustRightInd w:val="0"/>
        <w:spacing w:line="276" w:lineRule="auto"/>
        <w:ind w:left="567" w:right="990"/>
        <w:contextualSpacing/>
        <w:jc w:val="both"/>
        <w:rPr>
          <w:rFonts w:ascii="Palatino Linotype" w:hAnsi="Palatino Linotype"/>
          <w:bCs/>
          <w:i/>
          <w:szCs w:val="23"/>
        </w:rPr>
      </w:pPr>
    </w:p>
    <w:p w:rsidR="00AF1499" w:rsidRPr="002E2039" w:rsidRDefault="002E2039" w:rsidP="002E2039">
      <w:pPr>
        <w:numPr>
          <w:ilvl w:val="0"/>
          <w:numId w:val="9"/>
        </w:numPr>
        <w:autoSpaceDE w:val="0"/>
        <w:autoSpaceDN w:val="0"/>
        <w:adjustRightInd w:val="0"/>
        <w:spacing w:line="276" w:lineRule="auto"/>
        <w:ind w:right="990"/>
        <w:contextualSpacing/>
        <w:jc w:val="both"/>
        <w:rPr>
          <w:rFonts w:ascii="Palatino Linotype" w:hAnsi="Palatino Linotype"/>
          <w:bCs/>
          <w:i/>
          <w:szCs w:val="23"/>
        </w:rPr>
      </w:pPr>
      <w:r w:rsidRPr="002E2039">
        <w:rPr>
          <w:rFonts w:ascii="Palatino Linotype" w:hAnsi="Palatino Linotype"/>
          <w:bCs/>
          <w:i/>
          <w:szCs w:val="23"/>
        </w:rPr>
        <w:t>El acuerdo de clasificación emitido por el Comité de Transparencia, en donde de manera fundada y motivada, confirme la clasificación, del nombre de los policías municipales, contenidos en el documento denominado Remuneraciones de Servidores Públicos (Nómina), proporcionado en respuesta, en términos del artículo 140, fracción IV, de la Ley de Transparencia y Acceso a la Información Pública del Estado de México y Municipios.</w:t>
      </w:r>
      <w:r w:rsidR="00AF1499" w:rsidRPr="002E2039">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w:t>
      </w:r>
      <w:r w:rsidR="00800878" w:rsidRPr="00800878">
        <w:rPr>
          <w:rFonts w:ascii="Palatino Linotype" w:hAnsi="Palatino Linotype"/>
          <w:b/>
          <w:bCs/>
          <w:color w:val="000000" w:themeColor="text1"/>
          <w:sz w:val="23"/>
          <w:szCs w:val="23"/>
        </w:rPr>
        <w:t>del nombre de los elementos operativos de la Dirección de Seguridad Pública</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w:t>
      </w:r>
      <w:r w:rsidRPr="00A408AE">
        <w:rPr>
          <w:rFonts w:ascii="Palatino Linotype" w:hAnsi="Palatino Linotype"/>
          <w:sz w:val="23"/>
          <w:szCs w:val="23"/>
        </w:rPr>
        <w:lastRenderedPageBreak/>
        <w:t xml:space="preserve">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800878">
        <w:rPr>
          <w:rFonts w:ascii="Palatino Linotype" w:hAnsi="Palatino Linotype"/>
          <w:b/>
          <w:bCs/>
          <w:sz w:val="23"/>
          <w:szCs w:val="23"/>
        </w:rPr>
        <w:t>3946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0B2A76" w:rsidP="000B2A76">
      <w:pPr>
        <w:spacing w:before="240" w:after="24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9458F0"/>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08" w:rsidRDefault="003D1708" w:rsidP="000B2A76">
      <w:pPr>
        <w:spacing w:after="0" w:line="240" w:lineRule="auto"/>
      </w:pPr>
      <w:r>
        <w:separator/>
      </w:r>
    </w:p>
  </w:endnote>
  <w:endnote w:type="continuationSeparator" w:id="0">
    <w:p w:rsidR="003D1708" w:rsidRDefault="003D1708"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458F0">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458F0">
      <w:rPr>
        <w:rFonts w:ascii="Arial" w:hAnsi="Arial" w:cs="Arial"/>
        <w:b/>
        <w:bCs/>
        <w:noProof/>
        <w:sz w:val="20"/>
        <w:szCs w:val="20"/>
      </w:rPr>
      <w:t>9</w:t>
    </w:r>
    <w:r w:rsidRPr="00986599">
      <w:rPr>
        <w:rFonts w:ascii="Arial" w:hAnsi="Arial" w:cs="Arial"/>
        <w:b/>
        <w:bCs/>
        <w:sz w:val="20"/>
        <w:szCs w:val="20"/>
      </w:rPr>
      <w:fldChar w:fldCharType="end"/>
    </w:r>
  </w:p>
  <w:p w:rsidR="00D758BE" w:rsidRDefault="009458F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08" w:rsidRDefault="003D1708" w:rsidP="000B2A76">
      <w:pPr>
        <w:spacing w:after="0" w:line="240" w:lineRule="auto"/>
      </w:pPr>
      <w:r>
        <w:separator/>
      </w:r>
    </w:p>
  </w:footnote>
  <w:footnote w:type="continuationSeparator" w:id="0">
    <w:p w:rsidR="003D1708" w:rsidRDefault="003D1708"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458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2E2039">
      <w:rPr>
        <w:rFonts w:ascii="Palatino Linotype" w:hAnsi="Palatino Linotype" w:cs="Arial"/>
        <w:b/>
        <w:sz w:val="22"/>
        <w:szCs w:val="22"/>
      </w:rPr>
      <w:t>394</w:t>
    </w:r>
    <w:r w:rsidR="008C438F">
      <w:rPr>
        <w:rFonts w:ascii="Palatino Linotype" w:hAnsi="Palatino Linotype" w:cs="Arial"/>
        <w:b/>
        <w:sz w:val="22"/>
        <w:szCs w:val="22"/>
      </w:rPr>
      <w:t>6</w:t>
    </w:r>
    <w:r w:rsidRPr="00FB2266">
      <w:rPr>
        <w:rFonts w:ascii="Palatino Linotype" w:hAnsi="Palatino Linotype" w:cs="Arial"/>
        <w:b/>
        <w:sz w:val="22"/>
        <w:szCs w:val="22"/>
      </w:rPr>
      <w:t>/INFOEM/IP/RR/2022</w:t>
    </w:r>
  </w:p>
  <w:p w:rsidR="000B1C1F" w:rsidRPr="000D4A99" w:rsidRDefault="009458F0"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458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9458F0" w:rsidP="007263BB">
    <w:pPr>
      <w:pStyle w:val="Encabezado"/>
      <w:jc w:val="right"/>
      <w:rPr>
        <w:rFonts w:ascii="Arial" w:hAnsi="Arial" w:cs="Arial"/>
        <w:sz w:val="20"/>
        <w:szCs w:val="20"/>
      </w:rPr>
    </w:pPr>
  </w:p>
  <w:p w:rsidR="00F029C2" w:rsidRPr="000D4A99" w:rsidRDefault="009458F0" w:rsidP="007263BB">
    <w:pPr>
      <w:pStyle w:val="Encabezado"/>
      <w:jc w:val="right"/>
      <w:rPr>
        <w:rFonts w:ascii="Arial" w:hAnsi="Arial" w:cs="Arial"/>
        <w:sz w:val="20"/>
        <w:szCs w:val="20"/>
      </w:rPr>
    </w:pPr>
  </w:p>
  <w:p w:rsidR="00F029C2" w:rsidRPr="000D4A99" w:rsidRDefault="009458F0"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9458F0" w:rsidP="007263BB">
    <w:pPr>
      <w:pStyle w:val="Encabezado"/>
      <w:jc w:val="right"/>
      <w:rPr>
        <w:rFonts w:ascii="Palatino Linotype" w:hAnsi="Palatino Linotype" w:cs="Arial"/>
        <w:sz w:val="20"/>
        <w:szCs w:val="20"/>
      </w:rPr>
    </w:pPr>
  </w:p>
  <w:p w:rsidR="00F029C2" w:rsidRPr="000D4A99" w:rsidRDefault="009458F0"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0D6B04"/>
    <w:rsid w:val="00275288"/>
    <w:rsid w:val="002A05DA"/>
    <w:rsid w:val="002E2039"/>
    <w:rsid w:val="003D1708"/>
    <w:rsid w:val="004A63C4"/>
    <w:rsid w:val="007213EF"/>
    <w:rsid w:val="00800878"/>
    <w:rsid w:val="0081741B"/>
    <w:rsid w:val="008C438F"/>
    <w:rsid w:val="008E58A8"/>
    <w:rsid w:val="00940C2E"/>
    <w:rsid w:val="009458F0"/>
    <w:rsid w:val="00977DEC"/>
    <w:rsid w:val="0098671F"/>
    <w:rsid w:val="00A0212F"/>
    <w:rsid w:val="00A22313"/>
    <w:rsid w:val="00AF1499"/>
    <w:rsid w:val="00AF53CA"/>
    <w:rsid w:val="00BA53BA"/>
    <w:rsid w:val="00BD6E2C"/>
    <w:rsid w:val="00C422C2"/>
    <w:rsid w:val="00D07D24"/>
    <w:rsid w:val="00D36CD9"/>
    <w:rsid w:val="00E1501A"/>
    <w:rsid w:val="00EB4154"/>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2022-07-11T15:23:00Z</cp:lastPrinted>
  <dcterms:created xsi:type="dcterms:W3CDTF">2022-07-11T15:23:00Z</dcterms:created>
  <dcterms:modified xsi:type="dcterms:W3CDTF">2022-07-11T15:36:00Z</dcterms:modified>
</cp:coreProperties>
</file>