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C39E" w14:textId="2866C513" w:rsidR="000A1D25" w:rsidRDefault="000A1D25" w:rsidP="008C27C9">
      <w:pPr>
        <w:spacing w:after="0" w:line="360" w:lineRule="auto"/>
        <w:ind w:right="425"/>
        <w:jc w:val="both"/>
        <w:rPr>
          <w:rFonts w:ascii="Palatino Linotype" w:hAnsi="Palatino Linotype"/>
          <w:b/>
          <w:sz w:val="24"/>
          <w:szCs w:val="24"/>
        </w:rPr>
      </w:pPr>
      <w:bookmarkStart w:id="0" w:name="_Hlk38478267"/>
      <w:bookmarkEnd w:id="0"/>
      <w:r w:rsidRPr="000A1D25">
        <w:rPr>
          <w:rFonts w:ascii="Palatino Linotype" w:hAnsi="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w:t>
      </w:r>
      <w:r>
        <w:rPr>
          <w:rFonts w:ascii="Palatino Linotype" w:hAnsi="Palatino Linotype"/>
          <w:b/>
          <w:sz w:val="24"/>
          <w:szCs w:val="24"/>
        </w:rPr>
        <w:t xml:space="preserve">MÉXICO Y MUNICIPIOS, EN </w:t>
      </w:r>
      <w:r w:rsidR="001854E2">
        <w:rPr>
          <w:rFonts w:ascii="Palatino Linotype" w:hAnsi="Palatino Linotype"/>
          <w:b/>
          <w:sz w:val="24"/>
          <w:szCs w:val="24"/>
        </w:rPr>
        <w:t>LA OCTAVA SESIÓN ORDINARIA DEL TRE</w:t>
      </w:r>
      <w:r>
        <w:rPr>
          <w:rFonts w:ascii="Palatino Linotype" w:hAnsi="Palatino Linotype"/>
          <w:b/>
          <w:sz w:val="24"/>
          <w:szCs w:val="24"/>
        </w:rPr>
        <w:t>S</w:t>
      </w:r>
      <w:r w:rsidR="001854E2">
        <w:rPr>
          <w:rFonts w:ascii="Palatino Linotype" w:hAnsi="Palatino Linotype"/>
          <w:b/>
          <w:sz w:val="24"/>
          <w:szCs w:val="24"/>
        </w:rPr>
        <w:t xml:space="preserve"> DE MARZ</w:t>
      </w:r>
      <w:r w:rsidRPr="000A1D25">
        <w:rPr>
          <w:rFonts w:ascii="Palatino Linotype" w:hAnsi="Palatino Linotype"/>
          <w:b/>
          <w:sz w:val="24"/>
          <w:szCs w:val="24"/>
        </w:rPr>
        <w:t>O DE DOS MIL VEINTIDÓS,</w:t>
      </w:r>
      <w:r w:rsidR="009F5741">
        <w:rPr>
          <w:rFonts w:ascii="Palatino Linotype" w:hAnsi="Palatino Linotype"/>
          <w:b/>
          <w:sz w:val="24"/>
          <w:szCs w:val="24"/>
        </w:rPr>
        <w:t xml:space="preserve"> EN EL RECURSO DE REVISIÓN </w:t>
      </w:r>
      <w:r w:rsidR="001854E2" w:rsidRPr="001854E2">
        <w:rPr>
          <w:rFonts w:ascii="Palatino Linotype" w:hAnsi="Palatino Linotype"/>
          <w:b/>
          <w:sz w:val="24"/>
          <w:szCs w:val="24"/>
        </w:rPr>
        <w:t>06467</w:t>
      </w:r>
      <w:r w:rsidR="001854E2" w:rsidRPr="001854E2">
        <w:rPr>
          <w:rFonts w:ascii="Palatino Linotype" w:hAnsi="Palatino Linotype"/>
          <w:b/>
          <w:sz w:val="24"/>
          <w:szCs w:val="24"/>
          <w:lang w:val="es-ES_tradnl"/>
        </w:rPr>
        <w:t>/INFOEM/IP/RR/2021 Y ACUMULADO</w:t>
      </w:r>
      <w:r w:rsidRPr="000A1D25">
        <w:rPr>
          <w:rFonts w:ascii="Palatino Linotype" w:hAnsi="Palatino Linotype"/>
          <w:b/>
          <w:sz w:val="24"/>
          <w:szCs w:val="24"/>
        </w:rPr>
        <w:t xml:space="preserve">. </w:t>
      </w:r>
    </w:p>
    <w:p w14:paraId="28F55B0F" w14:textId="77777777" w:rsidR="000A1D25" w:rsidRDefault="000A1D25" w:rsidP="008C27C9">
      <w:pPr>
        <w:spacing w:after="0" w:line="360" w:lineRule="auto"/>
        <w:ind w:right="425"/>
        <w:jc w:val="both"/>
        <w:rPr>
          <w:rFonts w:ascii="Palatino Linotype" w:hAnsi="Palatino Linotype"/>
          <w:b/>
          <w:sz w:val="24"/>
          <w:szCs w:val="24"/>
        </w:rPr>
      </w:pPr>
    </w:p>
    <w:p w14:paraId="6C01838C" w14:textId="2FA64D46" w:rsidR="0069251F" w:rsidRDefault="000A1D25" w:rsidP="008C27C9">
      <w:pPr>
        <w:spacing w:after="0" w:line="360" w:lineRule="auto"/>
        <w:ind w:right="425"/>
        <w:jc w:val="both"/>
        <w:rPr>
          <w:rFonts w:ascii="Palatino Linotype" w:hAnsi="Palatino Linotype"/>
          <w:sz w:val="24"/>
          <w:szCs w:val="24"/>
        </w:rPr>
      </w:pPr>
      <w:r w:rsidRPr="000A1D25">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w:t>
      </w:r>
      <w:r>
        <w:rPr>
          <w:rFonts w:ascii="Palatino Linotype" w:hAnsi="Palatino Linotype"/>
          <w:sz w:val="24"/>
          <w:szCs w:val="24"/>
        </w:rPr>
        <w:t xml:space="preserve">l recurso de revisión </w:t>
      </w:r>
      <w:r w:rsidR="001854E2" w:rsidRPr="001854E2">
        <w:rPr>
          <w:rFonts w:ascii="Palatino Linotype" w:hAnsi="Palatino Linotype"/>
          <w:b/>
          <w:sz w:val="24"/>
          <w:szCs w:val="24"/>
        </w:rPr>
        <w:t>06467</w:t>
      </w:r>
      <w:r w:rsidR="001854E2" w:rsidRPr="001854E2">
        <w:rPr>
          <w:rFonts w:ascii="Palatino Linotype" w:hAnsi="Palatino Linotype"/>
          <w:b/>
          <w:sz w:val="24"/>
          <w:szCs w:val="24"/>
          <w:lang w:val="es-ES_tradnl"/>
        </w:rPr>
        <w:t xml:space="preserve">/INFOEM/IP/RR/2021 </w:t>
      </w:r>
      <w:r w:rsidR="001854E2">
        <w:rPr>
          <w:rFonts w:ascii="Palatino Linotype" w:hAnsi="Palatino Linotype"/>
          <w:b/>
          <w:sz w:val="24"/>
          <w:szCs w:val="24"/>
          <w:lang w:val="es-ES_tradnl"/>
        </w:rPr>
        <w:t>y acumulado</w:t>
      </w:r>
      <w:r w:rsidRPr="000A1D25">
        <w:rPr>
          <w:rFonts w:ascii="Palatino Linotype" w:hAnsi="Palatino Linotype"/>
          <w:sz w:val="24"/>
          <w:szCs w:val="24"/>
        </w:rPr>
        <w:t xml:space="preserve">, presentada por el </w:t>
      </w:r>
      <w:r w:rsidRPr="000A1D25">
        <w:rPr>
          <w:rFonts w:ascii="Palatino Linotype" w:hAnsi="Palatino Linotype"/>
          <w:b/>
          <w:sz w:val="24"/>
          <w:szCs w:val="24"/>
        </w:rPr>
        <w:t>Comisionado Luis Gustavo Parra Noriega</w:t>
      </w:r>
      <w:r w:rsidRPr="000A1D25">
        <w:rPr>
          <w:rFonts w:ascii="Palatino Linotype" w:hAnsi="Palatino Linotype"/>
          <w:sz w:val="24"/>
          <w:szCs w:val="24"/>
        </w:rPr>
        <w:t xml:space="preserve">, respecto de la cual, la suscrita formula </w:t>
      </w:r>
      <w:r w:rsidRPr="000A1D25">
        <w:rPr>
          <w:rFonts w:ascii="Palatino Linotype" w:hAnsi="Palatino Linotype"/>
          <w:b/>
          <w:sz w:val="24"/>
          <w:szCs w:val="24"/>
        </w:rPr>
        <w:t>OPINIÓN PARTICULAR</w:t>
      </w:r>
      <w:r w:rsidRPr="000A1D25">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 </w:t>
      </w:r>
    </w:p>
    <w:p w14:paraId="3BB072CB" w14:textId="77777777" w:rsidR="0062768F" w:rsidRDefault="000A1D25" w:rsidP="008C27C9">
      <w:pPr>
        <w:spacing w:after="0" w:line="360" w:lineRule="auto"/>
        <w:ind w:right="425"/>
        <w:jc w:val="both"/>
        <w:rPr>
          <w:rFonts w:ascii="Palatino Linotype" w:hAnsi="Palatino Linotype"/>
          <w:sz w:val="24"/>
          <w:szCs w:val="24"/>
        </w:rPr>
      </w:pPr>
      <w:r w:rsidRPr="000A1D25">
        <w:rPr>
          <w:rFonts w:ascii="Palatino Linotype" w:hAnsi="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 </w:t>
      </w:r>
    </w:p>
    <w:p w14:paraId="33C1F414" w14:textId="77777777" w:rsidR="00B018BD" w:rsidRDefault="00B018BD" w:rsidP="008C27C9">
      <w:pPr>
        <w:spacing w:after="0" w:line="360" w:lineRule="auto"/>
        <w:ind w:right="425"/>
        <w:jc w:val="both"/>
        <w:rPr>
          <w:rFonts w:ascii="Palatino Linotype" w:hAnsi="Palatino Linotype"/>
          <w:sz w:val="24"/>
          <w:szCs w:val="24"/>
        </w:rPr>
      </w:pPr>
    </w:p>
    <w:p w14:paraId="25345DE9" w14:textId="7B309F66" w:rsidR="000A1D25" w:rsidRDefault="000A1D25" w:rsidP="008C27C9">
      <w:pPr>
        <w:spacing w:after="0" w:line="360" w:lineRule="auto"/>
        <w:ind w:right="425"/>
        <w:jc w:val="both"/>
        <w:rPr>
          <w:rFonts w:ascii="Palatino Linotype" w:hAnsi="Palatino Linotype"/>
          <w:sz w:val="24"/>
          <w:szCs w:val="24"/>
        </w:rPr>
      </w:pPr>
      <w:r w:rsidRPr="000A1D25">
        <w:rPr>
          <w:rFonts w:ascii="Palatino Linotype" w:hAnsi="Palatino Linotype"/>
          <w:sz w:val="24"/>
          <w:szCs w:val="24"/>
        </w:rPr>
        <w:lastRenderedPageBreak/>
        <w:t>En el caso concreto el hoy Recurrente requirió a</w:t>
      </w:r>
      <w:r w:rsidR="001854E2">
        <w:rPr>
          <w:rFonts w:ascii="Palatino Linotype" w:hAnsi="Palatino Linotype"/>
          <w:sz w:val="24"/>
          <w:szCs w:val="24"/>
        </w:rPr>
        <w:t>l Ayuntamiento de Ecatepec de Morelos</w:t>
      </w:r>
      <w:r w:rsidRPr="000A1D25">
        <w:rPr>
          <w:rFonts w:ascii="Palatino Linotype" w:hAnsi="Palatino Linotype"/>
          <w:sz w:val="24"/>
          <w:szCs w:val="24"/>
        </w:rPr>
        <w:t>, que en esencia se le proporcionara</w:t>
      </w:r>
      <w:r>
        <w:rPr>
          <w:rFonts w:ascii="Palatino Linotype" w:hAnsi="Palatino Linotype"/>
          <w:sz w:val="24"/>
          <w:szCs w:val="24"/>
        </w:rPr>
        <w:t xml:space="preserve"> la siguiente</w:t>
      </w:r>
      <w:r w:rsidRPr="000A1D25">
        <w:rPr>
          <w:rFonts w:ascii="Palatino Linotype" w:hAnsi="Palatino Linotype"/>
          <w:sz w:val="24"/>
          <w:szCs w:val="24"/>
        </w:rPr>
        <w:t xml:space="preserve"> información</w:t>
      </w:r>
      <w:r>
        <w:rPr>
          <w:rFonts w:ascii="Palatino Linotype" w:hAnsi="Palatino Linotype"/>
          <w:sz w:val="24"/>
          <w:szCs w:val="24"/>
        </w:rPr>
        <w:t xml:space="preserve">: </w:t>
      </w:r>
    </w:p>
    <w:p w14:paraId="76B1C58E" w14:textId="76F3C943" w:rsidR="001854E2" w:rsidRDefault="001854E2" w:rsidP="008C27C9">
      <w:pPr>
        <w:spacing w:after="0" w:line="360" w:lineRule="auto"/>
        <w:ind w:left="567" w:right="709"/>
        <w:jc w:val="both"/>
        <w:rPr>
          <w:rFonts w:ascii="Palatino Linotype" w:hAnsi="Palatino Linotype"/>
          <w:b/>
          <w:bCs/>
          <w:szCs w:val="24"/>
        </w:rPr>
      </w:pPr>
      <w:r w:rsidRPr="001854E2">
        <w:rPr>
          <w:rFonts w:ascii="Palatino Linotype" w:hAnsi="Palatino Linotype"/>
          <w:b/>
          <w:szCs w:val="24"/>
        </w:rPr>
        <w:t xml:space="preserve">Solicitud de información </w:t>
      </w:r>
      <w:r w:rsidRPr="001854E2">
        <w:rPr>
          <w:rFonts w:ascii="Palatino Linotype" w:hAnsi="Palatino Linotype"/>
          <w:b/>
          <w:bCs/>
          <w:szCs w:val="24"/>
        </w:rPr>
        <w:t>00876/ECATEPEC/IP/2021</w:t>
      </w:r>
      <w:r>
        <w:rPr>
          <w:rFonts w:ascii="Palatino Linotype" w:hAnsi="Palatino Linotype"/>
          <w:b/>
          <w:bCs/>
          <w:szCs w:val="24"/>
        </w:rPr>
        <w:t xml:space="preserve">: </w:t>
      </w:r>
    </w:p>
    <w:p w14:paraId="5272E3D1" w14:textId="4EB62BF9" w:rsidR="000A1D25" w:rsidRDefault="001854E2" w:rsidP="008C27C9">
      <w:pPr>
        <w:spacing w:after="0" w:line="240" w:lineRule="auto"/>
        <w:ind w:left="567" w:right="709"/>
        <w:jc w:val="both"/>
        <w:rPr>
          <w:rFonts w:ascii="Palatino Linotype" w:hAnsi="Palatino Linotype"/>
          <w:i/>
          <w:szCs w:val="24"/>
          <w:lang w:val="es-ES"/>
        </w:rPr>
      </w:pPr>
      <w:r w:rsidRPr="001854E2">
        <w:rPr>
          <w:rFonts w:ascii="Palatino Linotype" w:hAnsi="Palatino Linotype"/>
          <w:szCs w:val="24"/>
        </w:rPr>
        <w:t>“</w:t>
      </w:r>
      <w:r w:rsidRPr="001854E2">
        <w:rPr>
          <w:rFonts w:ascii="Palatino Linotype" w:hAnsi="Palatino Linotype"/>
          <w:i/>
          <w:szCs w:val="24"/>
          <w:lang w:val="es-ES"/>
        </w:rPr>
        <w:t>Sanciones aplicadas y servidores públicos sancionados del año 2018 a la fecha. Señalar nombre, cargo de los servidores públicos y motivos de las sanciones</w:t>
      </w:r>
      <w:r>
        <w:rPr>
          <w:rFonts w:ascii="Palatino Linotype" w:hAnsi="Palatino Linotype"/>
          <w:i/>
          <w:szCs w:val="24"/>
          <w:lang w:val="es-ES"/>
        </w:rPr>
        <w:t>”</w:t>
      </w:r>
    </w:p>
    <w:p w14:paraId="06A05374" w14:textId="77777777" w:rsidR="001854E2" w:rsidRDefault="001854E2" w:rsidP="008C27C9">
      <w:pPr>
        <w:spacing w:after="0" w:line="240" w:lineRule="auto"/>
        <w:ind w:left="567" w:right="709"/>
        <w:jc w:val="both"/>
        <w:rPr>
          <w:rFonts w:ascii="Palatino Linotype" w:hAnsi="Palatino Linotype"/>
          <w:i/>
          <w:szCs w:val="24"/>
          <w:lang w:val="es-ES"/>
        </w:rPr>
      </w:pPr>
    </w:p>
    <w:p w14:paraId="3F4D1ED4" w14:textId="00B0ECF6" w:rsidR="001854E2" w:rsidRDefault="001854E2" w:rsidP="008C27C9">
      <w:pPr>
        <w:spacing w:after="0" w:line="240" w:lineRule="auto"/>
        <w:ind w:left="567" w:right="709"/>
        <w:jc w:val="both"/>
        <w:rPr>
          <w:rFonts w:ascii="Palatino Linotype" w:hAnsi="Palatino Linotype"/>
          <w:b/>
          <w:szCs w:val="24"/>
          <w:lang w:val="es-ES"/>
        </w:rPr>
      </w:pPr>
      <w:r w:rsidRPr="001854E2">
        <w:rPr>
          <w:rFonts w:ascii="Palatino Linotype" w:hAnsi="Palatino Linotype"/>
          <w:b/>
          <w:szCs w:val="24"/>
          <w:lang w:val="es-ES"/>
        </w:rPr>
        <w:t xml:space="preserve">Solicitud de información 00875/ECATEPEC/IP/2021: </w:t>
      </w:r>
    </w:p>
    <w:p w14:paraId="1E7F4FB1" w14:textId="77777777" w:rsidR="001854E2" w:rsidRDefault="001854E2" w:rsidP="008C27C9">
      <w:pPr>
        <w:spacing w:after="0" w:line="240" w:lineRule="auto"/>
        <w:ind w:left="567" w:right="709"/>
        <w:jc w:val="both"/>
        <w:rPr>
          <w:rFonts w:ascii="Palatino Linotype" w:hAnsi="Palatino Linotype"/>
          <w:b/>
          <w:szCs w:val="24"/>
          <w:lang w:val="es-ES"/>
        </w:rPr>
      </w:pPr>
    </w:p>
    <w:p w14:paraId="1521073B" w14:textId="60227775" w:rsidR="001854E2" w:rsidRPr="001854E2" w:rsidRDefault="001854E2" w:rsidP="008C27C9">
      <w:pPr>
        <w:spacing w:after="0" w:line="240" w:lineRule="auto"/>
        <w:ind w:left="567" w:right="709"/>
        <w:jc w:val="both"/>
        <w:rPr>
          <w:rFonts w:ascii="Palatino Linotype" w:hAnsi="Palatino Linotype"/>
          <w:i/>
          <w:szCs w:val="24"/>
          <w:lang w:val="es-ES"/>
        </w:rPr>
      </w:pPr>
      <w:r w:rsidRPr="001854E2">
        <w:rPr>
          <w:rFonts w:ascii="Palatino Linotype" w:hAnsi="Palatino Linotype"/>
          <w:i/>
          <w:szCs w:val="24"/>
          <w:lang w:val="es-ES"/>
        </w:rPr>
        <w:t>“Solicito la siguiente información: Quejas y denuncias recibidas por incumplimiento de las obligaciones de los servidores públicos del Ayuntamiento de Ecatepec de Morelos, del año 2012 a la fecha. Desglosar información por mes en una hoja de cálculo” (Sic)</w:t>
      </w:r>
    </w:p>
    <w:p w14:paraId="4FAE2A8F" w14:textId="77777777" w:rsidR="001854E2" w:rsidRPr="001854E2" w:rsidRDefault="001854E2" w:rsidP="008C27C9">
      <w:pPr>
        <w:spacing w:after="0" w:line="240" w:lineRule="auto"/>
        <w:ind w:left="567" w:right="709"/>
        <w:jc w:val="both"/>
        <w:rPr>
          <w:rFonts w:ascii="Palatino Linotype" w:hAnsi="Palatino Linotype"/>
          <w:szCs w:val="24"/>
        </w:rPr>
      </w:pPr>
    </w:p>
    <w:p w14:paraId="7BD35E6D" w14:textId="14811850" w:rsidR="009F5741" w:rsidRDefault="000A1D25" w:rsidP="008C27C9">
      <w:pPr>
        <w:spacing w:after="0" w:line="360" w:lineRule="auto"/>
        <w:ind w:right="709"/>
        <w:jc w:val="both"/>
        <w:rPr>
          <w:rFonts w:ascii="Palatino Linotype" w:hAnsi="Palatino Linotype"/>
          <w:sz w:val="24"/>
          <w:szCs w:val="24"/>
        </w:rPr>
      </w:pPr>
      <w:r w:rsidRPr="000A1D25">
        <w:rPr>
          <w:rFonts w:ascii="Palatino Linotype" w:hAnsi="Palatino Linotype"/>
          <w:sz w:val="24"/>
          <w:szCs w:val="24"/>
        </w:rPr>
        <w:t>El Sujeto O</w:t>
      </w:r>
      <w:bookmarkStart w:id="1" w:name="_Hlk95905664"/>
      <w:r w:rsidR="001854E2">
        <w:rPr>
          <w:rFonts w:ascii="Palatino Linotype" w:hAnsi="Palatino Linotype"/>
          <w:sz w:val="24"/>
          <w:szCs w:val="24"/>
        </w:rPr>
        <w:t xml:space="preserve">bligado, adjuntó a la respuesta, los siguientes archivos electrónicos: </w:t>
      </w:r>
    </w:p>
    <w:p w14:paraId="378E84A3" w14:textId="77777777" w:rsidR="001854E2" w:rsidRDefault="001854E2" w:rsidP="008C27C9">
      <w:pPr>
        <w:spacing w:after="0" w:line="360" w:lineRule="auto"/>
        <w:ind w:right="709"/>
        <w:jc w:val="both"/>
        <w:rPr>
          <w:rFonts w:ascii="Palatino Linotype" w:hAnsi="Palatino Linotype"/>
          <w:sz w:val="24"/>
          <w:szCs w:val="24"/>
        </w:rPr>
      </w:pPr>
    </w:p>
    <w:p w14:paraId="60C2D7A4" w14:textId="54D23688" w:rsidR="001854E2" w:rsidRDefault="001854E2" w:rsidP="008C27C9">
      <w:pPr>
        <w:spacing w:after="0" w:line="240" w:lineRule="auto"/>
        <w:ind w:left="567" w:right="1276"/>
        <w:jc w:val="both"/>
        <w:rPr>
          <w:rFonts w:ascii="Palatino Linotype" w:hAnsi="Palatino Linotype"/>
          <w:sz w:val="24"/>
          <w:szCs w:val="24"/>
          <w:lang w:val="es-ES_tradnl"/>
        </w:rPr>
      </w:pPr>
      <w:r>
        <w:rPr>
          <w:rFonts w:ascii="Palatino Linotype" w:hAnsi="Palatino Linotype"/>
          <w:sz w:val="24"/>
          <w:szCs w:val="24"/>
          <w:lang w:val="es-ES_tradnl"/>
        </w:rPr>
        <w:t>“</w:t>
      </w:r>
      <w:hyperlink r:id="rId8" w:tgtFrame="_blank" w:history="1">
        <w:r w:rsidRPr="00D7179B">
          <w:rPr>
            <w:rStyle w:val="Hipervnculo"/>
            <w:rFonts w:ascii="Palatino Linotype" w:hAnsi="Palatino Linotype"/>
            <w:b/>
            <w:i/>
            <w:color w:val="000000" w:themeColor="text1"/>
            <w:sz w:val="24"/>
            <w:szCs w:val="24"/>
            <w:u w:val="none"/>
            <w:lang w:val="es-ES_tradnl"/>
          </w:rPr>
          <w:t>0876-2021.pdf</w:t>
        </w:r>
      </w:hyperlink>
      <w:r>
        <w:rPr>
          <w:rFonts w:ascii="Palatino Linotype" w:hAnsi="Palatino Linotype"/>
          <w:sz w:val="24"/>
          <w:szCs w:val="24"/>
        </w:rPr>
        <w:t xml:space="preserve">”: </w:t>
      </w:r>
      <w:r>
        <w:rPr>
          <w:rFonts w:ascii="Palatino Linotype" w:hAnsi="Palatino Linotype"/>
          <w:sz w:val="24"/>
          <w:szCs w:val="24"/>
          <w:lang w:val="es-ES_tradnl"/>
        </w:rPr>
        <w:t xml:space="preserve">Contiene un </w:t>
      </w:r>
      <w:r w:rsidRPr="001854E2">
        <w:rPr>
          <w:rFonts w:ascii="Palatino Linotype" w:hAnsi="Palatino Linotype"/>
          <w:sz w:val="24"/>
          <w:szCs w:val="24"/>
          <w:lang w:val="es-ES_tradnl"/>
        </w:rPr>
        <w:t xml:space="preserve">escrito de fecha trece de diciembre de dos mil veintiuno, mediante el cual hace de conocimiento del Particular la respuesta remitida por el área de Contraloría. Así como el oficio número CIM/SA/DCE/0780/2021, de fecha veintitrés de noviembre de dos mil veintiuno, firmado por la Contralora Interna Municipal, quien refirió como respuesta que el artículo 59 de la Ley General de Responsabilidades Administrativas que habla de la contratación indebida de servidores públicos; que se encuentren inhabilitados por resolución de autoridad competente o se encuentren impedidos legalmente; motivo por el cual le hizo de conocimiento la liga electrónica </w:t>
      </w:r>
      <w:hyperlink r:id="rId9" w:history="1">
        <w:r w:rsidRPr="001854E2">
          <w:rPr>
            <w:rStyle w:val="Hipervnculo"/>
            <w:rFonts w:ascii="Palatino Linotype" w:hAnsi="Palatino Linotype"/>
            <w:sz w:val="24"/>
            <w:szCs w:val="24"/>
            <w:lang w:val="es-ES_tradnl"/>
          </w:rPr>
          <w:t>https://www.plataformadigitalnacional,org/sancionados</w:t>
        </w:r>
      </w:hyperlink>
      <w:r w:rsidRPr="001854E2">
        <w:rPr>
          <w:rFonts w:ascii="Palatino Linotype" w:hAnsi="Palatino Linotype"/>
          <w:sz w:val="24"/>
          <w:szCs w:val="24"/>
          <w:lang w:val="es-ES_tradnl"/>
        </w:rPr>
        <w:t>, para la consulta del nombre de los servidores públicos y saber si estos fueron sancionados o no como lo solicitó la particular.</w:t>
      </w:r>
    </w:p>
    <w:p w14:paraId="0D7E8CBA" w14:textId="77777777" w:rsidR="00D7179B" w:rsidRDefault="00D7179B" w:rsidP="008C27C9">
      <w:pPr>
        <w:spacing w:after="0" w:line="240" w:lineRule="auto"/>
        <w:ind w:left="567" w:right="1276"/>
        <w:jc w:val="both"/>
        <w:rPr>
          <w:rFonts w:ascii="Palatino Linotype" w:hAnsi="Palatino Linotype"/>
          <w:sz w:val="24"/>
          <w:szCs w:val="24"/>
          <w:lang w:val="es-ES_tradnl"/>
        </w:rPr>
      </w:pPr>
    </w:p>
    <w:p w14:paraId="4AE97D6F" w14:textId="12DA19F2" w:rsidR="00D7179B" w:rsidRDefault="00D7179B" w:rsidP="008C27C9">
      <w:pPr>
        <w:spacing w:after="0" w:line="240" w:lineRule="auto"/>
        <w:ind w:left="567" w:right="1276"/>
        <w:jc w:val="both"/>
        <w:rPr>
          <w:rFonts w:ascii="Palatino Linotype" w:hAnsi="Palatino Linotype"/>
          <w:bCs/>
          <w:sz w:val="24"/>
          <w:szCs w:val="24"/>
        </w:rPr>
      </w:pPr>
      <w:r>
        <w:rPr>
          <w:rFonts w:ascii="Palatino Linotype" w:hAnsi="Palatino Linotype"/>
          <w:b/>
          <w:bCs/>
          <w:i/>
          <w:color w:val="000000" w:themeColor="text1"/>
          <w:sz w:val="24"/>
          <w:szCs w:val="24"/>
        </w:rPr>
        <w:t>“</w:t>
      </w:r>
      <w:hyperlink r:id="rId10" w:tgtFrame="_blank" w:history="1">
        <w:r w:rsidRPr="00D7179B">
          <w:rPr>
            <w:rStyle w:val="Hipervnculo"/>
            <w:rFonts w:ascii="Palatino Linotype" w:hAnsi="Palatino Linotype"/>
            <w:b/>
            <w:bCs/>
            <w:i/>
            <w:color w:val="000000" w:themeColor="text1"/>
            <w:sz w:val="24"/>
            <w:szCs w:val="24"/>
            <w:u w:val="none"/>
            <w:lang w:val="es-ES_tradnl"/>
          </w:rPr>
          <w:t>0875-2021.pdf</w:t>
        </w:r>
      </w:hyperlink>
      <w:r>
        <w:rPr>
          <w:rFonts w:ascii="Palatino Linotype" w:hAnsi="Palatino Linotype"/>
          <w:b/>
          <w:bCs/>
          <w:i/>
          <w:color w:val="000000" w:themeColor="text1"/>
          <w:sz w:val="24"/>
          <w:szCs w:val="24"/>
          <w:lang w:val="es-ES_tradnl"/>
        </w:rPr>
        <w:t xml:space="preserve">”: </w:t>
      </w:r>
      <w:r>
        <w:rPr>
          <w:rFonts w:ascii="Palatino Linotype" w:hAnsi="Palatino Linotype"/>
          <w:bCs/>
          <w:sz w:val="24"/>
          <w:szCs w:val="24"/>
          <w:lang w:val="es-ES_tradnl"/>
        </w:rPr>
        <w:t xml:space="preserve">Contiene un </w:t>
      </w:r>
      <w:r w:rsidRPr="00D7179B">
        <w:rPr>
          <w:rFonts w:ascii="Palatino Linotype" w:hAnsi="Palatino Linotype"/>
          <w:bCs/>
          <w:sz w:val="24"/>
          <w:szCs w:val="24"/>
          <w:lang w:val="es-ES_tradnl"/>
        </w:rPr>
        <w:t xml:space="preserve">escrito de fecha trece de diciembre de dos mil veintiuno, mediante el cual la Titular de la Unidad de </w:t>
      </w:r>
      <w:r w:rsidRPr="00D7179B">
        <w:rPr>
          <w:rFonts w:ascii="Palatino Linotype" w:hAnsi="Palatino Linotype"/>
          <w:bCs/>
          <w:sz w:val="24"/>
          <w:szCs w:val="24"/>
          <w:lang w:val="es-ES_tradnl"/>
        </w:rPr>
        <w:lastRenderedPageBreak/>
        <w:t>Transparencia hizo de conocimiento de la Particular la respuesta otorgada por la Contralora Interna Municipal. Así como el oficio número CIM/SA/DCE/0777/2021, de fecha veintitrés de noviembre de dos mil veintiuno, signado por la Contralora Interna Municipal mediante el cual le informó a la solicitante que de conformidad con el artículo 140, fracción VI, de la Ley de Transparencia y Acceso a la Información Pública del Estado de México y Municipios, no podría atender su requerimiento toda vez que se vulneraría la presunción de inocencia de los servidores públicos que se encuentran inmersos en un procedimiento administrativo de esta naturaleza.</w:t>
      </w:r>
    </w:p>
    <w:bookmarkEnd w:id="1"/>
    <w:p w14:paraId="3124C736" w14:textId="77777777" w:rsidR="000A1D25" w:rsidRDefault="000A1D25" w:rsidP="00D8273E">
      <w:pPr>
        <w:spacing w:after="0" w:line="360" w:lineRule="auto"/>
        <w:jc w:val="both"/>
        <w:rPr>
          <w:rFonts w:ascii="Palatino Linotype" w:hAnsi="Palatino Linotype"/>
          <w:b/>
          <w:sz w:val="24"/>
          <w:szCs w:val="24"/>
        </w:rPr>
      </w:pPr>
    </w:p>
    <w:p w14:paraId="72BBC280" w14:textId="3A2B5DD1" w:rsidR="00B14A95" w:rsidRPr="00B14A95" w:rsidRDefault="00B14A95" w:rsidP="008C27C9">
      <w:pPr>
        <w:spacing w:after="0" w:line="360" w:lineRule="auto"/>
        <w:ind w:right="425"/>
        <w:jc w:val="both"/>
        <w:rPr>
          <w:rFonts w:ascii="Palatino Linotype" w:hAnsi="Palatino Linotype"/>
          <w:sz w:val="24"/>
          <w:szCs w:val="24"/>
        </w:rPr>
      </w:pPr>
      <w:r w:rsidRPr="00B14A95">
        <w:rPr>
          <w:rFonts w:ascii="Palatino Linotype" w:hAnsi="Palatino Linotype"/>
          <w:sz w:val="24"/>
          <w:szCs w:val="24"/>
        </w:rPr>
        <w:t>El</w:t>
      </w:r>
      <w:r w:rsidR="000A1D25" w:rsidRPr="00B14A95">
        <w:rPr>
          <w:rFonts w:ascii="Palatino Linotype" w:hAnsi="Palatino Linotype"/>
          <w:sz w:val="24"/>
          <w:szCs w:val="24"/>
        </w:rPr>
        <w:t xml:space="preserve"> particular se inconforma en lo medular por la </w:t>
      </w:r>
      <w:r w:rsidRPr="00B14A95">
        <w:rPr>
          <w:rFonts w:ascii="Palatino Linotype" w:hAnsi="Palatino Linotype"/>
          <w:sz w:val="24"/>
          <w:szCs w:val="24"/>
        </w:rPr>
        <w:t>negativa del Sujeto Obli</w:t>
      </w:r>
      <w:r w:rsidR="009F5741">
        <w:rPr>
          <w:rFonts w:ascii="Palatino Linotype" w:hAnsi="Palatino Linotype"/>
          <w:sz w:val="24"/>
          <w:szCs w:val="24"/>
        </w:rPr>
        <w:t>gado a entregar la información</w:t>
      </w:r>
      <w:r>
        <w:rPr>
          <w:rFonts w:ascii="Palatino Linotype" w:hAnsi="Palatino Linotype"/>
          <w:sz w:val="24"/>
          <w:szCs w:val="24"/>
        </w:rPr>
        <w:t>, por lo tanto, se procedió con el trámite del recurso de revisión.</w:t>
      </w:r>
    </w:p>
    <w:p w14:paraId="526F7630" w14:textId="77777777" w:rsidR="000A1D25" w:rsidRDefault="000A1D25" w:rsidP="008C27C9">
      <w:pPr>
        <w:spacing w:after="0" w:line="360" w:lineRule="auto"/>
        <w:ind w:right="425"/>
        <w:jc w:val="both"/>
        <w:rPr>
          <w:rFonts w:ascii="Palatino Linotype" w:hAnsi="Palatino Linotype"/>
          <w:b/>
          <w:sz w:val="24"/>
          <w:szCs w:val="24"/>
        </w:rPr>
      </w:pPr>
    </w:p>
    <w:p w14:paraId="1C9AADC8" w14:textId="7AE83619" w:rsidR="000A1D25" w:rsidRDefault="000A1D25" w:rsidP="008C27C9">
      <w:pPr>
        <w:spacing w:after="0" w:line="360" w:lineRule="auto"/>
        <w:ind w:right="425"/>
        <w:jc w:val="both"/>
        <w:rPr>
          <w:rFonts w:ascii="Palatino Linotype" w:hAnsi="Palatino Linotype"/>
          <w:b/>
          <w:sz w:val="24"/>
          <w:szCs w:val="24"/>
        </w:rPr>
      </w:pPr>
      <w:r w:rsidRPr="00B14A95">
        <w:rPr>
          <w:rFonts w:ascii="Palatino Linotype" w:hAnsi="Palatino Linotype"/>
          <w:sz w:val="24"/>
          <w:szCs w:val="24"/>
        </w:rPr>
        <w:t>Por lo que, previo análisis de las constancias y de la naturaleza de la in</w:t>
      </w:r>
      <w:r w:rsidR="00B14A95">
        <w:rPr>
          <w:rFonts w:ascii="Palatino Linotype" w:hAnsi="Palatino Linotype"/>
          <w:sz w:val="24"/>
          <w:szCs w:val="24"/>
        </w:rPr>
        <w:t>formación, el Comisionado Ponente</w:t>
      </w:r>
      <w:r w:rsidRPr="00B14A95">
        <w:rPr>
          <w:rFonts w:ascii="Palatino Linotype" w:hAnsi="Palatino Linotype"/>
          <w:sz w:val="24"/>
          <w:szCs w:val="24"/>
        </w:rPr>
        <w:t xml:space="preserve"> determinó e</w:t>
      </w:r>
      <w:r w:rsidR="00B14A95">
        <w:rPr>
          <w:rFonts w:ascii="Palatino Linotype" w:hAnsi="Palatino Linotype"/>
          <w:sz w:val="24"/>
          <w:szCs w:val="24"/>
        </w:rPr>
        <w:t xml:space="preserve">n su </w:t>
      </w:r>
      <w:r w:rsidR="00B14A95" w:rsidRPr="00B14A95">
        <w:rPr>
          <w:rFonts w:ascii="Palatino Linotype" w:hAnsi="Palatino Linotype"/>
          <w:b/>
          <w:sz w:val="24"/>
          <w:szCs w:val="24"/>
        </w:rPr>
        <w:t>resolutivo segundo</w:t>
      </w:r>
      <w:r w:rsidR="00B14A95">
        <w:rPr>
          <w:rFonts w:ascii="Palatino Linotype" w:hAnsi="Palatino Linotype"/>
          <w:sz w:val="24"/>
          <w:szCs w:val="24"/>
        </w:rPr>
        <w:t>, ordenar</w:t>
      </w:r>
      <w:r w:rsidRPr="000A1D25">
        <w:rPr>
          <w:rFonts w:ascii="Palatino Linotype" w:hAnsi="Palatino Linotype"/>
          <w:b/>
          <w:sz w:val="24"/>
          <w:szCs w:val="24"/>
        </w:rPr>
        <w:t xml:space="preserve"> </w:t>
      </w:r>
      <w:r w:rsidR="00D7179B">
        <w:rPr>
          <w:rFonts w:ascii="Palatino Linotype" w:hAnsi="Palatino Linotype"/>
          <w:b/>
          <w:sz w:val="24"/>
          <w:szCs w:val="24"/>
        </w:rPr>
        <w:t xml:space="preserve">la entrega de </w:t>
      </w:r>
      <w:r w:rsidR="00B14A95" w:rsidRPr="00B14A95">
        <w:rPr>
          <w:rFonts w:ascii="Palatino Linotype" w:hAnsi="Palatino Linotype"/>
          <w:b/>
          <w:sz w:val="24"/>
          <w:szCs w:val="24"/>
        </w:rPr>
        <w:t>lo siguiente</w:t>
      </w:r>
      <w:r w:rsidRPr="000A1D25">
        <w:rPr>
          <w:rFonts w:ascii="Palatino Linotype" w:hAnsi="Palatino Linotype"/>
          <w:b/>
          <w:sz w:val="24"/>
          <w:szCs w:val="24"/>
        </w:rPr>
        <w:t>:</w:t>
      </w:r>
    </w:p>
    <w:p w14:paraId="2968491B" w14:textId="77777777" w:rsidR="00B14A95" w:rsidRDefault="00B14A95" w:rsidP="00B14A95">
      <w:pPr>
        <w:rPr>
          <w:rFonts w:ascii="Palatino Linotype" w:hAnsi="Palatino Linotype"/>
          <w:i/>
          <w:sz w:val="24"/>
          <w:szCs w:val="24"/>
        </w:rPr>
      </w:pPr>
    </w:p>
    <w:p w14:paraId="6BB29049" w14:textId="77777777" w:rsidR="00D7179B" w:rsidRDefault="00D7179B" w:rsidP="00D7179B">
      <w:pPr>
        <w:spacing w:line="240" w:lineRule="auto"/>
        <w:ind w:left="567" w:right="1276"/>
        <w:rPr>
          <w:rFonts w:ascii="Palatino Linotype" w:hAnsi="Palatino Linotype"/>
          <w:i/>
          <w:iCs/>
        </w:rPr>
      </w:pPr>
      <w:r>
        <w:rPr>
          <w:rFonts w:ascii="Palatino Linotype" w:hAnsi="Palatino Linotype"/>
          <w:bCs/>
          <w:i/>
          <w:iCs/>
          <w:lang w:val="es-ES"/>
        </w:rPr>
        <w:t xml:space="preserve">“1. </w:t>
      </w:r>
      <w:r w:rsidRPr="00D7179B">
        <w:rPr>
          <w:rFonts w:ascii="Palatino Linotype" w:hAnsi="Palatino Linotype"/>
          <w:bCs/>
          <w:i/>
          <w:iCs/>
          <w:lang w:val="es-ES"/>
        </w:rPr>
        <w:t xml:space="preserve">Los documentos donde consten las sanciones </w:t>
      </w:r>
      <w:r w:rsidRPr="00D7179B">
        <w:rPr>
          <w:rFonts w:ascii="Palatino Linotype" w:hAnsi="Palatino Linotype"/>
          <w:i/>
          <w:iCs/>
        </w:rPr>
        <w:t>las sanciones firmes aplicadas a servidores públicos durante el periodo comprendido del 1° de enero de 2018 al 16 de noviembre de 2021.</w:t>
      </w:r>
    </w:p>
    <w:p w14:paraId="2C38E85B" w14:textId="523A7F55" w:rsidR="00D7179B" w:rsidRPr="00D7179B" w:rsidRDefault="00D7179B" w:rsidP="00D7179B">
      <w:pPr>
        <w:spacing w:line="240" w:lineRule="auto"/>
        <w:ind w:left="567" w:right="1276"/>
        <w:rPr>
          <w:rFonts w:ascii="Palatino Linotype" w:hAnsi="Palatino Linotype"/>
          <w:i/>
          <w:iCs/>
        </w:rPr>
      </w:pPr>
      <w:r>
        <w:rPr>
          <w:rFonts w:ascii="Palatino Linotype" w:hAnsi="Palatino Linotype"/>
          <w:i/>
          <w:iCs/>
        </w:rPr>
        <w:t xml:space="preserve">2. </w:t>
      </w:r>
      <w:r w:rsidRPr="00D7179B">
        <w:rPr>
          <w:rFonts w:ascii="Palatino Linotype" w:hAnsi="Palatino Linotype"/>
          <w:i/>
          <w:iCs/>
          <w:szCs w:val="24"/>
        </w:rPr>
        <w:t>Los documentos donde consten las quejas y denuncias firmes o que han causado estado recibidas durante el periodo comprendido del 1° de enero de 2012 al 16 de noviembre de 2021.</w:t>
      </w:r>
    </w:p>
    <w:p w14:paraId="0FF3B5E6" w14:textId="22F84A18" w:rsidR="00D7179B" w:rsidRDefault="00D7179B" w:rsidP="00D7179B">
      <w:pPr>
        <w:pStyle w:val="Prrafodelista"/>
        <w:ind w:left="567" w:right="1276"/>
        <w:jc w:val="both"/>
        <w:rPr>
          <w:rFonts w:ascii="Palatino Linotype" w:hAnsi="Palatino Linotype"/>
          <w:i/>
          <w:sz w:val="22"/>
          <w:szCs w:val="22"/>
        </w:rPr>
      </w:pPr>
      <w:r w:rsidRPr="00D7179B">
        <w:rPr>
          <w:rFonts w:ascii="Palatino Linotype" w:hAnsi="Palatino Linotype"/>
          <w:i/>
          <w:iCs/>
          <w:sz w:val="22"/>
          <w:szCs w:val="22"/>
        </w:rPr>
        <w:t xml:space="preserve">El acuerdo de clasificación como información reservada respecto de las denuncias y quejas presentadas entre el 1° de enero de 2012 al 16 de noviembre de 2021 y que a </w:t>
      </w:r>
      <w:r w:rsidRPr="00D7179B">
        <w:rPr>
          <w:rFonts w:ascii="Palatino Linotype" w:hAnsi="Palatino Linotype"/>
          <w:i/>
          <w:iCs/>
          <w:sz w:val="22"/>
          <w:szCs w:val="22"/>
        </w:rPr>
        <w:lastRenderedPageBreak/>
        <w:t>esta última fecha se encuentran en trámite, con excepción de aquellas relacionadas con actos de corrupción o violaciones graves a derechos humanos</w:t>
      </w:r>
      <w:r w:rsidRPr="00D7179B">
        <w:rPr>
          <w:rFonts w:ascii="Palatino Linotype" w:hAnsi="Palatino Linotype"/>
          <w:i/>
          <w:sz w:val="22"/>
          <w:szCs w:val="22"/>
        </w:rPr>
        <w:t>.</w:t>
      </w:r>
    </w:p>
    <w:p w14:paraId="5762C8BD" w14:textId="77777777" w:rsidR="00D7179B" w:rsidRDefault="00D7179B" w:rsidP="00D7179B">
      <w:pPr>
        <w:spacing w:line="240" w:lineRule="auto"/>
        <w:ind w:right="992"/>
        <w:jc w:val="both"/>
        <w:rPr>
          <w:rFonts w:ascii="Palatino Linotype" w:eastAsia="Calibri" w:hAnsi="Palatino Linotype" w:cs="Times New Roman"/>
          <w:i/>
          <w:lang w:val="es-ES" w:eastAsia="es-ES"/>
        </w:rPr>
      </w:pPr>
    </w:p>
    <w:p w14:paraId="1395FA45" w14:textId="77777777" w:rsidR="00D7179B" w:rsidRPr="00D7179B" w:rsidRDefault="00D7179B" w:rsidP="00D7179B">
      <w:pPr>
        <w:spacing w:line="240" w:lineRule="auto"/>
        <w:ind w:left="567" w:right="1276"/>
        <w:jc w:val="both"/>
        <w:rPr>
          <w:rFonts w:ascii="Palatino Linotype" w:hAnsi="Palatino Linotype"/>
          <w:bCs/>
          <w:i/>
          <w:iCs/>
        </w:rPr>
      </w:pPr>
      <w:r w:rsidRPr="00D7179B">
        <w:rPr>
          <w:rFonts w:ascii="Palatino Linotype" w:hAnsi="Palatino Linotype"/>
          <w:i/>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D7179B">
        <w:rPr>
          <w:rFonts w:ascii="Palatino Linotype" w:hAnsi="Palatino Linotype"/>
          <w:bCs/>
          <w:i/>
          <w:iCs/>
        </w:rPr>
        <w:t>y 132, fracción II de la Ley de Transparencia y Acceso a la Información Pública del Estado de México y Municipios.</w:t>
      </w:r>
    </w:p>
    <w:p w14:paraId="35BC9E5C" w14:textId="77777777" w:rsidR="00D7179B" w:rsidRPr="00D7179B" w:rsidRDefault="00D7179B" w:rsidP="00D7179B">
      <w:pPr>
        <w:spacing w:line="240" w:lineRule="auto"/>
        <w:ind w:left="567" w:right="1276"/>
        <w:jc w:val="both"/>
        <w:rPr>
          <w:rFonts w:ascii="Palatino Linotype" w:hAnsi="Palatino Linotype"/>
          <w:i/>
          <w:iCs/>
        </w:rPr>
      </w:pPr>
      <w:r w:rsidRPr="00D7179B">
        <w:rPr>
          <w:rFonts w:ascii="Palatino Linotype" w:hAnsi="Palatino Linotype"/>
          <w:bCs/>
          <w:i/>
          <w:iCs/>
        </w:rPr>
        <w:t xml:space="preserve">Para el caso de que </w:t>
      </w:r>
      <w:r w:rsidRPr="00D7179B">
        <w:rPr>
          <w:rFonts w:ascii="Palatino Linotype" w:hAnsi="Palatino Linotype"/>
          <w:b/>
          <w:bCs/>
          <w:i/>
          <w:iCs/>
        </w:rPr>
        <w:t>EL SUJETO OBLIGADO</w:t>
      </w:r>
      <w:r w:rsidRPr="00D7179B">
        <w:rPr>
          <w:rFonts w:ascii="Palatino Linotype" w:hAnsi="Palatino Linotype"/>
          <w:bCs/>
          <w:i/>
          <w:iCs/>
        </w:rPr>
        <w:t xml:space="preserve"> no cuente con toda la información que se ordena entregar en el numeral 2, derivado de la temporalidad ordenada deberá emitir deberá de emitir el acuerdo del Comité de Transparencia en el que se declare la inexistencia conforme a lo dispuesto en los artículos 49, fracciones II y XIII, 169 y 170 de la Ley de Transparencia y Acceso a la Información Pública del Estado de México y Municipios</w:t>
      </w:r>
      <w:r w:rsidRPr="00D7179B">
        <w:rPr>
          <w:rFonts w:ascii="Palatino Linotype" w:hAnsi="Palatino Linotype"/>
          <w:bCs/>
          <w:i/>
        </w:rPr>
        <w:t>;</w:t>
      </w:r>
      <w:r w:rsidRPr="00D7179B">
        <w:rPr>
          <w:rFonts w:ascii="Palatino Linotype" w:hAnsi="Palatino Linotype"/>
          <w:i/>
        </w:rPr>
        <w:t xml:space="preserve"> sin embargo, para el caso de que los documentos que se vayan a remitir superen las capacidades técnicas de </w:t>
      </w:r>
      <w:r w:rsidRPr="00D7179B">
        <w:rPr>
          <w:rFonts w:ascii="Palatino Linotype" w:hAnsi="Palatino Linotype"/>
          <w:b/>
          <w:bCs/>
          <w:i/>
        </w:rPr>
        <w:t>EL SAIMEX</w:t>
      </w:r>
      <w:r w:rsidRPr="00D7179B">
        <w:rPr>
          <w:rFonts w:ascii="Palatino Linotype" w:hAnsi="Palatino Linotype"/>
          <w:i/>
        </w:rPr>
        <w:t xml:space="preserve">, </w:t>
      </w:r>
      <w:r w:rsidRPr="00D7179B">
        <w:rPr>
          <w:rFonts w:ascii="Palatino Linotype" w:hAnsi="Palatino Linotype"/>
          <w:b/>
          <w:bCs/>
          <w:i/>
          <w:iCs/>
        </w:rPr>
        <w:t xml:space="preserve">EL SUJETO OBLIGADO, </w:t>
      </w:r>
      <w:r w:rsidRPr="00D7179B">
        <w:rPr>
          <w:rFonts w:ascii="Palatino Linotype" w:hAnsi="Palatino Linotype"/>
          <w:i/>
          <w:iCs/>
        </w:rPr>
        <w:t>podrá ofrecer otras modalidades electrónicas para la entrega de la información, tales como</w:t>
      </w:r>
      <w:r w:rsidRPr="00D7179B">
        <w:rPr>
          <w:rFonts w:ascii="Palatino Linotype" w:hAnsi="Palatino Linotype"/>
          <w:i/>
        </w:rPr>
        <w:t xml:space="preserve"> </w:t>
      </w:r>
      <w:r w:rsidRPr="00D7179B">
        <w:rPr>
          <w:rFonts w:ascii="Palatino Linotype" w:hAnsi="Palatino Linotype"/>
          <w:i/>
          <w:iCs/>
        </w:rPr>
        <w:t>enviar la información a su cuenta de correo electrónico; o concederle el acceso en disco compacto, con la posibilidad de envío mediante correo certificado, previo pago del costo del CD y del envío; o darle la posibilidad de obtenerla de manera gratuita si el mismo aporta el CD o la USB en la que se le proporcionarán los archivos electrónicos, o bien, habilitar una liga electrónica que deberá proporcionarle para que descargue los archivos; además de precisar que si se acredita un impedimento justificado para atender esa modalidad en relación directa con el formato en el que obra la información, se brinde la posibilidad de que debidamente fundada y motivada se ofrezca la entrega de la información en el resto de las modalidades, además, de consulta directa, como copias simples y certificadas con opción de envío a domicilio.</w:t>
      </w:r>
    </w:p>
    <w:p w14:paraId="0ED29B3D" w14:textId="03BBCD89" w:rsidR="00B14A95" w:rsidRPr="00D7179B" w:rsidRDefault="00D7179B" w:rsidP="00D7179B">
      <w:pPr>
        <w:spacing w:line="240" w:lineRule="auto"/>
        <w:ind w:left="567" w:right="1276"/>
        <w:jc w:val="both"/>
        <w:rPr>
          <w:rFonts w:ascii="Palatino Linotype" w:hAnsi="Palatino Linotype"/>
          <w:i/>
        </w:rPr>
      </w:pPr>
      <w:r w:rsidRPr="00D7179B">
        <w:rPr>
          <w:rFonts w:ascii="Palatino Linotype" w:hAnsi="Palatino Linotype"/>
          <w:i/>
          <w:iCs/>
        </w:rPr>
        <w:t>Para el caso de que acredite el cambio de modalidad electrónica, deberá indicar el procedimiento para acceder a la información.</w:t>
      </w:r>
      <w:r w:rsidR="00B14A95" w:rsidRPr="00D7179B">
        <w:rPr>
          <w:rFonts w:ascii="Palatino Linotype" w:hAnsi="Palatino Linotype"/>
          <w:i/>
        </w:rPr>
        <w:t>”</w:t>
      </w:r>
    </w:p>
    <w:p w14:paraId="21BCC077" w14:textId="77777777" w:rsidR="00B14A95" w:rsidRDefault="00B14A95" w:rsidP="00B14A95">
      <w:pPr>
        <w:spacing w:line="240" w:lineRule="auto"/>
        <w:ind w:right="990"/>
        <w:jc w:val="both"/>
        <w:rPr>
          <w:rFonts w:ascii="Palatino Linotype" w:hAnsi="Palatino Linotype"/>
          <w:i/>
          <w:szCs w:val="24"/>
        </w:rPr>
      </w:pPr>
    </w:p>
    <w:p w14:paraId="25EC28B4" w14:textId="5391B528" w:rsidR="00B14A95" w:rsidRDefault="00B14A95" w:rsidP="008C27C9">
      <w:pPr>
        <w:spacing w:line="360" w:lineRule="auto"/>
        <w:ind w:right="425"/>
        <w:jc w:val="both"/>
        <w:rPr>
          <w:rFonts w:ascii="Palatino Linotype" w:hAnsi="Palatino Linotype"/>
          <w:sz w:val="24"/>
          <w:szCs w:val="24"/>
        </w:rPr>
      </w:pPr>
      <w:r w:rsidRPr="00B14A95">
        <w:rPr>
          <w:rFonts w:ascii="Palatino Linotype" w:hAnsi="Palatino Linotype"/>
          <w:sz w:val="24"/>
          <w:szCs w:val="24"/>
        </w:rPr>
        <w:t>En ese sentido debe mencionarse, que como fue acordado, tratándose de i</w:t>
      </w:r>
      <w:r w:rsidR="009F5741">
        <w:rPr>
          <w:rFonts w:ascii="Palatino Linotype" w:hAnsi="Palatino Linotype"/>
          <w:sz w:val="24"/>
          <w:szCs w:val="24"/>
        </w:rPr>
        <w:t>nformación reservada como lo es</w:t>
      </w:r>
      <w:r w:rsidR="00C17E1C">
        <w:rPr>
          <w:rFonts w:ascii="Palatino Linotype" w:hAnsi="Palatino Linotype"/>
          <w:b/>
          <w:sz w:val="24"/>
          <w:szCs w:val="24"/>
        </w:rPr>
        <w:t xml:space="preserve"> la concerniente a </w:t>
      </w:r>
      <w:r w:rsidR="00C17E1C" w:rsidRPr="00C17E1C">
        <w:rPr>
          <w:rFonts w:ascii="Palatino Linotype" w:hAnsi="Palatino Linotype"/>
          <w:b/>
          <w:bCs/>
          <w:sz w:val="24"/>
          <w:szCs w:val="24"/>
        </w:rPr>
        <w:t xml:space="preserve">las quejas o denuncias que </w:t>
      </w:r>
      <w:r w:rsidR="00C17E1C" w:rsidRPr="00C17E1C">
        <w:rPr>
          <w:rFonts w:ascii="Palatino Linotype" w:hAnsi="Palatino Linotype"/>
          <w:b/>
          <w:bCs/>
          <w:sz w:val="24"/>
          <w:szCs w:val="24"/>
        </w:rPr>
        <w:lastRenderedPageBreak/>
        <w:t>formen parte</w:t>
      </w:r>
      <w:r w:rsidR="00C17E1C">
        <w:rPr>
          <w:rFonts w:ascii="Palatino Linotype" w:hAnsi="Palatino Linotype"/>
          <w:b/>
          <w:bCs/>
          <w:sz w:val="24"/>
          <w:szCs w:val="24"/>
        </w:rPr>
        <w:t xml:space="preserve"> de los </w:t>
      </w:r>
      <w:r w:rsidR="00C17E1C" w:rsidRPr="00C17E1C">
        <w:rPr>
          <w:rFonts w:ascii="Palatino Linotype" w:hAnsi="Palatino Linotype"/>
          <w:b/>
          <w:bCs/>
          <w:sz w:val="24"/>
          <w:szCs w:val="24"/>
        </w:rPr>
        <w:t>procedimientos de responsabilidades administrativas en contra servidores públicos, en trámite</w:t>
      </w:r>
      <w:r w:rsidR="009F5741" w:rsidRPr="009F5741">
        <w:rPr>
          <w:rFonts w:ascii="Palatino Linotype" w:hAnsi="Palatino Linotype"/>
          <w:b/>
          <w:sz w:val="24"/>
          <w:szCs w:val="24"/>
        </w:rPr>
        <w:t xml:space="preserve">, </w:t>
      </w:r>
      <w:r w:rsidRPr="00B14A95">
        <w:rPr>
          <w:rFonts w:ascii="Palatino Linotype" w:hAnsi="Palatino Linotype"/>
          <w:sz w:val="24"/>
          <w:szCs w:val="24"/>
        </w:rPr>
        <w:t>se deberá clasificar como información reservada para lo que es necesario el desarrollo de la prueba de daño, 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Confirme una clasificación, debe contener un análisis exhaustivo de los elementos de forma y fondo que establecen los artículos 122, 125, 128, 129, 130, 131, 132 fracción II, 134 de la Ley de Transparencia y</w:t>
      </w:r>
      <w:r>
        <w:rPr>
          <w:rFonts w:ascii="Palatino Linotype" w:hAnsi="Palatino Linotype"/>
          <w:sz w:val="24"/>
          <w:szCs w:val="24"/>
        </w:rPr>
        <w:t xml:space="preserve"> </w:t>
      </w:r>
      <w:r w:rsidRPr="00B14A95">
        <w:rPr>
          <w:rFonts w:ascii="Palatino Linotype" w:hAnsi="Palatino Linotype"/>
          <w:sz w:val="24"/>
          <w:szCs w:val="24"/>
        </w:rPr>
        <w:t xml:space="preserve">Acceso a la Información Pública del Estado de México y Municipios y los Lineamientos Generales en Materia de Clasificación y Desclasificación de la Información, así como para la elaboración de Versiones Públicas. 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w:t>
      </w:r>
      <w:r w:rsidRPr="00B14A95">
        <w:rPr>
          <w:rFonts w:ascii="Palatino Linotype" w:hAnsi="Palatino Linotype"/>
          <w:sz w:val="24"/>
          <w:szCs w:val="24"/>
        </w:rPr>
        <w:lastRenderedPageBreak/>
        <w:t xml:space="preserve">real demostrable e identificable al superar el interés público de que se difunda atendiendo al principio de proporcionalidad y el medio menos restrictivo disponible para evitar perjuicio. Al respecto, los Lineamientos Generales en Materia de Clasificación y Desclasificación de la Información, así como para la elaboración de versiones públicas, establecen en su numeral Trigésimo Tercero que para la aplicación de la prueba de daño los sujetos obligados atenderán lo siguiente: </w:t>
      </w:r>
    </w:p>
    <w:p w14:paraId="55F5E498" w14:textId="77777777" w:rsidR="00B14A95" w:rsidRPr="00C960CF" w:rsidRDefault="00B14A95" w:rsidP="00C960CF">
      <w:pPr>
        <w:spacing w:line="240" w:lineRule="auto"/>
        <w:ind w:left="567" w:right="990"/>
        <w:jc w:val="both"/>
        <w:rPr>
          <w:rFonts w:ascii="Palatino Linotype" w:hAnsi="Palatino Linotype"/>
          <w:i/>
        </w:rPr>
      </w:pPr>
      <w:r w:rsidRPr="00C960CF">
        <w:rPr>
          <w:rFonts w:ascii="Palatino Linotype" w:hAnsi="Palatino Linotype"/>
          <w:i/>
        </w:rPr>
        <w:t xml:space="preserve">"Trigésimo tercero. Para la aplicación de la prueba de daño a la que hace referencia el artículo 104 de la Ley General, los sujetos obligados atenderán lo siguiente: </w:t>
      </w:r>
    </w:p>
    <w:p w14:paraId="0DA12724" w14:textId="68801A45" w:rsidR="00B14A95" w:rsidRPr="00C960CF" w:rsidRDefault="00B14A95" w:rsidP="00C960CF">
      <w:pPr>
        <w:pStyle w:val="Prrafodelista"/>
        <w:numPr>
          <w:ilvl w:val="0"/>
          <w:numId w:val="33"/>
        </w:numPr>
        <w:ind w:left="567" w:right="990" w:hanging="141"/>
        <w:jc w:val="both"/>
        <w:rPr>
          <w:rFonts w:ascii="Palatino Linotype" w:hAnsi="Palatino Linotype"/>
          <w:i/>
          <w:sz w:val="22"/>
          <w:szCs w:val="22"/>
        </w:rPr>
      </w:pPr>
      <w:r w:rsidRPr="00C960CF">
        <w:rPr>
          <w:rFonts w:ascii="Palatino Linotype" w:hAnsi="Palatino Linotype"/>
          <w:i/>
          <w:sz w:val="22"/>
          <w:szCs w:val="22"/>
        </w:rPr>
        <w:t xml:space="preserve">Se deberá citar la fracción y, en su caso, la causal aplicable del artículo 113 de la Ley General, vinculándola con el Lineamiento especifico del presente ordenamiento y, cuando corresponda, el supuesto normativo que expresamente le otorga el carácter de información reservada; </w:t>
      </w:r>
    </w:p>
    <w:p w14:paraId="280990C7"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 </w:t>
      </w:r>
    </w:p>
    <w:p w14:paraId="5AB8D0C0"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szCs w:val="22"/>
        </w:rPr>
      </w:pPr>
      <w:r w:rsidRPr="00C960CF">
        <w:rPr>
          <w:rFonts w:ascii="Palatino Linotype" w:hAnsi="Palatino Linotype"/>
          <w:i/>
          <w:sz w:val="22"/>
          <w:szCs w:val="22"/>
        </w:rPr>
        <w:t xml:space="preserve">Se debe de acreditar el vínculo entre la difusión de la información y la afectación del interés jurídico tutelado de que se trate; </w:t>
      </w:r>
    </w:p>
    <w:p w14:paraId="729305EA"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Precisar las razones objetivas por las que la apertura de la información generaría una afectación, a través de los elementos de un riesgo real, demostrable e identificable; </w:t>
      </w:r>
    </w:p>
    <w:p w14:paraId="07C7AC4E" w14:textId="77777777" w:rsidR="00C960CF" w:rsidRPr="00C960CF" w:rsidRDefault="00B14A95" w:rsidP="00C960CF">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En la motivación de la clasificación, el sujeto obligado deberá acreditar las circunstancias de modo, tiempo y lugar del daño, y </w:t>
      </w:r>
    </w:p>
    <w:p w14:paraId="5050FB47" w14:textId="6E3012F0" w:rsidR="00C960CF" w:rsidRPr="008C27C9" w:rsidRDefault="00B14A95" w:rsidP="008C27C9">
      <w:pPr>
        <w:pStyle w:val="Prrafodelista"/>
        <w:numPr>
          <w:ilvl w:val="0"/>
          <w:numId w:val="33"/>
        </w:numPr>
        <w:ind w:left="567" w:right="990" w:hanging="283"/>
        <w:jc w:val="both"/>
        <w:rPr>
          <w:rFonts w:ascii="Palatino Linotype" w:hAnsi="Palatino Linotype"/>
          <w:i/>
          <w:sz w:val="22"/>
        </w:rPr>
      </w:pPr>
      <w:r w:rsidRPr="00C960CF">
        <w:rPr>
          <w:rFonts w:ascii="Palatino Linotype" w:hAnsi="Palatino Linotype"/>
          <w:i/>
          <w:sz w:val="22"/>
        </w:rPr>
        <w:t xml:space="preserve">Deberán elegir la opción de excepción al acceso a la información que menos lo restrinja, la cual será adecuada y proporcional para la protección del interés público, y deberá inte1ferir lo menos posible en el ejercicio efectivo del derecho de acceso a la información."(Sic) </w:t>
      </w:r>
    </w:p>
    <w:p w14:paraId="11B6D05A" w14:textId="77777777" w:rsidR="00C960CF" w:rsidRDefault="00B14A95" w:rsidP="008C27C9">
      <w:pPr>
        <w:spacing w:line="360" w:lineRule="auto"/>
        <w:ind w:right="425"/>
        <w:jc w:val="both"/>
        <w:rPr>
          <w:rFonts w:ascii="Palatino Linotype" w:hAnsi="Palatino Linotype"/>
          <w:sz w:val="24"/>
        </w:rPr>
      </w:pPr>
      <w:r w:rsidRPr="00C960CF">
        <w:rPr>
          <w:rFonts w:ascii="Palatino Linotype" w:hAnsi="Palatino Linotype"/>
          <w:sz w:val="24"/>
        </w:rPr>
        <w:t xml:space="preserve">En conclusión, para convalidar la clasificación como información reservada, se debe efectuar el estudio de clasificación a la luz de los elementos que exigen los Lineamientos generales en materia de clasificación y desclasificación de la </w:t>
      </w:r>
      <w:r w:rsidRPr="00C960CF">
        <w:rPr>
          <w:rFonts w:ascii="Palatino Linotype" w:hAnsi="Palatino Linotype"/>
          <w:sz w:val="24"/>
        </w:rPr>
        <w:lastRenderedPageBreak/>
        <w:t xml:space="preserve">información, así como para la elaboración de versiones públicas, y efectuar un análisis exhaustivo en todos aquellos casos que restrinjan el derecho de acceso a la información de los particulares, como es la figura de la clasificación de la información para verificar que se acredita la prueba de daño. </w:t>
      </w:r>
    </w:p>
    <w:p w14:paraId="71FA3C60" w14:textId="5489171F" w:rsidR="00C960CF" w:rsidRDefault="00B14A95" w:rsidP="00FE2494">
      <w:pPr>
        <w:spacing w:line="360" w:lineRule="auto"/>
        <w:ind w:right="425"/>
        <w:jc w:val="both"/>
        <w:rPr>
          <w:rFonts w:ascii="Palatino Linotype" w:hAnsi="Palatino Linotype"/>
          <w:sz w:val="24"/>
        </w:rPr>
      </w:pPr>
      <w:r w:rsidRPr="00C960CF">
        <w:rPr>
          <w:rFonts w:ascii="Palatino Linotype" w:hAnsi="Palatino Linotype"/>
          <w:sz w:val="24"/>
        </w:rPr>
        <w:t>Bajo este contexto, se analizó la resoluci</w:t>
      </w:r>
      <w:r w:rsidR="001C346E">
        <w:rPr>
          <w:rFonts w:ascii="Palatino Linotype" w:hAnsi="Palatino Linotype"/>
          <w:sz w:val="24"/>
        </w:rPr>
        <w:t xml:space="preserve">ón de los </w:t>
      </w:r>
      <w:r w:rsidR="00C960CF">
        <w:rPr>
          <w:rFonts w:ascii="Palatino Linotype" w:hAnsi="Palatino Linotype"/>
          <w:sz w:val="24"/>
        </w:rPr>
        <w:t>recurs</w:t>
      </w:r>
      <w:r w:rsidR="001C346E">
        <w:rPr>
          <w:rFonts w:ascii="Palatino Linotype" w:hAnsi="Palatino Linotype"/>
          <w:sz w:val="24"/>
        </w:rPr>
        <w:t>os</w:t>
      </w:r>
      <w:r w:rsidR="00C960CF">
        <w:rPr>
          <w:rFonts w:ascii="Palatino Linotype" w:hAnsi="Palatino Linotype"/>
          <w:sz w:val="24"/>
        </w:rPr>
        <w:t xml:space="preserve"> de revisión </w:t>
      </w:r>
      <w:r w:rsidR="00C17E1C" w:rsidRPr="00C17E1C">
        <w:rPr>
          <w:rFonts w:ascii="Palatino Linotype" w:hAnsi="Palatino Linotype"/>
          <w:b/>
          <w:sz w:val="24"/>
        </w:rPr>
        <w:t>06467</w:t>
      </w:r>
      <w:r w:rsidR="00C17E1C" w:rsidRPr="00C17E1C">
        <w:rPr>
          <w:rFonts w:ascii="Palatino Linotype" w:hAnsi="Palatino Linotype"/>
          <w:b/>
          <w:sz w:val="24"/>
          <w:lang w:val="es-ES_tradnl"/>
        </w:rPr>
        <w:t>/INFOEM/IP/RR/2021 y acumulado</w:t>
      </w:r>
      <w:r w:rsidRPr="00C960CF">
        <w:rPr>
          <w:rFonts w:ascii="Palatino Linotype" w:hAnsi="Palatino Linotype"/>
          <w:sz w:val="24"/>
        </w:rPr>
        <w:t xml:space="preserve">, en la cual, el </w:t>
      </w:r>
      <w:r w:rsidRPr="00C960CF">
        <w:rPr>
          <w:rFonts w:ascii="Palatino Linotype" w:hAnsi="Palatino Linotype"/>
          <w:b/>
          <w:sz w:val="24"/>
        </w:rPr>
        <w:t>Comisionado Luis Gustavo Parra Noriega</w:t>
      </w:r>
      <w:r w:rsidRPr="00C960CF">
        <w:rPr>
          <w:rFonts w:ascii="Palatino Linotype" w:hAnsi="Palatino Linotype"/>
          <w:sz w:val="24"/>
        </w:rPr>
        <w:t>, realiza la prueba de daño a partir de los elementos proporcionados por las partes,</w:t>
      </w:r>
      <w:r w:rsidR="00C960CF">
        <w:rPr>
          <w:rFonts w:ascii="Palatino Linotype" w:hAnsi="Palatino Linotype"/>
          <w:sz w:val="24"/>
        </w:rPr>
        <w:t xml:space="preserve"> </w:t>
      </w:r>
      <w:r w:rsidR="00C960CF" w:rsidRPr="00C960CF">
        <w:rPr>
          <w:rFonts w:ascii="Palatino Linotype" w:hAnsi="Palatino Linotype"/>
          <w:sz w:val="24"/>
        </w:rPr>
        <w:t xml:space="preserve">circunstancias que, a consideración de la suscrita y derivado de lo antes señalado, les corresponde comprobar a los Sujetos Obligados,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 </w:t>
      </w:r>
    </w:p>
    <w:p w14:paraId="10ED5C7C" w14:textId="27EB2710" w:rsidR="00C960CF" w:rsidRDefault="00C960CF" w:rsidP="00C960CF">
      <w:pPr>
        <w:spacing w:line="240" w:lineRule="auto"/>
        <w:ind w:left="567" w:right="990"/>
        <w:jc w:val="both"/>
        <w:rPr>
          <w:rFonts w:ascii="Palatino Linotype" w:hAnsi="Palatino Linotype"/>
          <w:sz w:val="24"/>
        </w:rPr>
      </w:pPr>
      <w:r w:rsidRPr="00C960CF">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(Sic)</w:t>
      </w:r>
      <w:r w:rsidRPr="00C960CF">
        <w:rPr>
          <w:rFonts w:ascii="Palatino Linotype" w:hAnsi="Palatino Linotype"/>
        </w:rPr>
        <w:t xml:space="preserve"> </w:t>
      </w:r>
    </w:p>
    <w:p w14:paraId="63FA15BE" w14:textId="62978FE1" w:rsidR="00B14A95" w:rsidRDefault="00C960CF" w:rsidP="00FE2494">
      <w:pPr>
        <w:spacing w:line="360" w:lineRule="auto"/>
        <w:ind w:right="425"/>
        <w:jc w:val="both"/>
        <w:rPr>
          <w:rFonts w:ascii="Palatino Linotype" w:hAnsi="Palatino Linotype"/>
          <w:b/>
          <w:sz w:val="24"/>
        </w:rPr>
      </w:pPr>
      <w:r w:rsidRPr="00C960CF">
        <w:rPr>
          <w:rFonts w:ascii="Palatino Linotype" w:hAnsi="Palatino Linotype"/>
          <w:sz w:val="24"/>
        </w:rPr>
        <w:t xml:space="preserve">Precepto legal en donde establece que </w:t>
      </w:r>
      <w:r w:rsidRPr="00C960CF">
        <w:rPr>
          <w:rFonts w:ascii="Palatino Linotype" w:hAnsi="Palatino Linotype"/>
          <w:b/>
          <w:sz w:val="24"/>
        </w:rPr>
        <w:t>los encargados de realizar la prueba de daño, son los Sujeto Obligados</w:t>
      </w:r>
      <w:r w:rsidRPr="00C960CF">
        <w:rPr>
          <w:rFonts w:ascii="Palatino Linotype" w:hAnsi="Palatino Linotype"/>
          <w:sz w:val="24"/>
        </w:rPr>
        <w:t xml:space="preserve">; es decir, que los Sujetos Obligados que generan, administren o posean, la información que deba ser clasificada como información reservada por actualizar alguna causal de reserva señala en el artículo 140 de la Ley de la Materia, son los responsables de aplicar la prueba de daño para demostrar que </w:t>
      </w:r>
      <w:r w:rsidRPr="00C960CF">
        <w:rPr>
          <w:rFonts w:ascii="Palatino Linotype" w:hAnsi="Palatino Linotype"/>
          <w:sz w:val="24"/>
        </w:rPr>
        <w:lastRenderedPageBreak/>
        <w:t xml:space="preserve">la divulgación de la información lesiona interés jurídicamente protegido por la Ley, y que el menoscabo o daño que puede producirse con la publicidad de la información es mayor que el interés de conocerla. </w:t>
      </w:r>
      <w:r w:rsidRPr="00C960CF">
        <w:rPr>
          <w:rFonts w:ascii="Palatino Linotype" w:hAnsi="Palatino Linotype"/>
          <w:b/>
          <w:sz w:val="24"/>
        </w:rPr>
        <w:t>Esto es, que, a través de la prueba de daño, los sujetos obligados expongan las razones, motivos o circunstancias especiales que los lleven a concluir que la información adquiere el carácter de reservada, y se ajusta a los supuestos previstos en la normatividad como fundamento.</w:t>
      </w:r>
    </w:p>
    <w:p w14:paraId="4EE19757" w14:textId="175BDB91" w:rsidR="00E609CB" w:rsidRDefault="00C960CF" w:rsidP="00FE2494">
      <w:pPr>
        <w:spacing w:line="360" w:lineRule="auto"/>
        <w:ind w:right="425"/>
        <w:jc w:val="both"/>
        <w:rPr>
          <w:rFonts w:ascii="Palatino Linotype" w:hAnsi="Palatino Linotype"/>
          <w:sz w:val="24"/>
        </w:rPr>
      </w:pPr>
      <w:r w:rsidRPr="00C960CF">
        <w:rPr>
          <w:rFonts w:ascii="Palatino Linotype" w:hAnsi="Palatino Linotype"/>
          <w:sz w:val="24"/>
        </w:rPr>
        <w:t xml:space="preserve">Por lo que, en opinión de la Suscrita, y en términos de lo dispuesto por la normatividad en la materia son los Sujetos Obligados los que deben aportar los elementos desarrollar la prueba de daño necesaria y suficiente, a fin de garantizar la reserva de información y la adecuada temporalidad de esta, aportando elementos necesarios para su clasificación y favoreciendo la entrega de documentos mediante la versión pública. </w:t>
      </w:r>
    </w:p>
    <w:p w14:paraId="1510376D" w14:textId="3A03162E" w:rsidR="00C960CF" w:rsidRPr="00C960CF" w:rsidRDefault="008C27C9" w:rsidP="00FE2494">
      <w:pPr>
        <w:spacing w:line="360" w:lineRule="auto"/>
        <w:ind w:right="425"/>
        <w:jc w:val="both"/>
        <w:rPr>
          <w:rFonts w:ascii="Palatino Linotype" w:hAnsi="Palatino Linotype"/>
          <w:sz w:val="24"/>
        </w:rPr>
        <w:sectPr w:rsidR="00C960CF" w:rsidRPr="00C960CF" w:rsidSect="00D7179B">
          <w:headerReference w:type="even" r:id="rId11"/>
          <w:headerReference w:type="default" r:id="rId12"/>
          <w:footerReference w:type="default" r:id="rId13"/>
          <w:pgSz w:w="12240" w:h="15840"/>
          <w:pgMar w:top="1871" w:right="1041" w:bottom="2836" w:left="1985" w:header="709" w:footer="586" w:gutter="0"/>
          <w:cols w:space="708"/>
          <w:docGrid w:linePitch="360"/>
        </w:sectPr>
      </w:pPr>
      <w:r>
        <w:rPr>
          <w:rFonts w:ascii="Palatino Linotype" w:hAnsi="Palatino Linotype"/>
          <w:noProof/>
          <w:sz w:val="24"/>
          <w:lang w:eastAsia="es-MX"/>
        </w:rPr>
        <mc:AlternateContent>
          <mc:Choice Requires="wps">
            <w:drawing>
              <wp:anchor distT="0" distB="0" distL="114300" distR="114300" simplePos="0" relativeHeight="251659264" behindDoc="0" locked="0" layoutInCell="1" allowOverlap="1" wp14:anchorId="43CC1033" wp14:editId="5F640B8F">
                <wp:simplePos x="0" y="0"/>
                <wp:positionH relativeFrom="margin">
                  <wp:posOffset>73024</wp:posOffset>
                </wp:positionH>
                <wp:positionV relativeFrom="paragraph">
                  <wp:posOffset>626110</wp:posOffset>
                </wp:positionV>
                <wp:extent cx="5610225" cy="3038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610225" cy="3038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51549"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5pt,49.3pt" to="447.5pt,2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" strokecolor="black [3200]" strokeweight=".5pt">
                <v:stroke joinstyle="miter"/>
                <w10:wrap anchorx="margin"/>
              </v:line>
            </w:pict>
          </mc:Fallback>
        </mc:AlternateContent>
      </w:r>
      <w:r w:rsidR="00C960CF" w:rsidRPr="00C960CF">
        <w:rPr>
          <w:rFonts w:ascii="Palatino Linotype" w:hAnsi="Palatino Linotype"/>
          <w:sz w:val="24"/>
        </w:rPr>
        <w:t>Lo expuesto, constituyen las razones y fundamentos que me llevan a emitir la opinión particular que se ha expresado.</w:t>
      </w:r>
      <w:bookmarkStart w:id="2" w:name="_GoBack"/>
      <w:bookmarkEnd w:id="2"/>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4"/>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F784A" w14:textId="77777777" w:rsidR="00B65F43" w:rsidRDefault="00B65F43" w:rsidP="00907451">
      <w:pPr>
        <w:spacing w:after="0" w:line="240" w:lineRule="auto"/>
      </w:pPr>
      <w:r>
        <w:separator/>
      </w:r>
    </w:p>
  </w:endnote>
  <w:endnote w:type="continuationSeparator" w:id="0">
    <w:p w14:paraId="15539379" w14:textId="77777777" w:rsidR="00B65F43" w:rsidRDefault="00B65F43"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93A71">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93A71">
      <w:rPr>
        <w:rFonts w:ascii="Arial" w:hAnsi="Arial" w:cs="Arial"/>
        <w:b/>
        <w:bCs/>
        <w:noProof/>
        <w:sz w:val="20"/>
        <w:szCs w:val="20"/>
      </w:rPr>
      <w:t>9</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ECDC7" w14:textId="77777777" w:rsidR="00B65F43" w:rsidRDefault="00B65F43" w:rsidP="00907451">
      <w:pPr>
        <w:spacing w:after="0" w:line="240" w:lineRule="auto"/>
      </w:pPr>
      <w:r>
        <w:separator/>
      </w:r>
    </w:p>
  </w:footnote>
  <w:footnote w:type="continuationSeparator" w:id="0">
    <w:p w14:paraId="5CDA634C" w14:textId="77777777" w:rsidR="00B65F43" w:rsidRDefault="00B65F43"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6617430" w:rsidR="007F0307" w:rsidRPr="00563D0F" w:rsidRDefault="000A1D25" w:rsidP="007F0307">
    <w:pPr>
      <w:pStyle w:val="Encabezado"/>
      <w:jc w:val="right"/>
      <w:rPr>
        <w:rFonts w:ascii="Palatino Linotype" w:hAnsi="Palatino Linotype" w:cs="Arial"/>
        <w:b/>
        <w:sz w:val="20"/>
        <w:szCs w:val="20"/>
      </w:rPr>
    </w:pPr>
    <w:r>
      <w:rPr>
        <w:rFonts w:ascii="Palatino Linotype" w:hAnsi="Palatino Linotype" w:cs="Arial"/>
        <w:b/>
        <w:sz w:val="20"/>
        <w:szCs w:val="20"/>
      </w:rPr>
      <w:t>OPINIÓN PARTICULAR</w:t>
    </w:r>
    <w:r w:rsidR="007F0307" w:rsidRPr="00563D0F">
      <w:rPr>
        <w:rFonts w:ascii="Palatino Linotype" w:hAnsi="Palatino Linotype" w:cs="Arial"/>
        <w:b/>
        <w:sz w:val="20"/>
        <w:szCs w:val="20"/>
      </w:rPr>
      <w:t xml:space="preserve"> </w:t>
    </w:r>
  </w:p>
  <w:p w14:paraId="7B3AF3E3" w14:textId="69EA790C"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1854E2">
      <w:rPr>
        <w:rFonts w:ascii="Palatino Linotype" w:hAnsi="Palatino Linotype" w:cs="Arial"/>
        <w:b/>
        <w:sz w:val="22"/>
        <w:szCs w:val="22"/>
      </w:rPr>
      <w:t>06467</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1854E2">
      <w:rPr>
        <w:rFonts w:ascii="Palatino Linotype" w:hAnsi="Palatino Linotype"/>
        <w:b/>
        <w:sz w:val="22"/>
        <w:szCs w:val="22"/>
        <w:lang w:val="es-ES_tradnl"/>
      </w:rPr>
      <w:t>21 Y ACUMULADO</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4B34C5"/>
    <w:multiLevelType w:val="hybridMultilevel"/>
    <w:tmpl w:val="3D4CEA26"/>
    <w:lvl w:ilvl="0" w:tplc="B6D480E4">
      <w:start w:val="1"/>
      <w:numFmt w:val="decimal"/>
      <w:lvlText w:val="%1."/>
      <w:lvlJc w:val="left"/>
      <w:pPr>
        <w:ind w:left="1211" w:hanging="360"/>
      </w:pPr>
      <w:rPr>
        <w:rFonts w:eastAsia="Batang" w:cs="Tahoma"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57C6DAE"/>
    <w:multiLevelType w:val="hybridMultilevel"/>
    <w:tmpl w:val="D2AC91AC"/>
    <w:lvl w:ilvl="0" w:tplc="06B81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1">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6">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7">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5">
    <w:nsid w:val="585D2E06"/>
    <w:multiLevelType w:val="hybridMultilevel"/>
    <w:tmpl w:val="66B82294"/>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3">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0"/>
  </w:num>
  <w:num w:numId="4">
    <w:abstractNumId w:val="30"/>
  </w:num>
  <w:num w:numId="5">
    <w:abstractNumId w:val="21"/>
  </w:num>
  <w:num w:numId="6">
    <w:abstractNumId w:val="28"/>
  </w:num>
  <w:num w:numId="7">
    <w:abstractNumId w:val="2"/>
  </w:num>
  <w:num w:numId="8">
    <w:abstractNumId w:val="20"/>
  </w:num>
  <w:num w:numId="9">
    <w:abstractNumId w:val="18"/>
  </w:num>
  <w:num w:numId="10">
    <w:abstractNumId w:val="5"/>
  </w:num>
  <w:num w:numId="11">
    <w:abstractNumId w:val="11"/>
  </w:num>
  <w:num w:numId="12">
    <w:abstractNumId w:val="26"/>
  </w:num>
  <w:num w:numId="13">
    <w:abstractNumId w:val="32"/>
  </w:num>
  <w:num w:numId="14">
    <w:abstractNumId w:val="31"/>
  </w:num>
  <w:num w:numId="15">
    <w:abstractNumId w:val="16"/>
  </w:num>
  <w:num w:numId="16">
    <w:abstractNumId w:val="6"/>
  </w:num>
  <w:num w:numId="17">
    <w:abstractNumId w:val="15"/>
  </w:num>
  <w:num w:numId="18">
    <w:abstractNumId w:val="17"/>
  </w:num>
  <w:num w:numId="19">
    <w:abstractNumId w:val="24"/>
  </w:num>
  <w:num w:numId="20">
    <w:abstractNumId w:val="0"/>
  </w:num>
  <w:num w:numId="21">
    <w:abstractNumId w:val="14"/>
  </w:num>
  <w:num w:numId="22">
    <w:abstractNumId w:val="19"/>
  </w:num>
  <w:num w:numId="23">
    <w:abstractNumId w:val="9"/>
  </w:num>
  <w:num w:numId="24">
    <w:abstractNumId w:val="13"/>
  </w:num>
  <w:num w:numId="25">
    <w:abstractNumId w:val="3"/>
  </w:num>
  <w:num w:numId="26">
    <w:abstractNumId w:val="1"/>
  </w:num>
  <w:num w:numId="27">
    <w:abstractNumId w:val="29"/>
  </w:num>
  <w:num w:numId="28">
    <w:abstractNumId w:val="12"/>
  </w:num>
  <w:num w:numId="29">
    <w:abstractNumId w:val="22"/>
  </w:num>
  <w:num w:numId="30">
    <w:abstractNumId w:val="4"/>
  </w:num>
  <w:num w:numId="31">
    <w:abstractNumId w:val="33"/>
  </w:num>
  <w:num w:numId="32">
    <w:abstractNumId w:val="27"/>
  </w:num>
  <w:num w:numId="33">
    <w:abstractNumId w:val="8"/>
  </w:num>
  <w:num w:numId="34">
    <w:abstractNumId w:val="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42D2"/>
    <w:rsid w:val="00042A3C"/>
    <w:rsid w:val="0004489A"/>
    <w:rsid w:val="00051C17"/>
    <w:rsid w:val="00057319"/>
    <w:rsid w:val="000607BA"/>
    <w:rsid w:val="000830BC"/>
    <w:rsid w:val="00093A71"/>
    <w:rsid w:val="000A1D25"/>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4E2"/>
    <w:rsid w:val="001858FB"/>
    <w:rsid w:val="0019050D"/>
    <w:rsid w:val="001A2DF4"/>
    <w:rsid w:val="001A7C78"/>
    <w:rsid w:val="001B2D26"/>
    <w:rsid w:val="001C346E"/>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95DB1"/>
    <w:rsid w:val="003A32DF"/>
    <w:rsid w:val="003A42B2"/>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E0033"/>
    <w:rsid w:val="004F52A3"/>
    <w:rsid w:val="00503956"/>
    <w:rsid w:val="00505F5A"/>
    <w:rsid w:val="00521B18"/>
    <w:rsid w:val="0054490F"/>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7637"/>
    <w:rsid w:val="005F33E4"/>
    <w:rsid w:val="005F3E26"/>
    <w:rsid w:val="005F4C0C"/>
    <w:rsid w:val="00605983"/>
    <w:rsid w:val="006113A8"/>
    <w:rsid w:val="00617CFA"/>
    <w:rsid w:val="00620227"/>
    <w:rsid w:val="006214D7"/>
    <w:rsid w:val="00624C71"/>
    <w:rsid w:val="0062768F"/>
    <w:rsid w:val="0063133C"/>
    <w:rsid w:val="00637EE1"/>
    <w:rsid w:val="00653E3A"/>
    <w:rsid w:val="00660478"/>
    <w:rsid w:val="006725BB"/>
    <w:rsid w:val="00675C15"/>
    <w:rsid w:val="0068591E"/>
    <w:rsid w:val="0069251F"/>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12CC4"/>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F0307"/>
    <w:rsid w:val="007F20FB"/>
    <w:rsid w:val="007F5005"/>
    <w:rsid w:val="007F7D28"/>
    <w:rsid w:val="00807896"/>
    <w:rsid w:val="00807B02"/>
    <w:rsid w:val="00817AA2"/>
    <w:rsid w:val="00821794"/>
    <w:rsid w:val="00826351"/>
    <w:rsid w:val="0082668B"/>
    <w:rsid w:val="0083151C"/>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C27C9"/>
    <w:rsid w:val="008D7720"/>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741"/>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7EFC"/>
    <w:rsid w:val="00B018BD"/>
    <w:rsid w:val="00B02DEB"/>
    <w:rsid w:val="00B03784"/>
    <w:rsid w:val="00B12CF1"/>
    <w:rsid w:val="00B143F9"/>
    <w:rsid w:val="00B148B0"/>
    <w:rsid w:val="00B14A95"/>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C0A51"/>
    <w:rsid w:val="00BC10BB"/>
    <w:rsid w:val="00BD008A"/>
    <w:rsid w:val="00BD1126"/>
    <w:rsid w:val="00BD3556"/>
    <w:rsid w:val="00BD3823"/>
    <w:rsid w:val="00BD6FF1"/>
    <w:rsid w:val="00BE0A3D"/>
    <w:rsid w:val="00BE1582"/>
    <w:rsid w:val="00BE6B5D"/>
    <w:rsid w:val="00BF783D"/>
    <w:rsid w:val="00C11623"/>
    <w:rsid w:val="00C1364B"/>
    <w:rsid w:val="00C17E1C"/>
    <w:rsid w:val="00C20F5E"/>
    <w:rsid w:val="00C2534B"/>
    <w:rsid w:val="00C26FD7"/>
    <w:rsid w:val="00C35F28"/>
    <w:rsid w:val="00C371BF"/>
    <w:rsid w:val="00C41B3E"/>
    <w:rsid w:val="00C44937"/>
    <w:rsid w:val="00C44E15"/>
    <w:rsid w:val="00C55960"/>
    <w:rsid w:val="00C604BA"/>
    <w:rsid w:val="00C614BC"/>
    <w:rsid w:val="00C62298"/>
    <w:rsid w:val="00C622D3"/>
    <w:rsid w:val="00C70348"/>
    <w:rsid w:val="00C83BEE"/>
    <w:rsid w:val="00C960CF"/>
    <w:rsid w:val="00CB1CEB"/>
    <w:rsid w:val="00CC5CDC"/>
    <w:rsid w:val="00CD4064"/>
    <w:rsid w:val="00CD4760"/>
    <w:rsid w:val="00CD5A1A"/>
    <w:rsid w:val="00CE45F1"/>
    <w:rsid w:val="00CE4B6D"/>
    <w:rsid w:val="00CF29D2"/>
    <w:rsid w:val="00D04497"/>
    <w:rsid w:val="00D0473A"/>
    <w:rsid w:val="00D167CB"/>
    <w:rsid w:val="00D32E4F"/>
    <w:rsid w:val="00D4524A"/>
    <w:rsid w:val="00D4547A"/>
    <w:rsid w:val="00D45590"/>
    <w:rsid w:val="00D54152"/>
    <w:rsid w:val="00D5623B"/>
    <w:rsid w:val="00D5767C"/>
    <w:rsid w:val="00D63202"/>
    <w:rsid w:val="00D7179B"/>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609CB"/>
    <w:rsid w:val="00E61511"/>
    <w:rsid w:val="00E65A66"/>
    <w:rsid w:val="00E73445"/>
    <w:rsid w:val="00E7439C"/>
    <w:rsid w:val="00E82BA4"/>
    <w:rsid w:val="00E9051A"/>
    <w:rsid w:val="00E920D4"/>
    <w:rsid w:val="00E929BA"/>
    <w:rsid w:val="00EC4C76"/>
    <w:rsid w:val="00EC4E8B"/>
    <w:rsid w:val="00EC6430"/>
    <w:rsid w:val="00EC73A5"/>
    <w:rsid w:val="00EC7534"/>
    <w:rsid w:val="00ED5127"/>
    <w:rsid w:val="00EE6722"/>
    <w:rsid w:val="00EE7157"/>
    <w:rsid w:val="00F01460"/>
    <w:rsid w:val="00F0275E"/>
    <w:rsid w:val="00F0656C"/>
    <w:rsid w:val="00F10C3C"/>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2494"/>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unhideWhenUsed/>
    <w:rsid w:val="00696A57"/>
    <w:rPr>
      <w:color w:val="0000FF"/>
      <w:u w:val="single"/>
    </w:rPr>
  </w:style>
  <w:style w:type="table" w:styleId="Tablaconcuadrcula">
    <w:name w:val="Table Grid"/>
    <w:basedOn w:val="Tablanormal"/>
    <w:uiPriority w:val="59"/>
    <w:rsid w:val="00185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142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1291424.page" TargetMode="External"/><Relationship Id="rId4" Type="http://schemas.openxmlformats.org/officeDocument/2006/relationships/settings" Target="settings.xml"/><Relationship Id="rId9" Type="http://schemas.openxmlformats.org/officeDocument/2006/relationships/hyperlink" Target="https://www.plataformadigitalnacional,org/sancionado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5E4299-839C-4E24-BE67-AB8A93BC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2122</Words>
  <Characters>11674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2022-03-04T19:47:00Z</cp:lastPrinted>
  <dcterms:created xsi:type="dcterms:W3CDTF">2022-03-04T19:28:00Z</dcterms:created>
  <dcterms:modified xsi:type="dcterms:W3CDTF">2022-03-04T19:48:00Z</dcterms:modified>
</cp:coreProperties>
</file>