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3F" w:rsidRDefault="00D42093">
      <w:pPr>
        <w:spacing w:after="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 xml:space="preserve">LA CUADRAGÉSIMA TERCERA SESIÓN ORDINARIA DEL TREINTA DE NOVIEMBRE DE DOS MIL VEINTIDÓS, EN EL RECURSO DE REVISIÓN 06796/INFOEM/ICR-35/IP/RR/2022. </w:t>
      </w:r>
    </w:p>
    <w:p w:rsidR="005F4E3F" w:rsidRDefault="005F4E3F">
      <w:pPr>
        <w:spacing w:after="0" w:line="360" w:lineRule="auto"/>
        <w:jc w:val="both"/>
        <w:rPr>
          <w:rFonts w:ascii="Palatino Linotype" w:eastAsia="Palatino Linotype" w:hAnsi="Palatino Linotype" w:cs="Palatino Linotype"/>
          <w:b/>
          <w:sz w:val="24"/>
          <w:szCs w:val="24"/>
        </w:rPr>
      </w:pPr>
      <w:bookmarkStart w:id="1" w:name="_GoBack"/>
      <w:bookmarkEnd w:id="1"/>
    </w:p>
    <w:p w:rsidR="005F4E3F" w:rsidRDefault="00D42093">
      <w:pPr>
        <w:spacing w:after="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pleno del Instituto de Transparencia, Acceso a la Información Pública y Protección de Datos Personales de</w:t>
      </w:r>
      <w:r>
        <w:rPr>
          <w:rFonts w:ascii="Palatino Linotype" w:eastAsia="Palatino Linotype" w:hAnsi="Palatino Linotype" w:cs="Palatino Linotype"/>
          <w:sz w:val="24"/>
          <w:szCs w:val="24"/>
        </w:rPr>
        <w:t xml:space="preserve">l Estado de México y Municipios, aprobó por </w:t>
      </w:r>
      <w:r w:rsidR="009E4748" w:rsidRPr="009E4748">
        <w:rPr>
          <w:rFonts w:ascii="Palatino Linotype" w:eastAsia="Palatino Linotype" w:hAnsi="Palatino Linotype" w:cs="Palatino Linotype"/>
          <w:sz w:val="24"/>
          <w:szCs w:val="24"/>
        </w:rPr>
        <w:t>mayoría</w:t>
      </w:r>
      <w:r>
        <w:rPr>
          <w:rFonts w:ascii="Palatino Linotype" w:eastAsia="Palatino Linotype" w:hAnsi="Palatino Linotype" w:cs="Palatino Linotype"/>
          <w:sz w:val="24"/>
          <w:szCs w:val="24"/>
        </w:rPr>
        <w:t xml:space="preserve"> de votos, la resolución relativa al recurso de revisión </w:t>
      </w:r>
      <w:r>
        <w:rPr>
          <w:rFonts w:ascii="Palatino Linotype" w:eastAsia="Palatino Linotype" w:hAnsi="Palatino Linotype" w:cs="Palatino Linotype"/>
          <w:b/>
          <w:sz w:val="24"/>
          <w:szCs w:val="24"/>
        </w:rPr>
        <w:t>06796/INFOEM/ICR-35/IP/RR/2022</w:t>
      </w:r>
      <w:r>
        <w:rPr>
          <w:rFonts w:ascii="Palatino Linotype" w:eastAsia="Palatino Linotype" w:hAnsi="Palatino Linotype" w:cs="Palatino Linotype"/>
          <w:sz w:val="24"/>
          <w:szCs w:val="24"/>
        </w:rPr>
        <w:t xml:space="preserve">, presentada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xml:space="preserve">, respecto de la cual, la suscrita formula </w:t>
      </w:r>
      <w:r>
        <w:rPr>
          <w:rFonts w:ascii="Palatino Linotype" w:eastAsia="Palatino Linotype" w:hAnsi="Palatino Linotype" w:cs="Palatino Linotype"/>
          <w:b/>
          <w:sz w:val="24"/>
          <w:szCs w:val="24"/>
        </w:rPr>
        <w:t>OPINIÓ</w:t>
      </w:r>
      <w:r>
        <w:rPr>
          <w:rFonts w:ascii="Palatino Linotype" w:eastAsia="Palatino Linotype" w:hAnsi="Palatino Linotype" w:cs="Palatino Linotype"/>
          <w:b/>
          <w:sz w:val="24"/>
          <w:szCs w:val="24"/>
        </w:rPr>
        <w:t>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5F4E3F" w:rsidRDefault="00D42093">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5F4E3F" w:rsidRDefault="00D42093">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que suscribe, comparte en esencia el</w:t>
      </w:r>
      <w:r>
        <w:rPr>
          <w:rFonts w:ascii="Palatino Linotype" w:eastAsia="Palatino Linotype" w:hAnsi="Palatino Linotype" w:cs="Palatino Linotype"/>
          <w:sz w:val="24"/>
          <w:szCs w:val="24"/>
        </w:rPr>
        <w:t xml:space="preserve">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En e</w:t>
      </w:r>
      <w:r>
        <w:rPr>
          <w:rFonts w:ascii="Palatino Linotype" w:eastAsia="Palatino Linotype" w:hAnsi="Palatino Linotype" w:cs="Palatino Linotype"/>
          <w:sz w:val="24"/>
          <w:szCs w:val="24"/>
        </w:rPr>
        <w:t xml:space="preserve">l caso concreto el </w:t>
      </w:r>
      <w:r>
        <w:rPr>
          <w:rFonts w:ascii="Palatino Linotype" w:eastAsia="Palatino Linotype" w:hAnsi="Palatino Linotype" w:cs="Palatino Linotype"/>
          <w:sz w:val="24"/>
          <w:szCs w:val="24"/>
        </w:rPr>
        <w:lastRenderedPageBreak/>
        <w:t xml:space="preserve">hoy Recurrente requirió al Ayuntamiento de Tezoyuca, que en esencia se le proporcionara la siguiente información: </w:t>
      </w:r>
    </w:p>
    <w:p w:rsidR="005F4E3F" w:rsidRDefault="00D4209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5F4E3F" w:rsidRDefault="00D42093">
      <w:pPr>
        <w:tabs>
          <w:tab w:val="left" w:pos="8505"/>
        </w:tabs>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“Solicitud: Solicito los recibos de nomina de la Primera y Segunda de enero y febrero de TODOS los servidores publicos d</w:t>
      </w:r>
      <w:r>
        <w:rPr>
          <w:rFonts w:ascii="Palatino Linotype" w:eastAsia="Palatino Linotype" w:hAnsi="Palatino Linotype" w:cs="Palatino Linotype"/>
          <w:i/>
        </w:rPr>
        <w:t>e confianza y sindicalizados asi como los de lista de raya que presentan en el informe al OSFEM”." (Sic)</w:t>
      </w:r>
    </w:p>
    <w:p w:rsidR="005F4E3F" w:rsidRDefault="005F4E3F">
      <w:pPr>
        <w:spacing w:after="0" w:line="360" w:lineRule="auto"/>
        <w:jc w:val="both"/>
        <w:rPr>
          <w:rFonts w:ascii="Palatino Linotype" w:eastAsia="Palatino Linotype" w:hAnsi="Palatino Linotype" w:cs="Palatino Linotype"/>
          <w:b/>
          <w:sz w:val="24"/>
          <w:szCs w:val="24"/>
        </w:rPr>
      </w:pPr>
    </w:p>
    <w:p w:rsidR="005F4E3F" w:rsidRDefault="00D42093">
      <w:pPr>
        <w:spacing w:after="0" w:line="360" w:lineRule="auto"/>
        <w:ind w:right="139"/>
        <w:jc w:val="both"/>
        <w:rPr>
          <w:rFonts w:ascii="Palatino Linotype" w:eastAsia="Palatino Linotype" w:hAnsi="Palatino Linotype" w:cs="Palatino Linotype"/>
          <w:sz w:val="24"/>
          <w:szCs w:val="24"/>
        </w:rPr>
      </w:pPr>
      <w:bookmarkStart w:id="2" w:name="_heading=h.30j0zll" w:colFirst="0" w:colLast="0"/>
      <w:bookmarkEnd w:id="2"/>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 través de su Tesorería Municipal, en cumplimiento a la resolución número 06796/INFOEM/IP/RR/2022, adjuntó la digitalización de l</w:t>
      </w:r>
      <w:r>
        <w:rPr>
          <w:rFonts w:ascii="Palatino Linotype" w:eastAsia="Palatino Linotype" w:hAnsi="Palatino Linotype" w:cs="Palatino Linotype"/>
          <w:sz w:val="24"/>
          <w:szCs w:val="24"/>
        </w:rPr>
        <w:t>a versión pública de treinta y cuatro recibos de nómina testados, de las quincenas de enero y febrero de dos mil veintidós</w:t>
      </w:r>
    </w:p>
    <w:p w:rsidR="005F4E3F" w:rsidRDefault="005F4E3F">
      <w:pPr>
        <w:spacing w:after="0" w:line="360" w:lineRule="auto"/>
        <w:ind w:right="139"/>
        <w:jc w:val="both"/>
        <w:rPr>
          <w:rFonts w:ascii="Palatino Linotype" w:eastAsia="Palatino Linotype" w:hAnsi="Palatino Linotype" w:cs="Palatino Linotype"/>
          <w:sz w:val="24"/>
          <w:szCs w:val="24"/>
        </w:rPr>
      </w:pPr>
    </w:p>
    <w:p w:rsidR="005F4E3F" w:rsidRDefault="00D42093">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particular se inconforma por lo siguiente:</w:t>
      </w:r>
    </w:p>
    <w:p w:rsidR="005F4E3F" w:rsidRDefault="005F4E3F">
      <w:pPr>
        <w:spacing w:after="0" w:line="360" w:lineRule="auto"/>
        <w:ind w:right="139"/>
        <w:jc w:val="both"/>
        <w:rPr>
          <w:rFonts w:ascii="Palatino Linotype" w:eastAsia="Palatino Linotype" w:hAnsi="Palatino Linotype" w:cs="Palatino Linotype"/>
          <w:sz w:val="24"/>
          <w:szCs w:val="24"/>
        </w:rPr>
      </w:pPr>
    </w:p>
    <w:p w:rsidR="005F4E3F" w:rsidRDefault="00D42093">
      <w:pPr>
        <w:tabs>
          <w:tab w:val="left" w:pos="8505"/>
        </w:tabs>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“EL SUJETO OBLIGADO ENTREGA LA INFORMACION QUE NO CORRESPONDE A LO SOLICIADO, COMO ES</w:t>
      </w:r>
      <w:r>
        <w:rPr>
          <w:rFonts w:ascii="Palatino Linotype" w:eastAsia="Palatino Linotype" w:hAnsi="Palatino Linotype" w:cs="Palatino Linotype"/>
          <w:i/>
        </w:rPr>
        <w:t xml:space="preserve"> POSIBLE QUE EL SUJETO ENTREGE SOLO 34 RECIBOS DE NOMINA, CUANDO SE TIENEN 206 EMPLEADOS APROXIMADAMENTE ENTRE SINDICALIZADOS Y DE CONFIANZA. SOLICITO QUE AL SUJETO OBLIGADO SE LE SANCIONE COMO LO MARCA LA LEY DE TRANSPARENCIA POR BURLARSE DE LA LEY Y ENTR</w:t>
      </w:r>
      <w:r>
        <w:rPr>
          <w:rFonts w:ascii="Palatino Linotype" w:eastAsia="Palatino Linotype" w:hAnsi="Palatino Linotype" w:cs="Palatino Linotype"/>
          <w:i/>
        </w:rPr>
        <w:t>EGA INFORMACION A SU INTERES. TEZOYUCA ES UN MUNICIPIO QUE ESTA REPROBADO EN TEMAS DE TRANSPARENCIA” (Sic)</w:t>
      </w:r>
    </w:p>
    <w:p w:rsidR="005F4E3F" w:rsidRDefault="005F4E3F">
      <w:pPr>
        <w:spacing w:after="0" w:line="360" w:lineRule="auto"/>
        <w:ind w:left="567" w:right="539"/>
        <w:jc w:val="both"/>
        <w:rPr>
          <w:rFonts w:ascii="Palatino Linotype" w:eastAsia="Palatino Linotype" w:hAnsi="Palatino Linotype" w:cs="Palatino Linotype"/>
          <w:i/>
        </w:rPr>
      </w:pPr>
    </w:p>
    <w:p w:rsidR="005F4E3F" w:rsidRDefault="00D42093">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Ante la interposición del recurso de revisión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 través de su informe justificado refirió lo siguiente:</w:t>
      </w:r>
    </w:p>
    <w:p w:rsidR="005F4E3F" w:rsidRDefault="00D42093">
      <w:pPr>
        <w:tabs>
          <w:tab w:val="left" w:pos="8505"/>
        </w:tabs>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i) Versión Pública de los</w:t>
      </w:r>
      <w:r>
        <w:rPr>
          <w:rFonts w:ascii="Palatino Linotype" w:eastAsia="Palatino Linotype" w:hAnsi="Palatino Linotype" w:cs="Palatino Linotype"/>
          <w:i/>
        </w:rPr>
        <w:t xml:space="preserve"> recibos de nómina, de la primera y segunda quincena de enero y marzo de dos mil veintidós.</w:t>
      </w:r>
    </w:p>
    <w:p w:rsidR="005F4E3F" w:rsidRDefault="00D42093">
      <w:pPr>
        <w:tabs>
          <w:tab w:val="left" w:pos="8505"/>
        </w:tabs>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w:t>
      </w:r>
    </w:p>
    <w:p w:rsidR="005F4E3F" w:rsidRDefault="00D42093">
      <w:pPr>
        <w:tabs>
          <w:tab w:val="left" w:pos="8505"/>
        </w:tabs>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ii) Oficio PMT/TESO/312/2022, de fecha veintidós de agosto de dos mil veintidós, suscrito por la Tesorera Municipal, dirigido a la Titular de la Unidad de Transpa</w:t>
      </w:r>
      <w:r>
        <w:rPr>
          <w:rFonts w:ascii="Palatino Linotype" w:eastAsia="Palatino Linotype" w:hAnsi="Palatino Linotype" w:cs="Palatino Linotype"/>
          <w:i/>
        </w:rPr>
        <w:t>rencia del Sujeto Obligado, en el que precisó que no contaba con lista de raya.</w:t>
      </w:r>
    </w:p>
    <w:p w:rsidR="005F4E3F" w:rsidRDefault="005F4E3F">
      <w:pPr>
        <w:spacing w:after="0" w:line="360" w:lineRule="auto"/>
        <w:ind w:right="139"/>
        <w:jc w:val="both"/>
        <w:rPr>
          <w:rFonts w:ascii="Palatino Linotype" w:eastAsia="Palatino Linotype" w:hAnsi="Palatino Linotype" w:cs="Palatino Linotype"/>
          <w:sz w:val="24"/>
          <w:szCs w:val="24"/>
        </w:rPr>
      </w:pPr>
    </w:p>
    <w:p w:rsidR="005F4E3F" w:rsidRDefault="00D42093">
      <w:pPr>
        <w:spacing w:after="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el Comisionado Ponente determinó en su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 ordenar</w:t>
      </w:r>
      <w:r>
        <w:rPr>
          <w:rFonts w:ascii="Palatino Linotype" w:eastAsia="Palatino Linotype" w:hAnsi="Palatino Linotype" w:cs="Palatino Linotype"/>
          <w:b/>
          <w:sz w:val="24"/>
          <w:szCs w:val="24"/>
        </w:rPr>
        <w:t xml:space="preserve"> en versión pública, lo </w:t>
      </w:r>
      <w:r>
        <w:rPr>
          <w:rFonts w:ascii="Palatino Linotype" w:eastAsia="Palatino Linotype" w:hAnsi="Palatino Linotype" w:cs="Palatino Linotype"/>
          <w:b/>
          <w:sz w:val="24"/>
          <w:szCs w:val="24"/>
        </w:rPr>
        <w:t>siguiente:</w:t>
      </w:r>
    </w:p>
    <w:p w:rsidR="005F4E3F" w:rsidRDefault="005F4E3F">
      <w:pPr>
        <w:spacing w:after="0" w:line="360" w:lineRule="auto"/>
        <w:jc w:val="both"/>
        <w:rPr>
          <w:rFonts w:ascii="Palatino Linotype" w:eastAsia="Palatino Linotype" w:hAnsi="Palatino Linotype" w:cs="Palatino Linotype"/>
          <w:i/>
          <w:sz w:val="24"/>
          <w:szCs w:val="24"/>
        </w:rPr>
      </w:pPr>
    </w:p>
    <w:p w:rsidR="005F4E3F" w:rsidRDefault="00D42093">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“Los recibos de nómina de la primera y segunda quincena de enero y febrero de dos mil veintidós, de todos los servidores públicos adscritos al Ayuntamiento de Tezoyuca.</w:t>
      </w:r>
    </w:p>
    <w:p w:rsidR="005F4E3F" w:rsidRDefault="00D42093">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w:t>
      </w:r>
    </w:p>
    <w:p w:rsidR="005F4E3F" w:rsidRDefault="00D42093">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Además, deberá proporcionar el Acuerdo de Clasificación donde el Comité de Transparencia, confirme la eliminación de los datos o información clasificada, en la versión pública, de conformidad con los artículos 49, fracciones II y VIII y 132, fracción II de</w:t>
      </w:r>
      <w:r>
        <w:rPr>
          <w:rFonts w:ascii="Palatino Linotype" w:eastAsia="Palatino Linotype" w:hAnsi="Palatino Linotype" w:cs="Palatino Linotype"/>
          <w:i/>
        </w:rPr>
        <w:t xml:space="preserve"> la Ley de Transparencia y Acceso a la Información Pública del Estado de México y Municipios.” (Sic)</w:t>
      </w:r>
    </w:p>
    <w:p w:rsidR="005F4E3F" w:rsidRDefault="005F4E3F">
      <w:pPr>
        <w:spacing w:line="240" w:lineRule="auto"/>
        <w:ind w:left="567" w:right="990"/>
        <w:jc w:val="both"/>
        <w:rPr>
          <w:rFonts w:ascii="Palatino Linotype" w:eastAsia="Palatino Linotype" w:hAnsi="Palatino Linotype" w:cs="Palatino Linotype"/>
          <w:i/>
        </w:rPr>
      </w:pPr>
    </w:p>
    <w:p w:rsidR="005F4E3F" w:rsidRDefault="00D42093">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como fue acordado, tratándose de información reservada como lo es el </w:t>
      </w:r>
      <w:r>
        <w:rPr>
          <w:rFonts w:ascii="Palatino Linotype" w:eastAsia="Palatino Linotype" w:hAnsi="Palatino Linotype" w:cs="Palatino Linotype"/>
          <w:b/>
          <w:sz w:val="24"/>
          <w:szCs w:val="24"/>
        </w:rPr>
        <w:t>nombre de los elementos operativos de la Direcci</w:t>
      </w:r>
      <w:r>
        <w:rPr>
          <w:rFonts w:ascii="Palatino Linotype" w:eastAsia="Palatino Linotype" w:hAnsi="Palatino Linotype" w:cs="Palatino Linotype"/>
          <w:b/>
          <w:sz w:val="24"/>
          <w:szCs w:val="24"/>
        </w:rPr>
        <w:t xml:space="preserve">ón de Seguridad Pública Municipal que se encuentren activos, </w:t>
      </w:r>
      <w:r>
        <w:rPr>
          <w:rFonts w:ascii="Palatino Linotype" w:eastAsia="Palatino Linotype" w:hAnsi="Palatino Linotype" w:cs="Palatino Linotype"/>
          <w:sz w:val="24"/>
          <w:szCs w:val="24"/>
        </w:rPr>
        <w:t>se deberá clasificar como información reservada para lo que es necesario el desarrollo de la prueba de daño, debiendo valorar el daño que causaría la divulgación de la información, con la finalid</w:t>
      </w:r>
      <w:r>
        <w:rPr>
          <w:rFonts w:ascii="Palatino Linotype" w:eastAsia="Palatino Linotype" w:hAnsi="Palatino Linotype" w:cs="Palatino Linotype"/>
          <w:sz w:val="24"/>
          <w:szCs w:val="24"/>
        </w:rPr>
        <w:t xml:space="preserve">ad de sustentar la reserva y arribar a una determinación debidamente fundada y motivada que tenga como consecuencia la clasificación de </w:t>
      </w:r>
      <w:r>
        <w:rPr>
          <w:rFonts w:ascii="Palatino Linotype" w:eastAsia="Palatino Linotype" w:hAnsi="Palatino Linotype" w:cs="Palatino Linotype"/>
          <w:sz w:val="24"/>
          <w:szCs w:val="24"/>
        </w:rPr>
        <w:lastRenderedPageBreak/>
        <w:t>la información, además de analizar si el periodo de clasificación resulta acorde con la naturaleza de la información req</w:t>
      </w:r>
      <w:r>
        <w:rPr>
          <w:rFonts w:ascii="Palatino Linotype" w:eastAsia="Palatino Linotype" w:hAnsi="Palatino Linotype" w:cs="Palatino Linotype"/>
          <w:sz w:val="24"/>
          <w:szCs w:val="24"/>
        </w:rPr>
        <w:t xml:space="preserve">uerida. En otras palabras, la determinación que Confirme una clasificación, debe contener un análisis exhaustivo de los elementos de forma y fondo que establecen los artículos 122, 125, 128, 129, 130, 131, 132 fracción II, 134 de la Ley de Transparencia y </w:t>
      </w:r>
      <w:r>
        <w:rPr>
          <w:rFonts w:ascii="Palatino Linotype" w:eastAsia="Palatino Linotype" w:hAnsi="Palatino Linotype" w:cs="Palatino Linotype"/>
          <w:sz w:val="24"/>
          <w:szCs w:val="24"/>
        </w:rPr>
        <w:t xml:space="preserve">Acceso a la Información Pública del Estado de México y Municipios y los Lineamientos Generales en Materia de Clasificación y Desclasificación de la Información, así como para la elaboración de Versiones Públicas. </w:t>
      </w:r>
    </w:p>
    <w:p w:rsidR="005F4E3F" w:rsidRDefault="00D42093">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esta perspectiva, el Acuerdo de Clasifi</w:t>
      </w:r>
      <w:r>
        <w:rPr>
          <w:rFonts w:ascii="Palatino Linotype" w:eastAsia="Palatino Linotype" w:hAnsi="Palatino Linotype" w:cs="Palatino Linotype"/>
          <w:sz w:val="24"/>
          <w:szCs w:val="24"/>
        </w:rPr>
        <w:t>cación de Información tiene como propósito primordial que los particulares conozcan de manera completa las condiciones y circunstancias que determinaron negar el acceso a la información; a través de la adecuada fundamentación y motivación de la clasificaci</w:t>
      </w:r>
      <w:r>
        <w:rPr>
          <w:rFonts w:ascii="Palatino Linotype" w:eastAsia="Palatino Linotype" w:hAnsi="Palatino Linotype" w:cs="Palatino Linotype"/>
          <w:sz w:val="24"/>
          <w:szCs w:val="24"/>
        </w:rPr>
        <w:t>ón de información, que incluya la prueba de daño a fin de establecer el perjuicio que podría provocar la entrega de la información, toda vez que los artículos 128 y 129 de la Ley de la Materia, disponen que para que los sujetos obligados puedan invocar una</w:t>
      </w:r>
      <w:r>
        <w:rPr>
          <w:rFonts w:ascii="Palatino Linotype" w:eastAsia="Palatino Linotype" w:hAnsi="Palatino Linotype" w:cs="Palatino Linotype"/>
          <w:sz w:val="24"/>
          <w:szCs w:val="24"/>
        </w:rPr>
        <w:t xml:space="preserve"> causa se deberá fundar y motivar, a través de la aplicación de la prueba de daño, en la cual se justifique que la divulgación de la información representa un riesgo real demostrable e identificable al superar el interés público de que se difunda atendiend</w:t>
      </w:r>
      <w:r>
        <w:rPr>
          <w:rFonts w:ascii="Palatino Linotype" w:eastAsia="Palatino Linotype" w:hAnsi="Palatino Linotype" w:cs="Palatino Linotype"/>
          <w:sz w:val="24"/>
          <w:szCs w:val="24"/>
        </w:rPr>
        <w:t xml:space="preserve">o al principio de proporcionalidad y el medio menos restrictivo disponible para evitar perjuicio. </w:t>
      </w:r>
    </w:p>
    <w:p w:rsidR="005F4E3F" w:rsidRDefault="00D42093">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los Lineamientos Generales en Materia de Clasificación y Desclasificación de la Información, así como para la elaboración de versiones públicas,</w:t>
      </w:r>
      <w:r>
        <w:rPr>
          <w:rFonts w:ascii="Palatino Linotype" w:eastAsia="Palatino Linotype" w:hAnsi="Palatino Linotype" w:cs="Palatino Linotype"/>
          <w:sz w:val="24"/>
          <w:szCs w:val="24"/>
        </w:rPr>
        <w:t xml:space="preserve"> establecen en su numeral Trigésimo Tercero que para la aplicación de la prueba de daño los sujetos obligados atenderán lo siguiente: </w:t>
      </w:r>
    </w:p>
    <w:p w:rsidR="005F4E3F" w:rsidRDefault="00D42093">
      <w:pPr>
        <w:spacing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"Trigésimo tercero. Para la aplicación de la prueba de daño a la que hace referencia el artículo 104 de la Ley General, l</w:t>
      </w:r>
      <w:r>
        <w:rPr>
          <w:rFonts w:ascii="Palatino Linotype" w:eastAsia="Palatino Linotype" w:hAnsi="Palatino Linotype" w:cs="Palatino Linotype"/>
          <w:i/>
        </w:rPr>
        <w:t xml:space="preserve">os sujetos obligados atenderán lo siguiente: </w:t>
      </w:r>
    </w:p>
    <w:p w:rsidR="005F4E3F" w:rsidRDefault="00D42093">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deberá citar la fracción y, en su caso, la causal aplicable del artículo 113 de la Ley General, vinculándola con el Lineamiento especifico del presente ordenamiento y, cuando corresponda, el supuesto normati</w:t>
      </w:r>
      <w:r>
        <w:rPr>
          <w:rFonts w:ascii="Palatino Linotype" w:eastAsia="Palatino Linotype" w:hAnsi="Palatino Linotype" w:cs="Palatino Linotype"/>
          <w:i/>
          <w:color w:val="000000"/>
        </w:rPr>
        <w:t xml:space="preserve">vo que expresamente le otorga el carácter de información reservada; </w:t>
      </w:r>
    </w:p>
    <w:p w:rsidR="005F4E3F" w:rsidRDefault="00D42093">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Mediante la ponderación de los intereses en conflicto, los sujetos obligados deberán demostrar que la publicidad de la información solicitada generaría un riesgo de perjuicio y por lo tanto, tendrán que acreditar que este último rebasa el interés público p</w:t>
      </w:r>
      <w:r>
        <w:rPr>
          <w:rFonts w:ascii="Palatino Linotype" w:eastAsia="Palatino Linotype" w:hAnsi="Palatino Linotype" w:cs="Palatino Linotype"/>
          <w:i/>
          <w:color w:val="000000"/>
        </w:rPr>
        <w:t xml:space="preserve">rotegido por la reserva; </w:t>
      </w:r>
    </w:p>
    <w:p w:rsidR="005F4E3F" w:rsidRDefault="00D42093">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Se debe de acreditar el vínculo entre la difusión de la información y la afectación del interés jurídico tutelado de que se trate; </w:t>
      </w:r>
    </w:p>
    <w:p w:rsidR="005F4E3F" w:rsidRDefault="00D42093">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Precisar las razones objetivas por las que la apertura de la información generaría una afectación,</w:t>
      </w:r>
      <w:r>
        <w:rPr>
          <w:rFonts w:ascii="Palatino Linotype" w:eastAsia="Palatino Linotype" w:hAnsi="Palatino Linotype" w:cs="Palatino Linotype"/>
          <w:i/>
          <w:color w:val="000000"/>
        </w:rPr>
        <w:t xml:space="preserve"> a través de los elementos de un riesgo real, demostrable e identificable; </w:t>
      </w:r>
    </w:p>
    <w:p w:rsidR="005F4E3F" w:rsidRDefault="00D42093">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la motivación de la clasificación, el sujeto obligado deberá acreditar las circunstancias de modo, tiempo y lugar del daño, y </w:t>
      </w:r>
    </w:p>
    <w:p w:rsidR="005F4E3F" w:rsidRDefault="00D42093">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Deberán elegir la opción de excepción al acceso a </w:t>
      </w:r>
      <w:r>
        <w:rPr>
          <w:rFonts w:ascii="Palatino Linotype" w:eastAsia="Palatino Linotype" w:hAnsi="Palatino Linotype" w:cs="Palatino Linotype"/>
          <w:i/>
          <w:color w:val="000000"/>
        </w:rPr>
        <w:t xml:space="preserve">la información que menos lo restrinja, la cual será adecuada y proporcional para la protección del interés público, y deberá inte1ferir lo menos posible en el ejercicio efectivo del derecho de acceso a la información."(Sic) </w:t>
      </w:r>
    </w:p>
    <w:p w:rsidR="005F4E3F" w:rsidRDefault="005F4E3F">
      <w:pPr>
        <w:spacing w:line="360" w:lineRule="auto"/>
        <w:ind w:right="-6"/>
        <w:jc w:val="both"/>
        <w:rPr>
          <w:rFonts w:ascii="Palatino Linotype" w:eastAsia="Palatino Linotype" w:hAnsi="Palatino Linotype" w:cs="Palatino Linotype"/>
          <w:sz w:val="24"/>
          <w:szCs w:val="24"/>
        </w:rPr>
      </w:pPr>
    </w:p>
    <w:p w:rsidR="005F4E3F" w:rsidRDefault="00D42093">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para convalidar</w:t>
      </w:r>
      <w:r>
        <w:rPr>
          <w:rFonts w:ascii="Palatino Linotype" w:eastAsia="Palatino Linotype" w:hAnsi="Palatino Linotype" w:cs="Palatino Linotype"/>
          <w:sz w:val="24"/>
          <w:szCs w:val="24"/>
        </w:rPr>
        <w:t xml:space="preserve"> la clasificación como información reservada, se debe efectuar el estudio de clasificación a la luz de los elementos que exigen los Lineamientos generales en materia de clasificación y desclasificación de la información, así como para la elaboración de ver</w:t>
      </w:r>
      <w:r>
        <w:rPr>
          <w:rFonts w:ascii="Palatino Linotype" w:eastAsia="Palatino Linotype" w:hAnsi="Palatino Linotype" w:cs="Palatino Linotype"/>
          <w:sz w:val="24"/>
          <w:szCs w:val="24"/>
        </w:rPr>
        <w:t xml:space="preserve">siones públicas, y efectuar un </w:t>
      </w:r>
      <w:r>
        <w:rPr>
          <w:rFonts w:ascii="Palatino Linotype" w:eastAsia="Palatino Linotype" w:hAnsi="Palatino Linotype" w:cs="Palatino Linotype"/>
          <w:sz w:val="24"/>
          <w:szCs w:val="24"/>
        </w:rPr>
        <w:lastRenderedPageBreak/>
        <w:t xml:space="preserve">análisis exhaustivo en todos aquellos casos que restrinjan el derecho de acceso a la información de los particulares, como es la figura de la clasificación de la información para verificar que se acredita la prueba de daño. </w:t>
      </w:r>
    </w:p>
    <w:p w:rsidR="005F4E3F" w:rsidRDefault="00D42093">
      <w:pPr>
        <w:spacing w:line="360" w:lineRule="auto"/>
        <w:ind w:right="139"/>
        <w:jc w:val="both"/>
        <w:rPr>
          <w:rFonts w:ascii="Palatino Linotype" w:eastAsia="Palatino Linotype" w:hAnsi="Palatino Linotype" w:cs="Palatino Linotype"/>
          <w:sz w:val="24"/>
          <w:szCs w:val="24"/>
        </w:rPr>
      </w:pPr>
      <w:bookmarkStart w:id="3" w:name="_heading=h.3znysh7" w:colFirst="0" w:colLast="0"/>
      <w:bookmarkEnd w:id="3"/>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color w:val="000000"/>
          <w:sz w:val="24"/>
          <w:szCs w:val="24"/>
        </w:rPr>
        <w:t>06796/INFOEM/ICR-35/IP/RR/2022</w:t>
      </w:r>
      <w:r>
        <w:rPr>
          <w:rFonts w:ascii="Palatino Linotype" w:eastAsia="Palatino Linotype" w:hAnsi="Palatino Linotype" w:cs="Palatino Linotype"/>
          <w:sz w:val="24"/>
          <w:szCs w:val="24"/>
        </w:rPr>
        <w:t xml:space="preserve">, en la cual, el Comisionado Ponente, realiza la prueba de daño a partir de los elementos proporcionados por las partes, circunstancias que, a consideración </w:t>
      </w:r>
      <w:r>
        <w:rPr>
          <w:rFonts w:ascii="Palatino Linotype" w:eastAsia="Palatino Linotype" w:hAnsi="Palatino Linotype" w:cs="Palatino Linotype"/>
          <w:sz w:val="24"/>
          <w:szCs w:val="24"/>
        </w:rPr>
        <w:t>de la suscrita y derivado de lo antes señalado, les corresponde comprobar a los Sujetos Obligados, en razón de que, dentro de la Ley de Transparencia y Acceso a la Información Pública del Estado de México y Municipios, se encuentra que, para reservar una i</w:t>
      </w:r>
      <w:r>
        <w:rPr>
          <w:rFonts w:ascii="Palatino Linotype" w:eastAsia="Palatino Linotype" w:hAnsi="Palatino Linotype" w:cs="Palatino Linotype"/>
          <w:sz w:val="24"/>
          <w:szCs w:val="24"/>
        </w:rPr>
        <w:t xml:space="preserve">nformación, se debe aplicar una prueba de daño, la cual es definida por la Ley de la Materia en su artículo 3 fracción XXXII, como: </w:t>
      </w:r>
    </w:p>
    <w:p w:rsidR="005F4E3F" w:rsidRDefault="00D42093">
      <w:pPr>
        <w:spacing w:line="240" w:lineRule="auto"/>
        <w:ind w:left="567" w:right="990"/>
        <w:jc w:val="both"/>
        <w:rPr>
          <w:rFonts w:ascii="Palatino Linotype" w:eastAsia="Palatino Linotype" w:hAnsi="Palatino Linotype" w:cs="Palatino Linotype"/>
          <w:sz w:val="24"/>
          <w:szCs w:val="24"/>
        </w:rPr>
      </w:pPr>
      <w:r>
        <w:rPr>
          <w:rFonts w:ascii="Palatino Linotype" w:eastAsia="Palatino Linotype" w:hAnsi="Palatino Linotype" w:cs="Palatino Linotype"/>
          <w:i/>
        </w:rPr>
        <w:t>“XXXIII. Prueba de Daño: Responsabilidad de los sujetos obligados de demostrar de manera fundada y motivada que la divulgac</w:t>
      </w:r>
      <w:r>
        <w:rPr>
          <w:rFonts w:ascii="Palatino Linotype" w:eastAsia="Palatino Linotype" w:hAnsi="Palatino Linotype" w:cs="Palatino Linotype"/>
          <w:i/>
        </w:rPr>
        <w:t>ión de información lesiona el interés jurídicamente protegido por la Ley, y que el menoscabo o daño que puede producirse con la publicidad de la información es mayor que el interés de conocerla y por consiguiente debe clasificarse como reservada…” (Sic)</w:t>
      </w:r>
      <w:r>
        <w:rPr>
          <w:rFonts w:ascii="Palatino Linotype" w:eastAsia="Palatino Linotype" w:hAnsi="Palatino Linotype" w:cs="Palatino Linotype"/>
        </w:rPr>
        <w:t xml:space="preserve"> </w:t>
      </w:r>
    </w:p>
    <w:p w:rsidR="005F4E3F" w:rsidRDefault="00D42093">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w:t>
      </w:r>
      <w:r>
        <w:rPr>
          <w:rFonts w:ascii="Palatino Linotype" w:eastAsia="Palatino Linotype" w:hAnsi="Palatino Linotype" w:cs="Palatino Linotype"/>
          <w:sz w:val="24"/>
          <w:szCs w:val="24"/>
        </w:rPr>
        <w:t xml:space="preserve">recepto legal en donde establece que </w:t>
      </w:r>
      <w:r>
        <w:rPr>
          <w:rFonts w:ascii="Palatino Linotype" w:eastAsia="Palatino Linotype" w:hAnsi="Palatino Linotype" w:cs="Palatino Linotype"/>
          <w:b/>
          <w:sz w:val="24"/>
          <w:szCs w:val="24"/>
        </w:rPr>
        <w:t>los encargados de realizar la prueba de daño, son los Sujeto Obligados</w:t>
      </w:r>
      <w:r>
        <w:rPr>
          <w:rFonts w:ascii="Palatino Linotype" w:eastAsia="Palatino Linotype" w:hAnsi="Palatino Linotype" w:cs="Palatino Linotype"/>
          <w:sz w:val="24"/>
          <w:szCs w:val="24"/>
        </w:rPr>
        <w:t>; es decir, que los Sujetos Obligados quienes generan, administran o posean, la información, son los que deben de clasificar la información como rese</w:t>
      </w:r>
      <w:r>
        <w:rPr>
          <w:rFonts w:ascii="Palatino Linotype" w:eastAsia="Palatino Linotype" w:hAnsi="Palatino Linotype" w:cs="Palatino Linotype"/>
          <w:sz w:val="24"/>
          <w:szCs w:val="24"/>
        </w:rPr>
        <w:t xml:space="preserve">rvada, por actualizar alguna causal de reserva señala en el artículo 140 de la Ley de la Materia, siendo los responsables de aplicar la prueba de daño para demostrar que la divulgación de la información lesiona interés </w:t>
      </w:r>
      <w:r>
        <w:rPr>
          <w:rFonts w:ascii="Palatino Linotype" w:eastAsia="Palatino Linotype" w:hAnsi="Palatino Linotype" w:cs="Palatino Linotype"/>
          <w:sz w:val="24"/>
          <w:szCs w:val="24"/>
        </w:rPr>
        <w:lastRenderedPageBreak/>
        <w:t>jurídicamente protegido por la Ley, y</w:t>
      </w:r>
      <w:r>
        <w:rPr>
          <w:rFonts w:ascii="Palatino Linotype" w:eastAsia="Palatino Linotype" w:hAnsi="Palatino Linotype" w:cs="Palatino Linotype"/>
          <w:sz w:val="24"/>
          <w:szCs w:val="24"/>
        </w:rPr>
        <w:t xml:space="preserve"> que el menoscabo o daño que puede producirse con la publicidad de la información es mayor que el interés de conocerla. </w:t>
      </w:r>
    </w:p>
    <w:p w:rsidR="005F4E3F" w:rsidRDefault="00D42093">
      <w:pPr>
        <w:spacing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Esto es, que, a través de la prueba de daño, los Sujetos Obligados expongan las razones, motivos o circunstancias especiales que los lleven a concluir que la información adquiere el carácter de reservada, y se ajusta a los supuestos previstos en la normati</w:t>
      </w:r>
      <w:r>
        <w:rPr>
          <w:rFonts w:ascii="Palatino Linotype" w:eastAsia="Palatino Linotype" w:hAnsi="Palatino Linotype" w:cs="Palatino Linotype"/>
          <w:b/>
          <w:sz w:val="24"/>
          <w:szCs w:val="24"/>
        </w:rPr>
        <w:t>vidad como fundamento.</w:t>
      </w:r>
    </w:p>
    <w:p w:rsidR="005F4E3F" w:rsidRDefault="00D42093">
      <w:pPr>
        <w:spacing w:line="360" w:lineRule="auto"/>
        <w:ind w:right="-6"/>
        <w:jc w:val="both"/>
        <w:rPr>
          <w:rFonts w:ascii="Palatino Linotype" w:eastAsia="Palatino Linotype" w:hAnsi="Palatino Linotype" w:cs="Palatino Linotype"/>
          <w:sz w:val="24"/>
          <w:szCs w:val="24"/>
        </w:rPr>
      </w:pPr>
      <w:bookmarkStart w:id="4" w:name="_heading=h.1fob9te" w:colFirst="0" w:colLast="0"/>
      <w:bookmarkEnd w:id="4"/>
      <w:r>
        <w:rPr>
          <w:rFonts w:ascii="Palatino Linotype" w:eastAsia="Palatino Linotype" w:hAnsi="Palatino Linotype" w:cs="Palatino Linotype"/>
          <w:sz w:val="24"/>
          <w:szCs w:val="24"/>
        </w:rPr>
        <w:t>Por lo que, en opinión de la Suscrita, y en términos de lo dispuesto por la normatividad en la materia son los Sujetos Obligados los que deben aportar los elementos desarrollar la prueba de daño necesaria y suficiente, a fin de garan</w:t>
      </w:r>
      <w:r>
        <w:rPr>
          <w:rFonts w:ascii="Palatino Linotype" w:eastAsia="Palatino Linotype" w:hAnsi="Palatino Linotype" w:cs="Palatino Linotype"/>
          <w:sz w:val="24"/>
          <w:szCs w:val="24"/>
        </w:rPr>
        <w:t xml:space="preserve">tizar la reserva de información y la adecuada temporalidad de esta, aportando elementos necesarios para su clasificación y favoreciendo, en su caso, la entrega de documentos mediante la versión pública. </w:t>
      </w:r>
    </w:p>
    <w:p w:rsidR="005F4E3F" w:rsidRDefault="00D42093">
      <w:pPr>
        <w:spacing w:line="360" w:lineRule="auto"/>
        <w:ind w:right="-6"/>
        <w:jc w:val="both"/>
        <w:rPr>
          <w:rFonts w:ascii="Palatino Linotype" w:eastAsia="Palatino Linotype" w:hAnsi="Palatino Linotype" w:cs="Palatino Linotype"/>
          <w:sz w:val="24"/>
          <w:szCs w:val="24"/>
        </w:rPr>
        <w:sectPr w:rsidR="005F4E3F">
          <w:headerReference w:type="even" r:id="rId8"/>
          <w:headerReference w:type="default" r:id="rId9"/>
          <w:footerReference w:type="default" r:id="rId10"/>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t>Lo expuesto, constituyen las razones y fundamentos que me llevan a emitir la opinión particular que se ha expresado.</w:t>
      </w:r>
      <w:r>
        <w:rPr>
          <w:noProof/>
        </w:rPr>
        <mc:AlternateContent>
          <mc:Choice Requires="wpg">
            <w:drawing>
              <wp:anchor distT="0" distB="0" distL="114300" distR="114300" simplePos="0" relativeHeight="251658240" behindDoc="0" locked="0" layoutInCell="1" hidden="0" allowOverlap="1">
                <wp:simplePos x="0" y="0"/>
                <wp:positionH relativeFrom="column">
                  <wp:posOffset>63501</wp:posOffset>
                </wp:positionH>
                <wp:positionV relativeFrom="paragraph">
                  <wp:posOffset>647700</wp:posOffset>
                </wp:positionV>
                <wp:extent cx="5523220" cy="2418355"/>
                <wp:effectExtent l="0" t="0" r="0" b="0"/>
                <wp:wrapNone/>
                <wp:docPr id="23" name="Conector recto de flecha 23"/>
                <wp:cNvGraphicFramePr/>
                <a:graphic xmlns:a="http://schemas.openxmlformats.org/drawingml/2006/main">
                  <a:graphicData uri="http://schemas.microsoft.com/office/word/2010/wordprocessingShape">
                    <wps:wsp>
                      <wps:cNvCnPr/>
                      <wps:spPr>
                        <a:xfrm>
                          <a:off x="2589153" y="2575585"/>
                          <a:ext cx="5513695" cy="240883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647700</wp:posOffset>
                </wp:positionV>
                <wp:extent cx="5523220" cy="2418355"/>
                <wp:effectExtent b="0" l="0" r="0" t="0"/>
                <wp:wrapNone/>
                <wp:docPr id="2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523220" cy="2418355"/>
                        </a:xfrm>
                        <a:prstGeom prst="rect"/>
                        <a:ln/>
                      </pic:spPr>
                    </pic:pic>
                  </a:graphicData>
                </a:graphic>
              </wp:anchor>
            </w:drawing>
          </mc:Fallback>
        </mc:AlternateContent>
      </w:r>
    </w:p>
    <w:p w:rsidR="005F4E3F" w:rsidRDefault="005F4E3F">
      <w:pPr>
        <w:spacing w:before="240" w:after="240" w:line="360" w:lineRule="auto"/>
        <w:ind w:right="423"/>
        <w:jc w:val="both"/>
        <w:rPr>
          <w:rFonts w:ascii="Palatino Linotype" w:eastAsia="Palatino Linotype" w:hAnsi="Palatino Linotype" w:cs="Palatino Linotype"/>
          <w:sz w:val="24"/>
          <w:szCs w:val="24"/>
        </w:rPr>
      </w:pPr>
    </w:p>
    <w:sectPr w:rsidR="005F4E3F">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093" w:rsidRDefault="00D42093">
      <w:pPr>
        <w:spacing w:after="0" w:line="240" w:lineRule="auto"/>
      </w:pPr>
      <w:r>
        <w:separator/>
      </w:r>
    </w:p>
  </w:endnote>
  <w:endnote w:type="continuationSeparator" w:id="0">
    <w:p w:rsidR="00D42093" w:rsidRDefault="00D4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3F" w:rsidRDefault="00D420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9E4748">
      <w:rPr>
        <w:rFonts w:ascii="Arial" w:eastAsia="Arial" w:hAnsi="Arial" w:cs="Arial"/>
        <w:b/>
        <w:color w:val="000000"/>
        <w:sz w:val="20"/>
        <w:szCs w:val="20"/>
      </w:rPr>
      <w:fldChar w:fldCharType="separate"/>
    </w:r>
    <w:r w:rsidR="00FE3847">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9E4748">
      <w:rPr>
        <w:rFonts w:ascii="Arial" w:eastAsia="Arial" w:hAnsi="Arial" w:cs="Arial"/>
        <w:b/>
        <w:color w:val="000000"/>
        <w:sz w:val="20"/>
        <w:szCs w:val="20"/>
      </w:rPr>
      <w:fldChar w:fldCharType="separate"/>
    </w:r>
    <w:r w:rsidR="00FE3847">
      <w:rPr>
        <w:rFonts w:ascii="Arial" w:eastAsia="Arial" w:hAnsi="Arial" w:cs="Arial"/>
        <w:b/>
        <w:noProof/>
        <w:color w:val="000000"/>
        <w:sz w:val="20"/>
        <w:szCs w:val="20"/>
      </w:rPr>
      <w:t>8</w:t>
    </w:r>
    <w:r>
      <w:rPr>
        <w:rFonts w:ascii="Arial" w:eastAsia="Arial" w:hAnsi="Arial" w:cs="Arial"/>
        <w:b/>
        <w:color w:val="000000"/>
        <w:sz w:val="20"/>
        <w:szCs w:val="20"/>
      </w:rPr>
      <w:fldChar w:fldCharType="end"/>
    </w:r>
  </w:p>
  <w:p w:rsidR="005F4E3F" w:rsidRDefault="005F4E3F">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093" w:rsidRDefault="00D42093">
      <w:pPr>
        <w:spacing w:after="0" w:line="240" w:lineRule="auto"/>
      </w:pPr>
      <w:r>
        <w:separator/>
      </w:r>
    </w:p>
  </w:footnote>
  <w:footnote w:type="continuationSeparator" w:id="0">
    <w:p w:rsidR="00D42093" w:rsidRDefault="00D42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3F" w:rsidRDefault="00D4209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22" name="Rectángulo 22"/>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5F4E3F" w:rsidRDefault="00D42093">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4295" cy="661429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3F" w:rsidRDefault="00D420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simplePos x="0" y="0"/>
          <wp:positionH relativeFrom="column">
            <wp:posOffset>-1096621</wp:posOffset>
          </wp:positionH>
          <wp:positionV relativeFrom="paragraph">
            <wp:posOffset>-434355</wp:posOffset>
          </wp:positionV>
          <wp:extent cx="7521053" cy="9897494"/>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5F4E3F" w:rsidRDefault="005F4E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F4E3F" w:rsidRDefault="005F4E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F4E3F" w:rsidRDefault="00D4209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OPINIÓN PARTICULAR </w:t>
    </w:r>
  </w:p>
  <w:p w:rsidR="005F4E3F" w:rsidRDefault="00D4209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RECURSO DE REVISIÓN 06796/INFOEM/ICR-35/IP/RR/2022.</w:t>
    </w:r>
  </w:p>
  <w:p w:rsidR="005F4E3F" w:rsidRDefault="005F4E3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3F" w:rsidRDefault="005F4E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F4E3F" w:rsidRDefault="005F4E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F4E3F" w:rsidRDefault="005F4E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F4E3F" w:rsidRDefault="005F4E3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32827"/>
    <w:multiLevelType w:val="multilevel"/>
    <w:tmpl w:val="1C6E19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3F"/>
    <w:rsid w:val="005F4E3F"/>
    <w:rsid w:val="009E4748"/>
    <w:rsid w:val="00D42093"/>
    <w:rsid w:val="00FE3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D0DD1-4432-4A23-9997-F10DBBD8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2cN3qC76FQukw1OYU47Q/hDLsA==">AMUW2mWhJDcipxdxu8jcvQibSbCDHHK5t9Sgpn9wbTjwfkEPO5mquAQKuWjSOnTMww/ZL1c/KGMWZduumaikmlgMm1KP9a+edqjtqZKTv5o+vfDJR+BNdWe0fSUr9TUNJWhFZxinl9rDNjyYwiz+HJsDb0+zGFKJ4hAjV80/33X5KykT/Dum/Ag=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Jhancarlo</cp:lastModifiedBy>
  <cp:revision>2</cp:revision>
  <cp:lastPrinted>2022-12-05T15:23:00Z</cp:lastPrinted>
  <dcterms:created xsi:type="dcterms:W3CDTF">2022-12-02T20:14:00Z</dcterms:created>
  <dcterms:modified xsi:type="dcterms:W3CDTF">2022-12-05T15:34:00Z</dcterms:modified>
</cp:coreProperties>
</file>