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8E58A8">
        <w:rPr>
          <w:rFonts w:ascii="Palatino Linotype" w:hAnsi="Palatino Linotype"/>
          <w:b/>
          <w:sz w:val="23"/>
          <w:szCs w:val="23"/>
        </w:rPr>
        <w:t>CUART</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8E58A8">
        <w:rPr>
          <w:rFonts w:ascii="Palatino Linotype" w:hAnsi="Palatino Linotype"/>
          <w:b/>
          <w:sz w:val="23"/>
          <w:szCs w:val="23"/>
        </w:rPr>
        <w:t>VEINTINUEVE</w:t>
      </w:r>
      <w:r>
        <w:rPr>
          <w:rFonts w:ascii="Palatino Linotype" w:hAnsi="Palatino Linotype"/>
          <w:b/>
          <w:sz w:val="23"/>
          <w:szCs w:val="23"/>
        </w:rPr>
        <w:t xml:space="preserve"> DE JUNI</w:t>
      </w:r>
      <w:r w:rsidRPr="00940354">
        <w:rPr>
          <w:rFonts w:ascii="Palatino Linotype" w:hAnsi="Palatino Linotype"/>
          <w:b/>
          <w:sz w:val="23"/>
          <w:szCs w:val="23"/>
        </w:rPr>
        <w:t>O DE DOS MIL VEINTIDÓS, EN EL RECURSO DE REVISIÓN 0</w:t>
      </w:r>
      <w:r w:rsidR="008E58A8">
        <w:rPr>
          <w:rFonts w:ascii="Palatino Linotype" w:hAnsi="Palatino Linotype"/>
          <w:b/>
          <w:sz w:val="23"/>
          <w:szCs w:val="23"/>
        </w:rPr>
        <w:t>473</w:t>
      </w:r>
      <w:r w:rsidR="00275288">
        <w:rPr>
          <w:rFonts w:ascii="Palatino Linotype" w:hAnsi="Palatino Linotype"/>
          <w:b/>
          <w:sz w:val="23"/>
          <w:szCs w:val="23"/>
        </w:rPr>
        <w:t>6</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8E58A8">
        <w:rPr>
          <w:rFonts w:ascii="Palatino Linotype" w:hAnsi="Palatino Linotype"/>
          <w:b/>
          <w:sz w:val="23"/>
          <w:szCs w:val="23"/>
        </w:rPr>
        <w:t>0473</w:t>
      </w:r>
      <w:r w:rsidR="00275288">
        <w:rPr>
          <w:rFonts w:ascii="Palatino Linotype" w:hAnsi="Palatino Linotype"/>
          <w:b/>
          <w:sz w:val="23"/>
          <w:szCs w:val="23"/>
        </w:rPr>
        <w:t>6</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8E58A8" w:rsidRDefault="000B2A76" w:rsidP="00081965">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bookmarkStart w:id="0" w:name="_Hlk106220231"/>
      <w:r w:rsidR="00081965" w:rsidRPr="00081965">
        <w:rPr>
          <w:rFonts w:ascii="Palatino Linotype" w:hAnsi="Palatino Linotype"/>
          <w:bCs/>
          <w:sz w:val="23"/>
          <w:szCs w:val="23"/>
        </w:rPr>
        <w:t xml:space="preserve">Ayuntamiento de </w:t>
      </w:r>
      <w:bookmarkEnd w:id="0"/>
      <w:r w:rsidR="008E58A8" w:rsidRPr="008E58A8">
        <w:rPr>
          <w:rFonts w:ascii="Palatino Linotype" w:hAnsi="Palatino Linotype"/>
          <w:bCs/>
          <w:sz w:val="23"/>
          <w:szCs w:val="23"/>
        </w:rPr>
        <w:t>Temascalcingo</w:t>
      </w:r>
      <w:r w:rsidRPr="00940354">
        <w:rPr>
          <w:rFonts w:ascii="Palatino Linotype" w:hAnsi="Palatino Linotype"/>
          <w:sz w:val="23"/>
          <w:szCs w:val="23"/>
        </w:rPr>
        <w:t>, que en esencia se le proporcionara</w:t>
      </w:r>
      <w:r w:rsidR="00081965" w:rsidRPr="00081965">
        <w:rPr>
          <w:rFonts w:ascii="Palatino Linotype" w:hAnsi="Palatino Linotype"/>
          <w:sz w:val="23"/>
          <w:szCs w:val="23"/>
        </w:rPr>
        <w:t xml:space="preserve"> </w:t>
      </w:r>
      <w:r w:rsidR="008E58A8">
        <w:rPr>
          <w:rFonts w:ascii="Palatino Linotype" w:hAnsi="Palatino Linotype"/>
          <w:sz w:val="23"/>
          <w:szCs w:val="23"/>
        </w:rPr>
        <w:t xml:space="preserve">la nómina </w:t>
      </w:r>
      <w:r w:rsidR="008E58A8" w:rsidRPr="008E58A8">
        <w:rPr>
          <w:rFonts w:ascii="Palatino Linotype" w:hAnsi="Palatino Linotype"/>
          <w:sz w:val="23"/>
          <w:szCs w:val="23"/>
        </w:rPr>
        <w:t xml:space="preserve">del presidente municipal hasta </w:t>
      </w:r>
      <w:r w:rsidR="008E58A8">
        <w:rPr>
          <w:rFonts w:ascii="Palatino Linotype" w:hAnsi="Palatino Linotype"/>
          <w:sz w:val="23"/>
          <w:szCs w:val="23"/>
        </w:rPr>
        <w:t xml:space="preserve">los grados más bajos en general, </w:t>
      </w:r>
      <w:r w:rsidR="008E58A8" w:rsidRPr="008E58A8">
        <w:rPr>
          <w:rFonts w:ascii="Palatino Linotype" w:hAnsi="Palatino Linotype"/>
          <w:sz w:val="23"/>
          <w:szCs w:val="23"/>
        </w:rPr>
        <w:t>en el periodo comprendido de en</w:t>
      </w:r>
      <w:bookmarkStart w:id="1" w:name="_Hlk105611386"/>
      <w:r w:rsidR="008E58A8">
        <w:rPr>
          <w:rFonts w:ascii="Palatino Linotype" w:hAnsi="Palatino Linotype"/>
          <w:sz w:val="23"/>
          <w:szCs w:val="23"/>
        </w:rPr>
        <w:t xml:space="preserve">ero de 2022 a diciembre de 2024. </w:t>
      </w:r>
    </w:p>
    <w:p w:rsidR="008E58A8" w:rsidRPr="008E58A8" w:rsidRDefault="00081965" w:rsidP="008E58A8">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El Sujeto Obligado </w:t>
      </w:r>
      <w:r w:rsidR="008E58A8" w:rsidRPr="008E58A8">
        <w:rPr>
          <w:rFonts w:ascii="Palatino Linotype" w:hAnsi="Palatino Linotype"/>
          <w:sz w:val="24"/>
          <w:szCs w:val="24"/>
        </w:rPr>
        <w:t>notificó al Solicitante, la respuesta a la solicitud de acceso a la información, por medio del oficio número MTM/DA/136/03/2022, del once de marzo de dos mil veintidós, suscrito por la Directora de Administración y dirigido al Encargado del Despacho de la Unidad de Transparencia, cuyo contenido es el si</w:t>
      </w:r>
      <w:r w:rsidR="008E58A8">
        <w:rPr>
          <w:rFonts w:ascii="Palatino Linotype" w:hAnsi="Palatino Linotype"/>
          <w:sz w:val="24"/>
          <w:szCs w:val="24"/>
        </w:rPr>
        <w:t>guiente:</w:t>
      </w:r>
    </w:p>
    <w:p w:rsidR="008E58A8" w:rsidRPr="008E58A8" w:rsidRDefault="008E58A8" w:rsidP="008E58A8">
      <w:pPr>
        <w:spacing w:before="240" w:after="240" w:line="276" w:lineRule="auto"/>
        <w:ind w:left="567" w:right="990"/>
        <w:jc w:val="both"/>
        <w:rPr>
          <w:rFonts w:ascii="Palatino Linotype" w:hAnsi="Palatino Linotype"/>
          <w:i/>
          <w:szCs w:val="24"/>
        </w:rPr>
      </w:pPr>
      <w:r w:rsidRPr="008E58A8">
        <w:rPr>
          <w:rFonts w:ascii="Palatino Linotype" w:hAnsi="Palatino Linotype"/>
          <w:i/>
          <w:szCs w:val="24"/>
        </w:rPr>
        <w:t>“…</w:t>
      </w:r>
    </w:p>
    <w:p w:rsidR="008E58A8" w:rsidRPr="008E58A8" w:rsidRDefault="008E58A8" w:rsidP="008E58A8">
      <w:pPr>
        <w:spacing w:before="240" w:after="240" w:line="276" w:lineRule="auto"/>
        <w:ind w:left="567" w:right="990"/>
        <w:jc w:val="both"/>
        <w:rPr>
          <w:rFonts w:ascii="Palatino Linotype" w:hAnsi="Palatino Linotype"/>
          <w:i/>
          <w:szCs w:val="24"/>
        </w:rPr>
      </w:pPr>
      <w:r w:rsidRPr="008E58A8">
        <w:rPr>
          <w:rFonts w:ascii="Palatino Linotype" w:hAnsi="Palatino Linotype"/>
          <w:i/>
          <w:szCs w:val="24"/>
        </w:rPr>
        <w:t xml:space="preserve">En el primer punto la redacción del requerimiento es ambigua, en el segundo punto debido a eventos futuros no se puede saber quien labora hasta diciembre 2024, en el último punto donde se pide la nómina, se comenta que de igual manera se redacción es ambigua. </w:t>
      </w:r>
    </w:p>
    <w:p w:rsidR="00081965" w:rsidRPr="00081965" w:rsidRDefault="008E58A8" w:rsidP="008E58A8">
      <w:pPr>
        <w:spacing w:before="240" w:after="240" w:line="276" w:lineRule="auto"/>
        <w:ind w:left="567" w:right="990"/>
        <w:jc w:val="both"/>
        <w:rPr>
          <w:rFonts w:ascii="Palatino Linotype" w:hAnsi="Palatino Linotype"/>
          <w:i/>
          <w:iCs/>
          <w:szCs w:val="24"/>
        </w:rPr>
      </w:pPr>
      <w:r w:rsidRPr="008E58A8">
        <w:rPr>
          <w:rFonts w:ascii="Palatino Linotype" w:hAnsi="Palatino Linotype"/>
          <w:i/>
          <w:szCs w:val="24"/>
        </w:rPr>
        <w:t>…”</w:t>
      </w:r>
      <w:r w:rsidRPr="008E58A8">
        <w:rPr>
          <w:rFonts w:ascii="Palatino Linotype" w:hAnsi="Palatino Linotype"/>
          <w:i/>
          <w:iCs/>
          <w:sz w:val="24"/>
          <w:szCs w:val="24"/>
        </w:rPr>
        <w:t xml:space="preserve"> </w:t>
      </w:r>
      <w:r w:rsidR="00081965">
        <w:rPr>
          <w:rFonts w:ascii="Palatino Linotype" w:hAnsi="Palatino Linotype"/>
          <w:i/>
          <w:iCs/>
          <w:szCs w:val="24"/>
        </w:rPr>
        <w:t>(Sic) (Énfasis añadido)</w:t>
      </w:r>
    </w:p>
    <w:bookmarkEnd w:id="1"/>
    <w:p w:rsidR="00081965" w:rsidRPr="00081965" w:rsidRDefault="000B2A76" w:rsidP="008E58A8">
      <w:pPr>
        <w:spacing w:before="240" w:after="240" w:line="360" w:lineRule="auto"/>
        <w:jc w:val="both"/>
        <w:rPr>
          <w:rFonts w:ascii="Palatino Linotype" w:hAnsi="Palatino Linotype"/>
          <w:bCs/>
          <w:i/>
          <w:iCs/>
        </w:rPr>
      </w:pPr>
      <w:r w:rsidRPr="00940354">
        <w:rPr>
          <w:rFonts w:ascii="Palatino Linotype" w:hAnsi="Palatino Linotype"/>
          <w:sz w:val="23"/>
          <w:szCs w:val="23"/>
        </w:rPr>
        <w:t xml:space="preserve">Ante </w:t>
      </w:r>
      <w:r w:rsidR="00081965">
        <w:rPr>
          <w:rFonts w:ascii="Palatino Linotype" w:hAnsi="Palatino Linotype"/>
          <w:sz w:val="23"/>
          <w:szCs w:val="23"/>
        </w:rPr>
        <w:t>este acto d</w:t>
      </w:r>
      <w:r w:rsidRPr="00940354">
        <w:rPr>
          <w:rFonts w:ascii="Palatino Linotype" w:hAnsi="Palatino Linotype"/>
          <w:sz w:val="23"/>
          <w:szCs w:val="23"/>
        </w:rPr>
        <w:t>el Sujeto Obliga</w:t>
      </w:r>
      <w:r w:rsidR="00275288">
        <w:rPr>
          <w:rFonts w:ascii="Palatino Linotype" w:hAnsi="Palatino Linotype"/>
          <w:sz w:val="23"/>
          <w:szCs w:val="23"/>
        </w:rPr>
        <w:t>do, el particular se inconfor</w:t>
      </w:r>
      <w:r w:rsidR="00081965">
        <w:rPr>
          <w:rFonts w:ascii="Palatino Linotype" w:hAnsi="Palatino Linotype"/>
          <w:sz w:val="23"/>
          <w:szCs w:val="23"/>
        </w:rPr>
        <w:t xml:space="preserve">ma, porque no se le </w:t>
      </w:r>
      <w:r w:rsidR="008E58A8">
        <w:rPr>
          <w:rFonts w:ascii="Palatino Linotype" w:hAnsi="Palatino Linotype"/>
          <w:sz w:val="23"/>
          <w:szCs w:val="23"/>
        </w:rPr>
        <w:t>entregó la información al indicarl</w:t>
      </w:r>
      <w:r w:rsidR="008E58A8" w:rsidRPr="008E58A8">
        <w:rPr>
          <w:rFonts w:ascii="Palatino Linotype" w:hAnsi="Palatino Linotype"/>
          <w:sz w:val="23"/>
          <w:szCs w:val="23"/>
        </w:rPr>
        <w:t xml:space="preserve">e en el oficio que </w:t>
      </w:r>
      <w:r w:rsidR="008E58A8">
        <w:rPr>
          <w:rFonts w:ascii="Palatino Linotype" w:hAnsi="Palatino Linotype"/>
          <w:sz w:val="23"/>
          <w:szCs w:val="23"/>
        </w:rPr>
        <w:t xml:space="preserve">su solicitud es ambigua. </w:t>
      </w:r>
      <w:r w:rsidR="00AF1499">
        <w:rPr>
          <w:rFonts w:ascii="Palatino Linotype" w:hAnsi="Palatino Linotype"/>
          <w:sz w:val="24"/>
        </w:rPr>
        <w:t xml:space="preserve">Es de señalar que el Sujeto Obligado </w:t>
      </w:r>
      <w:r w:rsidR="00275288">
        <w:rPr>
          <w:rFonts w:ascii="Palatino Linotype" w:hAnsi="Palatino Linotype"/>
          <w:sz w:val="24"/>
        </w:rPr>
        <w:t xml:space="preserve">rindió </w:t>
      </w:r>
      <w:r w:rsidRPr="00940354">
        <w:rPr>
          <w:rFonts w:ascii="Palatino Linotype" w:hAnsi="Palatino Linotype"/>
          <w:sz w:val="24"/>
        </w:rPr>
        <w:t>Informe Justificado</w:t>
      </w:r>
      <w:r w:rsidR="00275288">
        <w:rPr>
          <w:rFonts w:ascii="Palatino Linotype" w:hAnsi="Palatino Linotype"/>
          <w:sz w:val="24"/>
        </w:rPr>
        <w:t xml:space="preserve"> en el que medularmente ratificó su respuesta inicia</w:t>
      </w:r>
      <w:r w:rsidR="008E58A8">
        <w:rPr>
          <w:rFonts w:ascii="Palatino Linotype" w:hAnsi="Palatino Linotype"/>
          <w:sz w:val="24"/>
        </w:rPr>
        <w:t>l.</w:t>
      </w:r>
      <w:r w:rsidR="00081965" w:rsidRPr="00081965">
        <w:rPr>
          <w:rFonts w:ascii="Palatino Linotype" w:hAnsi="Palatino Linotype"/>
          <w:bCs/>
          <w:i/>
          <w:iCs/>
        </w:rPr>
        <w:t xml:space="preserve"> </w:t>
      </w: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8E58A8" w:rsidRPr="008E58A8">
        <w:rPr>
          <w:rFonts w:ascii="Palatino Linotype" w:hAnsi="Palatino Linotype"/>
          <w:b/>
          <w:sz w:val="23"/>
          <w:szCs w:val="23"/>
        </w:rPr>
        <w:t>REVOCAR</w:t>
      </w:r>
      <w:r w:rsidR="008E58A8">
        <w:rPr>
          <w:rFonts w:ascii="Palatino Linotype" w:hAnsi="Palatino Linotype"/>
          <w:sz w:val="23"/>
          <w:szCs w:val="23"/>
        </w:rPr>
        <w:t xml:space="preserve"> 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información, </w:t>
      </w:r>
      <w:r w:rsidR="00AF1499">
        <w:rPr>
          <w:rFonts w:ascii="Palatino Linotype" w:hAnsi="Palatino Linotype"/>
          <w:sz w:val="23"/>
          <w:szCs w:val="23"/>
        </w:rPr>
        <w:t xml:space="preserve"> posteriormente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precisar al Sujeto Obligado que deberá remitir al particular, lo siguiente</w:t>
      </w:r>
      <w:r w:rsidR="00AF1499">
        <w:rPr>
          <w:rFonts w:ascii="Palatino Linotype" w:hAnsi="Palatino Linotype"/>
          <w:sz w:val="23"/>
          <w:szCs w:val="23"/>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8E58A8" w:rsidRPr="008E58A8" w:rsidRDefault="008E58A8" w:rsidP="008E58A8">
      <w:pPr>
        <w:autoSpaceDE w:val="0"/>
        <w:autoSpaceDN w:val="0"/>
        <w:adjustRightInd w:val="0"/>
        <w:spacing w:line="276" w:lineRule="auto"/>
        <w:ind w:left="567" w:right="990"/>
        <w:contextualSpacing/>
        <w:jc w:val="both"/>
        <w:rPr>
          <w:rFonts w:ascii="Palatino Linotype" w:hAnsi="Palatino Linotype"/>
          <w:bCs/>
          <w:i/>
          <w:szCs w:val="23"/>
          <w:lang w:val="es-ES"/>
        </w:rPr>
      </w:pPr>
      <w:r w:rsidRPr="008E58A8">
        <w:rPr>
          <w:rFonts w:ascii="Palatino Linotype" w:hAnsi="Palatino Linotype"/>
          <w:bCs/>
          <w:i/>
          <w:szCs w:val="23"/>
        </w:rPr>
        <w:t>SEGUNDO. Se ORDENA al Ente Recurrido, a efecto de que, previa búsqueda exh</w:t>
      </w:r>
      <w:bookmarkStart w:id="2" w:name="_GoBack"/>
      <w:bookmarkEnd w:id="2"/>
      <w:r w:rsidRPr="008E58A8">
        <w:rPr>
          <w:rFonts w:ascii="Palatino Linotype" w:hAnsi="Palatino Linotype"/>
          <w:bCs/>
          <w:i/>
          <w:szCs w:val="23"/>
        </w:rPr>
        <w:t xml:space="preserve">austiva y razonable en todas las áreas competentes, entregue, a través del Sistema </w:t>
      </w:r>
      <w:r w:rsidRPr="008E58A8">
        <w:rPr>
          <w:rFonts w:ascii="Palatino Linotype" w:hAnsi="Palatino Linotype"/>
          <w:bCs/>
          <w:i/>
          <w:szCs w:val="23"/>
        </w:rPr>
        <w:lastRenderedPageBreak/>
        <w:t>de Acceso a la Información Mexiquense (SAIMEX), en su caso, en versión pública, lo siguiente:</w:t>
      </w:r>
    </w:p>
    <w:p w:rsidR="008E58A8" w:rsidRPr="008E58A8" w:rsidRDefault="008E58A8" w:rsidP="008E58A8">
      <w:pPr>
        <w:autoSpaceDE w:val="0"/>
        <w:autoSpaceDN w:val="0"/>
        <w:adjustRightInd w:val="0"/>
        <w:spacing w:line="276" w:lineRule="auto"/>
        <w:ind w:left="567" w:right="990"/>
        <w:contextualSpacing/>
        <w:jc w:val="both"/>
        <w:rPr>
          <w:rFonts w:ascii="Palatino Linotype" w:hAnsi="Palatino Linotype"/>
          <w:b/>
          <w:bCs/>
          <w:i/>
          <w:iCs/>
          <w:szCs w:val="23"/>
        </w:rPr>
      </w:pPr>
    </w:p>
    <w:p w:rsidR="008E58A8" w:rsidRPr="008E58A8" w:rsidRDefault="008E58A8" w:rsidP="008E58A8">
      <w:pPr>
        <w:numPr>
          <w:ilvl w:val="0"/>
          <w:numId w:val="6"/>
        </w:numPr>
        <w:autoSpaceDE w:val="0"/>
        <w:autoSpaceDN w:val="0"/>
        <w:adjustRightInd w:val="0"/>
        <w:spacing w:line="276" w:lineRule="auto"/>
        <w:ind w:right="990"/>
        <w:contextualSpacing/>
        <w:jc w:val="both"/>
        <w:rPr>
          <w:rFonts w:ascii="Palatino Linotype" w:hAnsi="Palatino Linotype"/>
          <w:b/>
          <w:bCs/>
          <w:i/>
          <w:szCs w:val="23"/>
        </w:rPr>
      </w:pPr>
      <w:r w:rsidRPr="008E58A8">
        <w:rPr>
          <w:rFonts w:ascii="Palatino Linotype" w:hAnsi="Palatino Linotype"/>
          <w:b/>
          <w:bCs/>
          <w:i/>
          <w:szCs w:val="23"/>
        </w:rPr>
        <w:t xml:space="preserve">La </w:t>
      </w:r>
      <w:r w:rsidRPr="008E58A8">
        <w:rPr>
          <w:rFonts w:ascii="Palatino Linotype" w:hAnsi="Palatino Linotype"/>
          <w:b/>
          <w:bCs/>
          <w:i/>
          <w:iCs/>
          <w:szCs w:val="23"/>
        </w:rPr>
        <w:t>Conciliación de Nómina del Ayuntamiento de Temascalcingo, de la primera quincena de enero a la segunda quincena de febrero de dos mil veintidós.</w:t>
      </w:r>
    </w:p>
    <w:p w:rsidR="008E58A8" w:rsidRPr="008E58A8" w:rsidRDefault="008E58A8" w:rsidP="008E58A8">
      <w:pPr>
        <w:autoSpaceDE w:val="0"/>
        <w:autoSpaceDN w:val="0"/>
        <w:adjustRightInd w:val="0"/>
        <w:spacing w:line="276" w:lineRule="auto"/>
        <w:ind w:left="567" w:right="990"/>
        <w:contextualSpacing/>
        <w:jc w:val="both"/>
        <w:rPr>
          <w:rFonts w:ascii="Palatino Linotype" w:hAnsi="Palatino Linotype"/>
          <w:b/>
          <w:bCs/>
          <w:i/>
          <w:szCs w:val="23"/>
        </w:rPr>
      </w:pPr>
    </w:p>
    <w:p w:rsidR="00AF1499" w:rsidRPr="008E58A8" w:rsidRDefault="008E58A8" w:rsidP="008E58A8">
      <w:pPr>
        <w:autoSpaceDE w:val="0"/>
        <w:autoSpaceDN w:val="0"/>
        <w:adjustRightInd w:val="0"/>
        <w:spacing w:line="276" w:lineRule="auto"/>
        <w:ind w:left="567" w:right="990"/>
        <w:contextualSpacing/>
        <w:jc w:val="both"/>
        <w:rPr>
          <w:rFonts w:ascii="Palatino Linotype" w:hAnsi="Palatino Linotype"/>
          <w:b/>
          <w:bCs/>
          <w:i/>
          <w:szCs w:val="23"/>
        </w:rPr>
      </w:pPr>
      <w:r w:rsidRPr="008E58A8">
        <w:rPr>
          <w:rFonts w:ascii="Palatino Linotype" w:hAnsi="Palatino Linotype"/>
          <w:bCs/>
          <w:i/>
          <w:szCs w:val="23"/>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sidRPr="008E58A8">
        <w:rPr>
          <w:rFonts w:ascii="Palatino Linotype" w:hAnsi="Palatino Linotype"/>
          <w:b/>
          <w:bCs/>
          <w:i/>
          <w:szCs w:val="23"/>
        </w:rPr>
        <w:t>.</w:t>
      </w:r>
      <w:r w:rsidR="00AF1499"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8E58A8" w:rsidRPr="008E58A8">
        <w:rPr>
          <w:rFonts w:ascii="Palatino Linotype" w:hAnsi="Palatino Linotype"/>
          <w:b/>
          <w:bCs/>
          <w:color w:val="000000" w:themeColor="text1"/>
          <w:sz w:val="23"/>
          <w:szCs w:val="23"/>
        </w:rPr>
        <w:t>la reserva del nombre de los elementos operativos de la Dirección de Seguridad Pública</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w:t>
      </w:r>
      <w:r w:rsidRPr="00A408AE">
        <w:rPr>
          <w:rFonts w:ascii="Palatino Linotype" w:hAnsi="Palatino Linotype"/>
          <w:sz w:val="23"/>
          <w:szCs w:val="23"/>
        </w:rPr>
        <w:lastRenderedPageBreak/>
        <w:t>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8E58A8">
        <w:rPr>
          <w:rFonts w:ascii="Palatino Linotype" w:hAnsi="Palatino Linotype"/>
          <w:b/>
          <w:bCs/>
          <w:sz w:val="23"/>
          <w:szCs w:val="23"/>
        </w:rPr>
        <w:t>473</w:t>
      </w:r>
      <w:r w:rsidR="00F06A7B">
        <w:rPr>
          <w:rFonts w:ascii="Palatino Linotype" w:hAnsi="Palatino Linotype"/>
          <w:b/>
          <w:bCs/>
          <w:sz w:val="23"/>
          <w:szCs w:val="23"/>
        </w:rPr>
        <w:t>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xml:space="preserve">, en razón de que, </w:t>
      </w:r>
      <w:r>
        <w:rPr>
          <w:rFonts w:ascii="Palatino Linotype" w:hAnsi="Palatino Linotype"/>
          <w:sz w:val="23"/>
          <w:szCs w:val="23"/>
        </w:rPr>
        <w:lastRenderedPageBreak/>
        <w:t>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lastRenderedPageBreak/>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EE5423"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539750</wp:posOffset>
                </wp:positionV>
                <wp:extent cx="5543550" cy="62007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543550" cy="6200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62F18"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5pt" to="444.5pt,5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160242"/>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54" w:rsidRDefault="000D4D54" w:rsidP="000B2A76">
      <w:pPr>
        <w:spacing w:after="0" w:line="240" w:lineRule="auto"/>
      </w:pPr>
      <w:r>
        <w:separator/>
      </w:r>
    </w:p>
  </w:endnote>
  <w:endnote w:type="continuationSeparator" w:id="0">
    <w:p w:rsidR="000D4D54" w:rsidRDefault="000D4D54"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60242">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60242">
      <w:rPr>
        <w:rFonts w:ascii="Arial" w:hAnsi="Arial" w:cs="Arial"/>
        <w:b/>
        <w:bCs/>
        <w:noProof/>
        <w:sz w:val="20"/>
        <w:szCs w:val="20"/>
      </w:rPr>
      <w:t>8</w:t>
    </w:r>
    <w:r w:rsidRPr="00986599">
      <w:rPr>
        <w:rFonts w:ascii="Arial" w:hAnsi="Arial" w:cs="Arial"/>
        <w:b/>
        <w:bCs/>
        <w:sz w:val="20"/>
        <w:szCs w:val="20"/>
      </w:rPr>
      <w:fldChar w:fldCharType="end"/>
    </w:r>
  </w:p>
  <w:p w:rsidR="00D758BE" w:rsidRDefault="0016024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54" w:rsidRDefault="000D4D54" w:rsidP="000B2A76">
      <w:pPr>
        <w:spacing w:after="0" w:line="240" w:lineRule="auto"/>
      </w:pPr>
      <w:r>
        <w:separator/>
      </w:r>
    </w:p>
  </w:footnote>
  <w:footnote w:type="continuationSeparator" w:id="0">
    <w:p w:rsidR="000D4D54" w:rsidRDefault="000D4D54"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6024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8E58A8">
      <w:rPr>
        <w:rFonts w:ascii="Palatino Linotype" w:hAnsi="Palatino Linotype" w:cs="Arial"/>
        <w:b/>
        <w:sz w:val="22"/>
        <w:szCs w:val="22"/>
      </w:rPr>
      <w:t>473</w:t>
    </w:r>
    <w:r w:rsidR="00275288">
      <w:rPr>
        <w:rFonts w:ascii="Palatino Linotype" w:hAnsi="Palatino Linotype" w:cs="Arial"/>
        <w:b/>
        <w:sz w:val="22"/>
        <w:szCs w:val="22"/>
      </w:rPr>
      <w:t>6</w:t>
    </w:r>
    <w:r w:rsidRPr="00FB2266">
      <w:rPr>
        <w:rFonts w:ascii="Palatino Linotype" w:hAnsi="Palatino Linotype" w:cs="Arial"/>
        <w:b/>
        <w:sz w:val="22"/>
        <w:szCs w:val="22"/>
      </w:rPr>
      <w:t>/INFOEM/IP/RR/2022</w:t>
    </w:r>
  </w:p>
  <w:p w:rsidR="000B1C1F" w:rsidRPr="000D4A99" w:rsidRDefault="00160242"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6024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160242" w:rsidP="007263BB">
    <w:pPr>
      <w:pStyle w:val="Encabezado"/>
      <w:jc w:val="right"/>
      <w:rPr>
        <w:rFonts w:ascii="Arial" w:hAnsi="Arial" w:cs="Arial"/>
        <w:sz w:val="20"/>
        <w:szCs w:val="20"/>
      </w:rPr>
    </w:pPr>
  </w:p>
  <w:p w:rsidR="00F029C2" w:rsidRPr="000D4A99" w:rsidRDefault="00160242" w:rsidP="007263BB">
    <w:pPr>
      <w:pStyle w:val="Encabezado"/>
      <w:jc w:val="right"/>
      <w:rPr>
        <w:rFonts w:ascii="Arial" w:hAnsi="Arial" w:cs="Arial"/>
        <w:sz w:val="20"/>
        <w:szCs w:val="20"/>
      </w:rPr>
    </w:pPr>
  </w:p>
  <w:p w:rsidR="00F029C2" w:rsidRPr="000D4A99" w:rsidRDefault="00160242"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160242" w:rsidP="007263BB">
    <w:pPr>
      <w:pStyle w:val="Encabezado"/>
      <w:jc w:val="right"/>
      <w:rPr>
        <w:rFonts w:ascii="Palatino Linotype" w:hAnsi="Palatino Linotype" w:cs="Arial"/>
        <w:sz w:val="20"/>
        <w:szCs w:val="20"/>
      </w:rPr>
    </w:pPr>
  </w:p>
  <w:p w:rsidR="00F029C2" w:rsidRPr="000D4A99" w:rsidRDefault="0016024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60242"/>
    <w:rsid w:val="00275288"/>
    <w:rsid w:val="004A63C4"/>
    <w:rsid w:val="007213EF"/>
    <w:rsid w:val="0081741B"/>
    <w:rsid w:val="008E58A8"/>
    <w:rsid w:val="00977DEC"/>
    <w:rsid w:val="00A0212F"/>
    <w:rsid w:val="00A22313"/>
    <w:rsid w:val="00AF1499"/>
    <w:rsid w:val="00AF53CA"/>
    <w:rsid w:val="00BA53BA"/>
    <w:rsid w:val="00BD6E2C"/>
    <w:rsid w:val="00D36CD9"/>
    <w:rsid w:val="00E1501A"/>
    <w:rsid w:val="00EB4154"/>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1583</Words>
  <Characters>8709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2022-07-04T15:42:00Z</cp:lastPrinted>
  <dcterms:created xsi:type="dcterms:W3CDTF">2022-07-01T17:01:00Z</dcterms:created>
  <dcterms:modified xsi:type="dcterms:W3CDTF">2022-07-04T15:43:00Z</dcterms:modified>
</cp:coreProperties>
</file>