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F23" w:rsidRPr="00BD0F50" w:rsidRDefault="0007438F" w:rsidP="00BD0F50">
      <w:pPr>
        <w:widowControl w:val="0"/>
        <w:pBdr>
          <w:top w:val="nil"/>
          <w:left w:val="nil"/>
          <w:bottom w:val="nil"/>
          <w:right w:val="nil"/>
          <w:between w:val="nil"/>
        </w:pBdr>
        <w:spacing w:after="0" w:line="360" w:lineRule="auto"/>
        <w:jc w:val="both"/>
      </w:pPr>
      <w:r>
        <w:pict w14:anchorId="66F0F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pt;height:50pt;z-index:251657216;visibility:hidden">
            <o:lock v:ext="edit" selection="t"/>
          </v:shape>
        </w:pict>
      </w:r>
      <w:r>
        <w:pict w14:anchorId="44F58ACD">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bookmarkStart w:id="0" w:name="_heading=h.gjdgxs" w:colFirst="0" w:colLast="0"/>
      <w:bookmarkEnd w:id="0"/>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LA TRIGÉSIMA QUINTA SESIÓN ORDINARIA DEL VEINTIOCHO DE SEPTIE</w:t>
      </w:r>
      <w:r w:rsidR="00C573DA">
        <w:rPr>
          <w:rFonts w:ascii="Palatino Linotype" w:eastAsia="Palatino Linotype" w:hAnsi="Palatino Linotype" w:cs="Palatino Linotype"/>
          <w:b/>
          <w:sz w:val="24"/>
          <w:szCs w:val="24"/>
        </w:rPr>
        <w:t>MBRE DE DOS MIL VEINTIDÓS, EN LOS</w:t>
      </w:r>
      <w:r>
        <w:rPr>
          <w:rFonts w:ascii="Palatino Linotype" w:eastAsia="Palatino Linotype" w:hAnsi="Palatino Linotype" w:cs="Palatino Linotype"/>
          <w:b/>
          <w:sz w:val="24"/>
          <w:szCs w:val="24"/>
        </w:rPr>
        <w:t xml:space="preserve"> RECURSO</w:t>
      </w:r>
      <w:r w:rsidR="00C573DA">
        <w:rPr>
          <w:rFonts w:ascii="Palatino Linotype" w:eastAsia="Palatino Linotype" w:hAnsi="Palatino Linotype" w:cs="Palatino Linotype"/>
          <w:b/>
          <w:sz w:val="24"/>
          <w:szCs w:val="24"/>
        </w:rPr>
        <w:t>S</w:t>
      </w:r>
      <w:r>
        <w:rPr>
          <w:rFonts w:ascii="Palatino Linotype" w:eastAsia="Palatino Linotype" w:hAnsi="Palatino Linotype" w:cs="Palatino Linotype"/>
          <w:b/>
          <w:sz w:val="24"/>
          <w:szCs w:val="24"/>
        </w:rPr>
        <w:t xml:space="preserve"> DE REVISIÓN 11321/INFOEM/IP/RR/2022 Y ACUMULADOS.</w:t>
      </w:r>
    </w:p>
    <w:p w:rsidR="00D10F23" w:rsidRDefault="0007438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pleno del Instituto de Transparencia, Acceso a la Información Pública y Protección de Datos Personale</w:t>
      </w:r>
      <w:r>
        <w:rPr>
          <w:rFonts w:ascii="Palatino Linotype" w:eastAsia="Palatino Linotype" w:hAnsi="Palatino Linotype" w:cs="Palatino Linotype"/>
          <w:sz w:val="24"/>
          <w:szCs w:val="24"/>
        </w:rPr>
        <w:t xml:space="preserve">s del Estado de México y Municipios, aprobó por mayoría de </w:t>
      </w:r>
      <w:r w:rsidR="00EC3571">
        <w:rPr>
          <w:rFonts w:ascii="Palatino Linotype" w:eastAsia="Palatino Linotype" w:hAnsi="Palatino Linotype" w:cs="Palatino Linotype"/>
          <w:sz w:val="24"/>
          <w:szCs w:val="24"/>
        </w:rPr>
        <w:t>votos, la resolución relativa a los</w:t>
      </w:r>
      <w:r>
        <w:rPr>
          <w:rFonts w:ascii="Palatino Linotype" w:eastAsia="Palatino Linotype" w:hAnsi="Palatino Linotype" w:cs="Palatino Linotype"/>
          <w:sz w:val="24"/>
          <w:szCs w:val="24"/>
        </w:rPr>
        <w:t xml:space="preserve"> recurso</w:t>
      </w:r>
      <w:r w:rsidR="00EC3571">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de revisión </w:t>
      </w:r>
      <w:r>
        <w:rPr>
          <w:rFonts w:ascii="Palatino Linotype" w:eastAsia="Palatino Linotype" w:hAnsi="Palatino Linotype" w:cs="Palatino Linotype"/>
          <w:b/>
          <w:sz w:val="24"/>
          <w:szCs w:val="24"/>
        </w:rPr>
        <w:t>11321/INFOEM/IP/RR/2022 Y ACUMULADOS,</w:t>
      </w:r>
      <w:r>
        <w:rPr>
          <w:rFonts w:ascii="Palatino Linotype" w:eastAsia="Palatino Linotype" w:hAnsi="Palatino Linotype" w:cs="Palatino Linotype"/>
          <w:sz w:val="24"/>
          <w:szCs w:val="24"/>
        </w:rPr>
        <w:t xml:space="preserve"> presentada por el Comisionado Luis Gustavo Parra Noriega, respecto de la cual, la suscrita formula </w:t>
      </w:r>
      <w:r>
        <w:rPr>
          <w:rFonts w:ascii="Palatino Linotype" w:eastAsia="Palatino Linotype" w:hAnsi="Palatino Linotype" w:cs="Palatino Linotype"/>
          <w:b/>
          <w:sz w:val="24"/>
          <w:szCs w:val="24"/>
        </w:rPr>
        <w:t>OPINIÓN</w:t>
      </w:r>
      <w:r>
        <w:rPr>
          <w:rFonts w:ascii="Palatino Linotype" w:eastAsia="Palatino Linotype" w:hAnsi="Palatino Linotype" w:cs="Palatino Linotype"/>
          <w:b/>
          <w:sz w:val="24"/>
          <w:szCs w:val="24"/>
        </w:rPr>
        <w:t xml:space="preserve">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D10F23" w:rsidRDefault="0007438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esencia el </w:t>
      </w:r>
      <w:r>
        <w:rPr>
          <w:rFonts w:ascii="Palatino Linotype" w:eastAsia="Palatino Linotype" w:hAnsi="Palatino Linotype" w:cs="Palatino Linotype"/>
          <w:sz w:val="24"/>
          <w:szCs w:val="24"/>
        </w:rPr>
        <w:t xml:space="preserve">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D10F23" w:rsidRDefault="0007438F">
      <w:pPr>
        <w:spacing w:before="240" w:after="240" w:line="360" w:lineRule="auto"/>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lastRenderedPageBreak/>
        <w:t>En el</w:t>
      </w:r>
      <w:r>
        <w:rPr>
          <w:rFonts w:ascii="Palatino Linotype" w:eastAsia="Palatino Linotype" w:hAnsi="Palatino Linotype" w:cs="Palatino Linotype"/>
          <w:sz w:val="24"/>
          <w:szCs w:val="24"/>
        </w:rPr>
        <w:t xml:space="preserve"> caso concreto,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Ayuntamiento de Tenango del Valle, hiciera entrega de la Nómina pagada de la plantilla de trabajadores del H. Ayuntamiento de los siguientes periodos: </w:t>
      </w:r>
    </w:p>
    <w:p w:rsidR="00D10F23" w:rsidRDefault="0007438F">
      <w:pPr>
        <w:numPr>
          <w:ilvl w:val="0"/>
          <w:numId w:val="1"/>
        </w:numPr>
        <w:pBdr>
          <w:top w:val="nil"/>
          <w:left w:val="nil"/>
          <w:bottom w:val="nil"/>
          <w:right w:val="nil"/>
          <w:between w:val="nil"/>
        </w:pBdr>
        <w:spacing w:before="240"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1 al 31 de enero del 2022</w:t>
      </w:r>
    </w:p>
    <w:p w:rsidR="00D10F23" w:rsidRDefault="0007438F">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1 al 28 de febrero del 2022</w:t>
      </w:r>
    </w:p>
    <w:p w:rsidR="00D10F23" w:rsidRDefault="0007438F">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1 </w:t>
      </w:r>
      <w:r>
        <w:rPr>
          <w:rFonts w:ascii="Palatino Linotype" w:eastAsia="Palatino Linotype" w:hAnsi="Palatino Linotype" w:cs="Palatino Linotype"/>
          <w:color w:val="000000"/>
          <w:sz w:val="24"/>
          <w:szCs w:val="24"/>
        </w:rPr>
        <w:t>al 31 de marzo del 2022</w:t>
      </w:r>
    </w:p>
    <w:p w:rsidR="00D10F23" w:rsidRDefault="0007438F">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1 al 30 de abril del 2022</w:t>
      </w:r>
    </w:p>
    <w:p w:rsidR="00D10F23" w:rsidRDefault="0007438F">
      <w:pPr>
        <w:tabs>
          <w:tab w:val="left" w:pos="567"/>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 a través del Sistema de Acceso a la Información Mexiquense (SAIMEX), la respuesta en los siguientes términos: </w:t>
      </w:r>
    </w:p>
    <w:p w:rsidR="00D10F23" w:rsidRDefault="0007438F">
      <w:pPr>
        <w:spacing w:after="0" w:line="360" w:lineRule="auto"/>
        <w:ind w:left="567" w:right="990"/>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i) Oficio número TDV/UTAI/346/2022, de la misma fecha de recepción, signado por el Titular de la Unidad de Transparencia y Acceso a la Información por medio del cual remite el diverso CRH/TV/180/2022.</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t>ii) Oficio número CRH/TV/180/2022, del treinta y uno de</w:t>
      </w:r>
      <w:r>
        <w:rPr>
          <w:rFonts w:ascii="Palatino Linotype" w:eastAsia="Palatino Linotype" w:hAnsi="Palatino Linotype" w:cs="Palatino Linotype"/>
        </w:rPr>
        <w:t xml:space="preserve"> mayo de dos mil veintidós, signado por el Titular de la Coordinación de Recursos Humanos, mediante el cual remite la nómina de las dos quincenas del mes de enero de dos mil veintidós. </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t>iii) Versión pública de dos relaciones de la primera y segunda quincen</w:t>
      </w:r>
      <w:r>
        <w:rPr>
          <w:rFonts w:ascii="Palatino Linotype" w:eastAsia="Palatino Linotype" w:hAnsi="Palatino Linotype" w:cs="Palatino Linotype"/>
        </w:rPr>
        <w:t>a de enero, con los rubros: nombre completo, número de empleado, categoría, departamento, total bruto y sueldo neto.</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lastRenderedPageBreak/>
        <w:t>i) Oficio número TDV/UTAI/347/2022, de la misma fecha de recepción, signado por el Titular de la Unidad de Transparencia y Acceso a la Info</w:t>
      </w:r>
      <w:r>
        <w:rPr>
          <w:rFonts w:ascii="Palatino Linotype" w:eastAsia="Palatino Linotype" w:hAnsi="Palatino Linotype" w:cs="Palatino Linotype"/>
        </w:rPr>
        <w:t>rmación por medio del cual remite el diverso CRH/TV/181/2022</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t>ii) Oficio número CRH/TV/1812/2022, del treinta y uno de mayo de dos mil veintidós, signado por el Titular de la Coordinación de Recursos Humanos, mediante el cual remite la nómina de las dos qui</w:t>
      </w:r>
      <w:r>
        <w:rPr>
          <w:rFonts w:ascii="Palatino Linotype" w:eastAsia="Palatino Linotype" w:hAnsi="Palatino Linotype" w:cs="Palatino Linotype"/>
        </w:rPr>
        <w:t xml:space="preserve">ncenas del mes de febrero de dos mil veintidós. </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t xml:space="preserve">iii) Versión pública de dos relaciones de la primera y segunda quincena de febrero, con los rubros: nombre completo, número de empleado, categoría, departamento, total bruto y sueldo neto. </w:t>
      </w:r>
    </w:p>
    <w:p w:rsidR="00D10F23" w:rsidRDefault="0007438F">
      <w:pPr>
        <w:spacing w:after="0" w:line="360" w:lineRule="auto"/>
        <w:ind w:left="567" w:right="990"/>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i) Oficio número TDV/UTAI/348/2022, de la misma fecha de recepción, signado por el Titular de la Unidad de Transparencia y Acceso a la Información por medio del cual remite el diverso CRH/TV/182/2022</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t>ii) Oficio número CRH/TV/1812/2022, del treinta y uno de</w:t>
      </w:r>
      <w:r>
        <w:rPr>
          <w:rFonts w:ascii="Palatino Linotype" w:eastAsia="Palatino Linotype" w:hAnsi="Palatino Linotype" w:cs="Palatino Linotype"/>
        </w:rPr>
        <w:t xml:space="preserve"> mayo de dos mil veintidós, signado por el Titular de la Coordinación de Recursos Humanos, mediante el cual remite la nómina de las dos quincenas del mes de marzo de dos mil veintidós.  </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t>iii) Versión pública de dos relaciones de la primera y segunda quince</w:t>
      </w:r>
      <w:r>
        <w:rPr>
          <w:rFonts w:ascii="Palatino Linotype" w:eastAsia="Palatino Linotype" w:hAnsi="Palatino Linotype" w:cs="Palatino Linotype"/>
        </w:rPr>
        <w:t xml:space="preserve">na de marzo, con los rubros: nombre completo, número de empleado, categoría, departamento, total bruto y sueldo neto. </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t>i) Oficio número TDV/UTAI/349/2022, de la misma fecha de recepción, signado por el Titular de la Unidad de Transparencia y Acceso a la In</w:t>
      </w:r>
      <w:r>
        <w:rPr>
          <w:rFonts w:ascii="Palatino Linotype" w:eastAsia="Palatino Linotype" w:hAnsi="Palatino Linotype" w:cs="Palatino Linotype"/>
        </w:rPr>
        <w:t>formación por medio del cual remite el diverso CRH/TV/183/2022</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lastRenderedPageBreak/>
        <w:t>ii) Oficio número CRH/TV/1813/2022, del treinta y uno de mayo de dos mil veintidós, signado por el Titular de la Coordinación de Recursos Humanos, mediante el cual remite la nómina de las dos q</w:t>
      </w:r>
      <w:r>
        <w:rPr>
          <w:rFonts w:ascii="Palatino Linotype" w:eastAsia="Palatino Linotype" w:hAnsi="Palatino Linotype" w:cs="Palatino Linotype"/>
        </w:rPr>
        <w:t xml:space="preserve">uincenas del mes de abril de dos mil veintidós.  </w:t>
      </w:r>
    </w:p>
    <w:p w:rsidR="00D10F23" w:rsidRDefault="0007438F">
      <w:pPr>
        <w:spacing w:after="0" w:line="360"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rPr>
        <w:t xml:space="preserve">iii) Versión pública de dos relaciones de la primera y segunda quincena de abril, con los rubros: nombre completo, número de empleado, categoría, departamento, total bruto y sueldo neto. </w:t>
      </w:r>
    </w:p>
    <w:p w:rsidR="00D10F23" w:rsidRDefault="00D10F23">
      <w:pPr>
        <w:spacing w:after="0" w:line="360" w:lineRule="auto"/>
        <w:ind w:right="-28"/>
        <w:jc w:val="both"/>
        <w:rPr>
          <w:rFonts w:ascii="Palatino Linotype" w:eastAsia="Palatino Linotype" w:hAnsi="Palatino Linotype" w:cs="Palatino Linotype"/>
        </w:rPr>
      </w:pPr>
    </w:p>
    <w:p w:rsidR="00D10F23" w:rsidRDefault="0007438F">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Conocida esta not</w:t>
      </w:r>
      <w:r>
        <w:rPr>
          <w:rFonts w:ascii="Palatino Linotype" w:eastAsia="Palatino Linotype" w:hAnsi="Palatino Linotype" w:cs="Palatino Linotype"/>
          <w:sz w:val="24"/>
          <w:szCs w:val="24"/>
        </w:rPr>
        <w:t>ificación, la persona solicitante presentó el recurso de revisión mediante el cual señaló como motivo de inconformidad, en lo medular, que no se le proporcionó la información solicitada, toda vez que se solicitaron recibos de nómina pagada.</w:t>
      </w:r>
    </w:p>
    <w:p w:rsidR="00D10F23" w:rsidRDefault="00D10F23">
      <w:pPr>
        <w:spacing w:after="0" w:line="360" w:lineRule="auto"/>
        <w:ind w:right="-3"/>
        <w:jc w:val="both"/>
        <w:rPr>
          <w:rFonts w:ascii="Palatino Linotype" w:eastAsia="Palatino Linotype" w:hAnsi="Palatino Linotype" w:cs="Palatino Linotype"/>
          <w:sz w:val="24"/>
          <w:szCs w:val="24"/>
        </w:rPr>
      </w:pPr>
    </w:p>
    <w:p w:rsidR="00D10F23" w:rsidRDefault="0007438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admitido el presente recurso de revisión, en términos del artículo 185 fracción II</w:t>
      </w:r>
      <w:r>
        <w:rPr>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w:t>
      </w:r>
      <w:r>
        <w:rPr>
          <w:rFonts w:ascii="Palatino Linotype" w:eastAsia="Palatino Linotype" w:hAnsi="Palatino Linotype" w:cs="Palatino Linotype"/>
          <w:sz w:val="24"/>
          <w:szCs w:val="24"/>
        </w:rPr>
        <w:t>, en un plazo máximo de siete días hábiles, manifestaran lo que a su derecho resultara conveniente, sin embargo, las partes fueron omisas en remitir información alguna.</w:t>
      </w:r>
    </w:p>
    <w:p w:rsidR="00D10F23" w:rsidRDefault="0007438F">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lo que, previo análisis de las constancias y de la naturaleza de la información, la</w:t>
      </w:r>
      <w:r>
        <w:rPr>
          <w:rFonts w:ascii="Palatino Linotype" w:eastAsia="Palatino Linotype" w:hAnsi="Palatino Linotype" w:cs="Palatino Linotype"/>
          <w:sz w:val="24"/>
          <w:szCs w:val="24"/>
        </w:rPr>
        <w:t xml:space="preserve"> Ponencia que resolvió determinó que las razones y/o motivos de inconformidad del particular son fundados y procedió a modificar la</w:t>
      </w:r>
      <w:r w:rsidR="002B07EB">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respuesta</w:t>
      </w:r>
      <w:r w:rsidR="002B07EB">
        <w:rPr>
          <w:rFonts w:ascii="Palatino Linotype" w:eastAsia="Palatino Linotype" w:hAnsi="Palatino Linotype" w:cs="Palatino Linotype"/>
          <w:sz w:val="24"/>
          <w:szCs w:val="24"/>
        </w:rPr>
        <w:t>s</w:t>
      </w:r>
      <w:bookmarkStart w:id="4" w:name="_GoBack"/>
      <w:bookmarkEnd w:id="4"/>
      <w:r>
        <w:rPr>
          <w:rFonts w:ascii="Palatino Linotype" w:eastAsia="Palatino Linotype" w:hAnsi="Palatino Linotype" w:cs="Palatino Linotype"/>
          <w:sz w:val="24"/>
          <w:szCs w:val="24"/>
        </w:rPr>
        <w:t xml:space="preserve"> y ordenar la entrega de información,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rsidR="00D10F23" w:rsidRDefault="00D10F23">
      <w:pPr>
        <w:spacing w:after="0" w:line="276" w:lineRule="auto"/>
        <w:ind w:left="567" w:right="990"/>
        <w:jc w:val="both"/>
        <w:rPr>
          <w:rFonts w:ascii="Palatino Linotype" w:eastAsia="Palatino Linotype" w:hAnsi="Palatino Linotype" w:cs="Palatino Linotype"/>
          <w:b/>
          <w:i/>
        </w:rPr>
      </w:pPr>
    </w:p>
    <w:p w:rsidR="00D10F23" w:rsidRDefault="0007438F">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w:t>
      </w:r>
      <w:r>
        <w:rPr>
          <w:rFonts w:ascii="Palatino Linotype" w:eastAsia="Palatino Linotype" w:hAnsi="Palatino Linotype" w:cs="Palatino Linotype"/>
          <w:i/>
        </w:rPr>
        <w:t>SEGUNDO. Se ORDENA al Ente Recu</w:t>
      </w:r>
      <w:r>
        <w:rPr>
          <w:rFonts w:ascii="Palatino Linotype" w:eastAsia="Palatino Linotype" w:hAnsi="Palatino Linotype" w:cs="Palatino Linotype"/>
          <w:i/>
        </w:rPr>
        <w:t xml:space="preserve">rrido, a efecto de que, previa búsqueda exhaustiva y razonable en todas las unidades administrativas competentes, entregue, a través del Sistema de Acceso a la Información Mexiquense (SAIMEX), en versión pública, lo siguiente: </w:t>
      </w:r>
    </w:p>
    <w:p w:rsidR="00D10F23" w:rsidRDefault="00D10F23">
      <w:pPr>
        <w:spacing w:after="0" w:line="276" w:lineRule="auto"/>
        <w:ind w:left="567" w:right="990"/>
        <w:jc w:val="both"/>
        <w:rPr>
          <w:rFonts w:ascii="Palatino Linotype" w:eastAsia="Palatino Linotype" w:hAnsi="Palatino Linotype" w:cs="Palatino Linotype"/>
          <w:i/>
        </w:rPr>
      </w:pPr>
    </w:p>
    <w:p w:rsidR="00D10F23" w:rsidRDefault="0007438F">
      <w:pPr>
        <w:numPr>
          <w:ilvl w:val="0"/>
          <w:numId w:val="2"/>
        </w:numPr>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La Conciliación de Nómina, </w:t>
      </w:r>
      <w:r>
        <w:rPr>
          <w:rFonts w:ascii="Palatino Linotype" w:eastAsia="Palatino Linotype" w:hAnsi="Palatino Linotype" w:cs="Palatino Linotype"/>
          <w:b/>
          <w:i/>
        </w:rPr>
        <w:t xml:space="preserve">de la primera quincena de enero a la segunda quincena de abril de dos mil veintidós. </w:t>
      </w:r>
    </w:p>
    <w:p w:rsidR="00D10F23" w:rsidRDefault="00D10F23">
      <w:pPr>
        <w:spacing w:after="0" w:line="276" w:lineRule="auto"/>
        <w:ind w:left="567" w:right="990"/>
        <w:jc w:val="both"/>
        <w:rPr>
          <w:rFonts w:ascii="Palatino Linotype" w:eastAsia="Palatino Linotype" w:hAnsi="Palatino Linotype" w:cs="Palatino Linotype"/>
          <w:b/>
          <w:i/>
        </w:rPr>
      </w:pPr>
    </w:p>
    <w:p w:rsidR="00D10F23" w:rsidRDefault="0007438F">
      <w:pPr>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Además, deberá proporcionar el Acuerdo de Clasificación donde el Comité de Transparencia, confirme la eliminación de los datos o información clasificada, en la versión p</w:t>
      </w:r>
      <w:r>
        <w:rPr>
          <w:rFonts w:ascii="Palatino Linotype" w:eastAsia="Palatino Linotype" w:hAnsi="Palatino Linotype" w:cs="Palatino Linotype"/>
          <w:i/>
        </w:rPr>
        <w:t xml:space="preserve">ública, de conformidad con los artículos 49, fracciones II y VIII, 132, fracción II y 149 de la Ley de Transparencia y Acceso a la Información Pública del Estado de México y Municipios.” (Sic) </w:t>
      </w:r>
    </w:p>
    <w:p w:rsidR="00D10F23" w:rsidRDefault="00D10F23">
      <w:pPr>
        <w:spacing w:after="0" w:line="360" w:lineRule="auto"/>
        <w:jc w:val="both"/>
        <w:rPr>
          <w:rFonts w:ascii="Palatino Linotype" w:eastAsia="Palatino Linotype" w:hAnsi="Palatino Linotype" w:cs="Palatino Linotype"/>
          <w:sz w:val="23"/>
          <w:szCs w:val="23"/>
        </w:rPr>
      </w:pPr>
    </w:p>
    <w:p w:rsidR="00D10F23" w:rsidRDefault="0007438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debe mencionarse que, toda vez que se determin</w:t>
      </w:r>
      <w:r>
        <w:rPr>
          <w:rFonts w:ascii="Palatino Linotype" w:eastAsia="Palatino Linotype" w:hAnsi="Palatino Linotype" w:cs="Palatino Linotype"/>
          <w:sz w:val="24"/>
          <w:szCs w:val="24"/>
        </w:rPr>
        <w:t xml:space="preserve">ó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una </w:t>
      </w:r>
      <w:r>
        <w:rPr>
          <w:rFonts w:ascii="Palatino Linotype" w:eastAsia="Palatino Linotype" w:hAnsi="Palatino Linotype" w:cs="Palatino Linotype"/>
          <w:b/>
          <w:sz w:val="24"/>
          <w:szCs w:val="24"/>
        </w:rPr>
        <w:t>Dirección de Seguridad Pública y Protección Ciudadana</w:t>
      </w:r>
      <w:r>
        <w:rPr>
          <w:rFonts w:ascii="Palatino Linotype" w:eastAsia="Palatino Linotype" w:hAnsi="Palatino Linotype" w:cs="Palatino Linotype"/>
          <w:sz w:val="24"/>
          <w:szCs w:val="24"/>
        </w:rPr>
        <w:t xml:space="preserve">,  por lo que </w:t>
      </w:r>
      <w:r>
        <w:rPr>
          <w:rFonts w:ascii="Palatino Linotype" w:eastAsia="Palatino Linotype" w:hAnsi="Palatino Linotype" w:cs="Palatino Linotype"/>
          <w:b/>
          <w:sz w:val="24"/>
          <w:szCs w:val="24"/>
        </w:rPr>
        <w:t>para este Instituto resulta pertinente la reserva del nombre de los elementos operativos de dicha dirección</w:t>
      </w:r>
      <w:r>
        <w:rPr>
          <w:rFonts w:ascii="Palatino Linotype" w:eastAsia="Palatino Linotype" w:hAnsi="Palatino Linotype" w:cs="Palatino Linotype"/>
          <w:sz w:val="24"/>
          <w:szCs w:val="24"/>
        </w:rPr>
        <w:t>, para lo que es necesario el desarrollo d</w:t>
      </w:r>
      <w:r>
        <w:rPr>
          <w:rFonts w:ascii="Palatino Linotype" w:eastAsia="Palatino Linotype" w:hAnsi="Palatino Linotype" w:cs="Palatino Linotype"/>
          <w:sz w:val="24"/>
          <w:szCs w:val="24"/>
        </w:rPr>
        <w:t xml:space="preserve">e la prueba de daño,  </w:t>
      </w:r>
      <w:r>
        <w:rPr>
          <w:rFonts w:ascii="Palatino Linotype" w:eastAsia="Palatino Linotype" w:hAnsi="Palatino Linotype" w:cs="Palatino Linotype"/>
          <w:b/>
          <w:sz w:val="24"/>
          <w:szCs w:val="24"/>
        </w:rPr>
        <w:t xml:space="preserve">debiendo valorar el daño que causaría la divulgación de la información, con la finalidad de sustentar la reserva y arribar a una determinación debidamente fundada y motivada que tenga como consecuencia la clasificación de </w:t>
      </w:r>
      <w:r>
        <w:rPr>
          <w:rFonts w:ascii="Palatino Linotype" w:eastAsia="Palatino Linotype" w:hAnsi="Palatino Linotype" w:cs="Palatino Linotype"/>
          <w:b/>
          <w:sz w:val="24"/>
          <w:szCs w:val="24"/>
        </w:rPr>
        <w:lastRenderedPageBreak/>
        <w:t>la información, además de analizar</w:t>
      </w:r>
      <w:r>
        <w:rPr>
          <w:rFonts w:ascii="Palatino Linotype" w:eastAsia="Palatino Linotype" w:hAnsi="Palatino Linotype" w:cs="Palatino Linotype"/>
          <w:b/>
          <w:sz w:val="24"/>
          <w:szCs w:val="24"/>
        </w:rPr>
        <w:t xml:space="preserve"> si el periodo de clasificación resulta acorde con la naturaleza de la información requerida</w:t>
      </w:r>
      <w:r>
        <w:rPr>
          <w:rFonts w:ascii="Palatino Linotype" w:eastAsia="Palatino Linotype" w:hAnsi="Palatino Linotype" w:cs="Palatino Linotype"/>
          <w:sz w:val="24"/>
          <w:szCs w:val="24"/>
        </w:rPr>
        <w:t xml:space="preserve">. </w:t>
      </w:r>
    </w:p>
    <w:p w:rsidR="00D10F23" w:rsidRDefault="0007438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otras palabras, la determinación que confirme una clasificación debe contener un análisis exhaustivo de los elementos de forma y fondo que establecen los artí</w:t>
      </w:r>
      <w:r>
        <w:rPr>
          <w:rFonts w:ascii="Palatino Linotype" w:eastAsia="Palatino Linotype" w:hAnsi="Palatino Linotype" w:cs="Palatino Linotype"/>
          <w:sz w:val="24"/>
          <w:szCs w:val="24"/>
        </w:rPr>
        <w:t xml:space="preserve">culos 122, 125, 128, 129, 130, 131, 132 fracción II, 134 de la Ley de Transparencia y Acceso a la Información Pública del Estado de México y Municipios y los Lineamientos Generales en Materia de Clasificación y Desclasificación de la Información, así como </w:t>
      </w:r>
      <w:r>
        <w:rPr>
          <w:rFonts w:ascii="Palatino Linotype" w:eastAsia="Palatino Linotype" w:hAnsi="Palatino Linotype" w:cs="Palatino Linotype"/>
          <w:sz w:val="24"/>
          <w:szCs w:val="24"/>
        </w:rPr>
        <w:t xml:space="preserve">para la elaboración de Versiones Públicas. </w:t>
      </w:r>
    </w:p>
    <w:p w:rsidR="00D10F23" w:rsidRDefault="0007438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w:t>
      </w:r>
      <w:r>
        <w:rPr>
          <w:rFonts w:ascii="Palatino Linotype" w:eastAsia="Palatino Linotype" w:hAnsi="Palatino Linotype" w:cs="Palatino Linotype"/>
          <w:b/>
          <w:sz w:val="24"/>
          <w:szCs w:val="24"/>
        </w:rPr>
        <w:t xml:space="preserve"> la información</w:t>
      </w:r>
      <w:r>
        <w:rPr>
          <w:rFonts w:ascii="Palatino Linotype" w:eastAsia="Palatino Linotype" w:hAnsi="Palatino Linotype" w:cs="Palatino Linotype"/>
          <w:sz w:val="24"/>
          <w:szCs w:val="24"/>
        </w:rPr>
        <w:t>; a través de la adecuada fundamentación y motivación de la clasificación de información, que incluya la prueba de daño a fin de establecer el perjuicio que podría provocar la entrega de la información, toda vez que los artículos 128 y 129 d</w:t>
      </w:r>
      <w:r>
        <w:rPr>
          <w:rFonts w:ascii="Palatino Linotype" w:eastAsia="Palatino Linotype" w:hAnsi="Palatino Linotype" w:cs="Palatino Linotype"/>
          <w:sz w:val="24"/>
          <w:szCs w:val="24"/>
        </w:rPr>
        <w:t>e la Ley de la Materia, disponen que para que los sujetos obligados puedan invocar una causa se deberá fundar y motivar, a través de la aplicación de la prueba de daño, en la cual se justifique que la divulgación de la información representa un riesgo real</w:t>
      </w:r>
      <w:r>
        <w:rPr>
          <w:rFonts w:ascii="Palatino Linotype" w:eastAsia="Palatino Linotype" w:hAnsi="Palatino Linotype" w:cs="Palatino Linotype"/>
          <w:sz w:val="24"/>
          <w:szCs w:val="24"/>
        </w:rPr>
        <w:t xml:space="preserve"> demostrable e identificable al superar el interés público de que se difunda atendiendo al principio de proporcionalidad y el medio menos restrictivo disponible para evitar perjuicio. </w:t>
      </w:r>
    </w:p>
    <w:p w:rsidR="00D10F23" w:rsidRDefault="0007438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los Lineamientos Generales en Materia de Clasificación y D</w:t>
      </w:r>
      <w:r>
        <w:rPr>
          <w:rFonts w:ascii="Palatino Linotype" w:eastAsia="Palatino Linotype" w:hAnsi="Palatino Linotype" w:cs="Palatino Linotype"/>
          <w:sz w:val="24"/>
          <w:szCs w:val="24"/>
        </w:rPr>
        <w:t>esclasificación de la Información, así como para la elaboración de versiones públicas, establecen en su numeral Trigésimo Tercero que, para la aplicación de la prueba de daño los sujetos obligados atenderán lo siguiente:</w:t>
      </w:r>
    </w:p>
    <w:p w:rsidR="00D10F23" w:rsidRDefault="0007438F">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rsidR="00D10F23" w:rsidRDefault="0007438F">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w:t>
      </w:r>
      <w:r>
        <w:rPr>
          <w:rFonts w:ascii="Palatino Linotype" w:eastAsia="Palatino Linotype" w:hAnsi="Palatino Linotype" w:cs="Palatino Linotype"/>
          <w:i/>
          <w:color w:val="000000"/>
        </w:rPr>
        <w:t>ey General, vinculándola con el Lineamiento especifico del presente ordenamiento y, cuando corresponda, el supuesto normativo que expresamente le otorga el carácter de información reservada;</w:t>
      </w:r>
    </w:p>
    <w:p w:rsidR="00D10F23" w:rsidRDefault="0007438F">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 Mediante la ponderación de los intereses en conflicto, los su</w:t>
      </w:r>
      <w:r>
        <w:rPr>
          <w:rFonts w:ascii="Palatino Linotype" w:eastAsia="Palatino Linotype" w:hAnsi="Palatino Linotype" w:cs="Palatino Linotype"/>
          <w:i/>
          <w:color w:val="000000"/>
        </w:rPr>
        <w:t xml:space="preserve">jetos obligados </w:t>
      </w:r>
      <w:r>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rsidR="00D10F23" w:rsidRDefault="0007438F">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w:t>
      </w:r>
      <w:r>
        <w:rPr>
          <w:rFonts w:ascii="Palatino Linotype" w:eastAsia="Palatino Linotype" w:hAnsi="Palatino Linotype" w:cs="Palatino Linotype"/>
          <w:i/>
          <w:color w:val="000000"/>
        </w:rPr>
        <w:t xml:space="preserve"> entre la difusión de la información y la afectación del interés jurídico tutelado de que se trate;</w:t>
      </w:r>
    </w:p>
    <w:p w:rsidR="00D10F23" w:rsidRDefault="0007438F">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w:t>
      </w:r>
      <w:r>
        <w:rPr>
          <w:rFonts w:ascii="Palatino Linotype" w:eastAsia="Palatino Linotype" w:hAnsi="Palatino Linotype" w:cs="Palatino Linotype"/>
          <w:i/>
          <w:color w:val="000000"/>
        </w:rPr>
        <w:t>ble e identificable;</w:t>
      </w:r>
    </w:p>
    <w:p w:rsidR="00D10F23" w:rsidRDefault="0007438F">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circunstancias de modo, tiempo y lugar del daño</w:t>
      </w:r>
      <w:r>
        <w:rPr>
          <w:rFonts w:ascii="Palatino Linotype" w:eastAsia="Palatino Linotype" w:hAnsi="Palatino Linotype" w:cs="Palatino Linotype"/>
          <w:i/>
          <w:color w:val="000000"/>
        </w:rPr>
        <w:t>, y</w:t>
      </w:r>
    </w:p>
    <w:p w:rsidR="00D10F23" w:rsidRDefault="0007438F">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Deberán elegir la opción de excepción al acceso a la información que menos lo restrinja, la cual se</w:t>
      </w:r>
      <w:r>
        <w:rPr>
          <w:rFonts w:ascii="Palatino Linotype" w:eastAsia="Palatino Linotype" w:hAnsi="Palatino Linotype" w:cs="Palatino Linotype"/>
          <w:i/>
          <w:color w:val="000000"/>
        </w:rPr>
        <w:t>rá adecuada y proporcional para la protección del interés público, y deberá inte1ferir lo menos posible en el ejercicio efectivo del derecho de acceso a la información."(Sic)</w:t>
      </w:r>
    </w:p>
    <w:p w:rsidR="00D10F23" w:rsidRDefault="00D10F23">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rsidR="00D10F23" w:rsidRDefault="0007438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w:t>
      </w:r>
      <w:r>
        <w:rPr>
          <w:rFonts w:ascii="Palatino Linotype" w:eastAsia="Palatino Linotype" w:hAnsi="Palatino Linotype" w:cs="Palatino Linotype"/>
          <w:b/>
          <w:sz w:val="24"/>
          <w:szCs w:val="24"/>
        </w:rPr>
        <w:t>ebe efectuar el estudio de clasificación a la luz de los elementos que exigen los Lineamientos generales en materia de clasificación y desclasificación de la información, así como para la elaboración de versiones públicas, y efectuar un análisis exhaustivo</w:t>
      </w:r>
      <w:r>
        <w:rPr>
          <w:rFonts w:ascii="Palatino Linotype" w:eastAsia="Palatino Linotype" w:hAnsi="Palatino Linotype" w:cs="Palatino Linotype"/>
          <w:b/>
          <w:sz w:val="24"/>
          <w:szCs w:val="24"/>
        </w:rPr>
        <w:t xml:space="preserve">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rsidR="00D10F23" w:rsidRDefault="0007438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Bajo este contexto, se analizó la resolución del re</w:t>
      </w:r>
      <w:r>
        <w:rPr>
          <w:rFonts w:ascii="Palatino Linotype" w:eastAsia="Palatino Linotype" w:hAnsi="Palatino Linotype" w:cs="Palatino Linotype"/>
          <w:sz w:val="24"/>
          <w:szCs w:val="24"/>
        </w:rPr>
        <w:t xml:space="preserve">curso de revisión </w:t>
      </w:r>
      <w:r>
        <w:rPr>
          <w:rFonts w:ascii="Palatino Linotype" w:eastAsia="Palatino Linotype" w:hAnsi="Palatino Linotype" w:cs="Palatino Linotype"/>
          <w:b/>
          <w:sz w:val="24"/>
          <w:szCs w:val="24"/>
        </w:rPr>
        <w:t>11321/INFOEM/IP/RR/2022 Y ACUMULADOS</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w:t>
      </w:r>
      <w:r>
        <w:rPr>
          <w:rFonts w:ascii="Palatino Linotype" w:eastAsia="Palatino Linotype" w:hAnsi="Palatino Linotype" w:cs="Palatino Linotype"/>
          <w:b/>
          <w:sz w:val="24"/>
          <w:szCs w:val="24"/>
        </w:rPr>
        <w:t>s Obligados</w:t>
      </w:r>
      <w:r>
        <w:rPr>
          <w:rFonts w:ascii="Palatino Linotype" w:eastAsia="Palatino Linotype" w:hAnsi="Palatino Linotype" w:cs="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w:t>
      </w:r>
      <w:r>
        <w:rPr>
          <w:rFonts w:ascii="Palatino Linotype" w:eastAsia="Palatino Linotype" w:hAnsi="Palatino Linotype" w:cs="Palatino Linotype"/>
          <w:sz w:val="24"/>
          <w:szCs w:val="24"/>
        </w:rPr>
        <w:t>ateria en su artículo 3 fracción XXXII, como:</w:t>
      </w:r>
    </w:p>
    <w:p w:rsidR="00D10F23" w:rsidRDefault="0007438F">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“XXXIII. Prueba de Daño: </w:t>
      </w:r>
      <w:r>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consiguiente debe clasificarse como reservada…” (Sic)</w:t>
      </w:r>
    </w:p>
    <w:p w:rsidR="00D10F23" w:rsidRDefault="00D10F23">
      <w:pPr>
        <w:jc w:val="both"/>
        <w:rPr>
          <w:rFonts w:ascii="Palatino Linotype" w:eastAsia="Palatino Linotype" w:hAnsi="Palatino Linotype" w:cs="Palatino Linotype"/>
        </w:rPr>
      </w:pPr>
    </w:p>
    <w:p w:rsidR="00D10F23" w:rsidRDefault="0007438F">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es obligación de los Sujeto Obligado</w:t>
      </w:r>
      <w:r>
        <w:rPr>
          <w:rFonts w:ascii="Palatino Linotype" w:eastAsia="Palatino Linotype" w:hAnsi="Palatino Linotype" w:cs="Palatino Linotype"/>
          <w:b/>
          <w:sz w:val="24"/>
          <w:szCs w:val="24"/>
        </w:rPr>
        <w:t>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w:t>
      </w:r>
      <w:r>
        <w:rPr>
          <w:rFonts w:ascii="Palatino Linotype" w:eastAsia="Palatino Linotype" w:hAnsi="Palatino Linotype" w:cs="Palatino Linotype"/>
          <w:sz w:val="24"/>
          <w:szCs w:val="24"/>
        </w:rPr>
        <w:t>ia, son responsables de aplicar la prueba de daño para demostrar que la divulgación de la información lesiona interés jurídicamente protegido por la Ley, y que el menoscabo o daño que puede producirse con la publicidad de la información es mayor que el int</w:t>
      </w:r>
      <w:r>
        <w:rPr>
          <w:rFonts w:ascii="Palatino Linotype" w:eastAsia="Palatino Linotype" w:hAnsi="Palatino Linotype" w:cs="Palatino Linotype"/>
          <w:sz w:val="24"/>
          <w:szCs w:val="24"/>
        </w:rPr>
        <w:t>erés de conocerla.</w:t>
      </w:r>
    </w:p>
    <w:p w:rsidR="00D10F23" w:rsidRDefault="0007438F">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los sujetos obligados expongan las razones, motivos o circunstancias especiales que los lleven a concluir que la información adquiere el carácter de reservada, y se ajusta a los supuestos prev</w:t>
      </w:r>
      <w:r>
        <w:rPr>
          <w:rFonts w:ascii="Palatino Linotype" w:eastAsia="Palatino Linotype" w:hAnsi="Palatino Linotype" w:cs="Palatino Linotype"/>
          <w:b/>
          <w:sz w:val="24"/>
          <w:szCs w:val="24"/>
        </w:rPr>
        <w:t xml:space="preserve">istos en la normatividad como fundamento. </w:t>
      </w:r>
    </w:p>
    <w:p w:rsidR="00D10F23" w:rsidRDefault="0007438F">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en opinión de la Suscrita, y en términos de lo dispuesto por la normatividad en la materia, son los Sujetos Obligados, deben aportar los elementos para desarrollar la prueba de daño necesaria y suficiente, a fin de garantizar la reserva de info</w:t>
      </w:r>
      <w:r>
        <w:rPr>
          <w:rFonts w:ascii="Palatino Linotype" w:eastAsia="Palatino Linotype" w:hAnsi="Palatino Linotype" w:cs="Palatino Linotype"/>
          <w:sz w:val="24"/>
          <w:szCs w:val="24"/>
        </w:rPr>
        <w:t xml:space="preserve">rmación y la adecuada temporalidad de esta, aportando elementos necesarios para su clasificación y favoreciendo, en su caso, la entrega de documentos mediante la versión pública. </w:t>
      </w:r>
    </w:p>
    <w:p w:rsidR="00D10F23" w:rsidRDefault="00BD0F50">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25399</wp:posOffset>
                </wp:positionH>
                <wp:positionV relativeFrom="paragraph">
                  <wp:posOffset>547370</wp:posOffset>
                </wp:positionV>
                <wp:extent cx="5476875" cy="26479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76875" cy="264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C7C70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43.1pt" to="433.25pt,2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" strokecolor="black [3200]" strokeweight=".5pt">
                <v:stroke joinstyle="miter"/>
              </v:line>
            </w:pict>
          </mc:Fallback>
        </mc:AlternateContent>
      </w:r>
      <w:r w:rsidR="0007438F">
        <w:rPr>
          <w:rFonts w:ascii="Palatino Linotype" w:eastAsia="Palatino Linotype" w:hAnsi="Palatino Linotype" w:cs="Palatino Linotype"/>
          <w:sz w:val="24"/>
          <w:szCs w:val="24"/>
        </w:rPr>
        <w:t>Lo expuesto, constituyen las razones y fundamentos que me llevan a emitir la</w:t>
      </w:r>
      <w:r w:rsidR="0007438F">
        <w:rPr>
          <w:rFonts w:ascii="Palatino Linotype" w:eastAsia="Palatino Linotype" w:hAnsi="Palatino Linotype" w:cs="Palatino Linotype"/>
          <w:sz w:val="24"/>
          <w:szCs w:val="24"/>
        </w:rPr>
        <w:t xml:space="preserve"> opinión particular que se ha expresado. </w:t>
      </w:r>
    </w:p>
    <w:p w:rsidR="00D10F23" w:rsidRDefault="00D10F23">
      <w:pPr>
        <w:spacing w:before="240" w:after="240" w:line="360" w:lineRule="auto"/>
        <w:jc w:val="both"/>
        <w:rPr>
          <w:rFonts w:ascii="Palatino Linotype" w:eastAsia="Palatino Linotype" w:hAnsi="Palatino Linotype" w:cs="Palatino Linotype"/>
          <w:sz w:val="23"/>
          <w:szCs w:val="23"/>
        </w:rPr>
        <w:sectPr w:rsidR="00D10F23">
          <w:headerReference w:type="even" r:id="rId8"/>
          <w:headerReference w:type="default" r:id="rId9"/>
          <w:footerReference w:type="default" r:id="rId10"/>
          <w:headerReference w:type="first" r:id="rId11"/>
          <w:pgSz w:w="12240" w:h="15840"/>
          <w:pgMar w:top="1983" w:right="1327" w:bottom="2836" w:left="1985" w:header="709" w:footer="586" w:gutter="0"/>
          <w:pgNumType w:start="1"/>
          <w:cols w:space="720"/>
        </w:sectPr>
      </w:pPr>
    </w:p>
    <w:p w:rsidR="00D10F23" w:rsidRDefault="00D10F23">
      <w:pPr>
        <w:spacing w:before="240" w:after="240" w:line="360" w:lineRule="auto"/>
        <w:jc w:val="both"/>
        <w:rPr>
          <w:rFonts w:ascii="Palatino Linotype" w:eastAsia="Palatino Linotype" w:hAnsi="Palatino Linotype" w:cs="Palatino Linotype"/>
          <w:sz w:val="23"/>
          <w:szCs w:val="23"/>
        </w:rPr>
      </w:pPr>
    </w:p>
    <w:p w:rsidR="00D10F23" w:rsidRDefault="00D10F23">
      <w:pPr>
        <w:spacing w:before="240" w:after="240" w:line="360" w:lineRule="auto"/>
        <w:jc w:val="center"/>
        <w:rPr>
          <w:rFonts w:ascii="Palatino Linotype" w:eastAsia="Palatino Linotype" w:hAnsi="Palatino Linotype" w:cs="Palatino Linotype"/>
          <w:b/>
          <w:sz w:val="23"/>
          <w:szCs w:val="23"/>
        </w:rPr>
      </w:pPr>
    </w:p>
    <w:p w:rsidR="00D10F23" w:rsidRDefault="00D10F23">
      <w:pPr>
        <w:spacing w:after="0" w:line="240" w:lineRule="auto"/>
        <w:jc w:val="center"/>
        <w:rPr>
          <w:rFonts w:ascii="Palatino Linotype" w:eastAsia="Palatino Linotype" w:hAnsi="Palatino Linotype" w:cs="Palatino Linotype"/>
          <w:sz w:val="23"/>
          <w:szCs w:val="23"/>
        </w:rPr>
      </w:pPr>
    </w:p>
    <w:p w:rsidR="00D10F23" w:rsidRDefault="00D10F23">
      <w:pPr>
        <w:spacing w:before="240" w:after="240" w:line="360" w:lineRule="auto"/>
        <w:rPr>
          <w:rFonts w:ascii="Palatino Linotype" w:eastAsia="Palatino Linotype" w:hAnsi="Palatino Linotype" w:cs="Palatino Linotype"/>
          <w:sz w:val="24"/>
          <w:szCs w:val="24"/>
        </w:rPr>
      </w:pPr>
    </w:p>
    <w:p w:rsidR="00D10F23" w:rsidRDefault="00D10F23">
      <w:pPr>
        <w:rPr>
          <w:rFonts w:ascii="Palatino Linotype" w:eastAsia="Palatino Linotype" w:hAnsi="Palatino Linotype" w:cs="Palatino Linotype"/>
        </w:rPr>
      </w:pPr>
    </w:p>
    <w:p w:rsidR="00D10F23" w:rsidRDefault="00D10F23">
      <w:pPr>
        <w:rPr>
          <w:rFonts w:ascii="Palatino Linotype" w:eastAsia="Palatino Linotype" w:hAnsi="Palatino Linotype" w:cs="Palatino Linotype"/>
        </w:rPr>
      </w:pPr>
    </w:p>
    <w:p w:rsidR="00D10F23" w:rsidRDefault="00D10F23">
      <w:pPr>
        <w:rPr>
          <w:rFonts w:ascii="Palatino Linotype" w:eastAsia="Palatino Linotype" w:hAnsi="Palatino Linotype" w:cs="Palatino Linotype"/>
        </w:rPr>
      </w:pPr>
    </w:p>
    <w:sectPr w:rsidR="00D10F23">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7438F">
      <w:pPr>
        <w:spacing w:after="0" w:line="240" w:lineRule="auto"/>
      </w:pPr>
      <w:r>
        <w:separator/>
      </w:r>
    </w:p>
  </w:endnote>
  <w:endnote w:type="continuationSeparator" w:id="0">
    <w:p w:rsidR="00000000" w:rsidRDefault="0007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23" w:rsidRDefault="000743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BD0F50">
      <w:rPr>
        <w:rFonts w:ascii="Arial" w:eastAsia="Arial" w:hAnsi="Arial" w:cs="Arial"/>
        <w:b/>
        <w:color w:val="000000"/>
        <w:sz w:val="20"/>
        <w:szCs w:val="20"/>
      </w:rPr>
      <w:fldChar w:fldCharType="separate"/>
    </w:r>
    <w:r>
      <w:rPr>
        <w:rFonts w:ascii="Arial" w:eastAsia="Arial" w:hAnsi="Arial" w:cs="Arial"/>
        <w:b/>
        <w:noProof/>
        <w:color w:val="000000"/>
        <w:sz w:val="20"/>
        <w:szCs w:val="20"/>
      </w:rPr>
      <w:t>10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BD0F50">
      <w:rPr>
        <w:rFonts w:ascii="Arial" w:eastAsia="Arial" w:hAnsi="Arial" w:cs="Arial"/>
        <w:b/>
        <w:color w:val="000000"/>
        <w:sz w:val="20"/>
        <w:szCs w:val="20"/>
      </w:rPr>
      <w:fldChar w:fldCharType="separate"/>
    </w:r>
    <w:r>
      <w:rPr>
        <w:rFonts w:ascii="Arial" w:eastAsia="Arial" w:hAnsi="Arial" w:cs="Arial"/>
        <w:b/>
        <w:noProof/>
        <w:color w:val="000000"/>
        <w:sz w:val="20"/>
        <w:szCs w:val="20"/>
      </w:rPr>
      <w:t>10</w:t>
    </w:r>
    <w:r>
      <w:rPr>
        <w:rFonts w:ascii="Arial" w:eastAsia="Arial" w:hAnsi="Arial" w:cs="Arial"/>
        <w:b/>
        <w:color w:val="000000"/>
        <w:sz w:val="20"/>
        <w:szCs w:val="20"/>
      </w:rPr>
      <w:fldChar w:fldCharType="end"/>
    </w:r>
  </w:p>
  <w:p w:rsidR="00D10F23" w:rsidRDefault="00D10F2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7438F">
      <w:pPr>
        <w:spacing w:after="0" w:line="240" w:lineRule="auto"/>
      </w:pPr>
      <w:r>
        <w:separator/>
      </w:r>
    </w:p>
  </w:footnote>
  <w:footnote w:type="continuationSeparator" w:id="0">
    <w:p w:rsidR="00000000" w:rsidRDefault="0007438F">
      <w:pPr>
        <w:spacing w:after="0" w:line="240" w:lineRule="auto"/>
      </w:pPr>
      <w:r>
        <w:continuationSeparator/>
      </w:r>
    </w:p>
  </w:footnote>
  <w:footnote w:id="1">
    <w:p w:rsidR="00D10F23" w:rsidRDefault="0007438F">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D10F23" w:rsidRDefault="0007438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23" w:rsidRDefault="0007438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2" o:spid="_x0000_s2049" type="#_x0000_m1026" style="position:absolute;margin-left:0;margin-top:0;width:518.25pt;height:111.05pt;rotation:315;z-index:-251657216;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r>
      <w:rPr>
        <w:rFonts w:ascii="Times New Roman" w:eastAsia="Times New Roman" w:hAnsi="Times New Roman" w:cs="Times New Roman"/>
        <w:noProof/>
        <w:color w:val="000000"/>
        <w:sz w:val="24"/>
        <w:szCs w:val="24"/>
      </w:rPr>
      <mc:AlternateContent>
        <mc:Choice Requires="wpg">
          <w:drawing>
            <wp:anchor distT="0" distB="0" distL="0" distR="0" simplePos="0" relativeHeight="251657216" behindDoc="1" locked="0" layoutInCell="1" hidden="0" allowOverlap="1">
              <wp:simplePos x="0" y="0"/>
              <wp:positionH relativeFrom="margin">
                <wp:align>center</wp:align>
              </wp:positionH>
              <wp:positionV relativeFrom="margin">
                <wp:align>center</wp:align>
              </wp:positionV>
              <wp:extent cx="5301943" cy="5301943"/>
              <wp:effectExtent l="0" t="0" r="0" b="0"/>
              <wp:wrapNone/>
              <wp:docPr id="3" name=""/>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wps:spPr>
                    <wps:txbx>
                      <w:txbxContent>
                        <w:p w:rsidR="00D10F23" w:rsidRDefault="0007438F">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301943" cy="5301943"/>
              <wp:effectExtent b="0" l="0" r="0" t="0"/>
              <wp:wrapNone/>
              <wp:docPr id="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01943" cy="5301943"/>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23" w:rsidRDefault="0007438F">
    <w:pPr>
      <w:pBdr>
        <w:top w:val="nil"/>
        <w:left w:val="nil"/>
        <w:bottom w:val="nil"/>
        <w:right w:val="nil"/>
        <w:between w:val="nil"/>
      </w:pBdr>
      <w:tabs>
        <w:tab w:val="center" w:pos="4419"/>
        <w:tab w:val="right" w:pos="8838"/>
      </w:tabs>
      <w:spacing w:after="0" w:line="240" w:lineRule="auto"/>
      <w:ind w:left="1843"/>
      <w:jc w:val="right"/>
      <w:rPr>
        <w:rFonts w:ascii="Arial" w:eastAsia="Arial" w:hAnsi="Arial" w:cs="Arial"/>
        <w:color w:val="000000"/>
        <w:sz w:val="20"/>
        <w:szCs w:val="20"/>
      </w:rPr>
    </w:pPr>
    <w:r>
      <w:rPr>
        <w:noProof/>
      </w:rPr>
      <w:drawing>
        <wp:anchor distT="0" distB="0" distL="0" distR="0" simplePos="0" relativeHeight="251656192" behindDoc="1" locked="0" layoutInCell="1" hidden="0" allowOverlap="1">
          <wp:simplePos x="0" y="0"/>
          <wp:positionH relativeFrom="column">
            <wp:posOffset>-1114013</wp:posOffset>
          </wp:positionH>
          <wp:positionV relativeFrom="paragraph">
            <wp:posOffset>-449579</wp:posOffset>
          </wp:positionV>
          <wp:extent cx="7510628" cy="988377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D10F23" w:rsidRDefault="0007438F" w:rsidP="00BD0F50">
    <w:pPr>
      <w:pBdr>
        <w:top w:val="nil"/>
        <w:left w:val="nil"/>
        <w:bottom w:val="nil"/>
        <w:right w:val="nil"/>
        <w:between w:val="nil"/>
      </w:pBdr>
      <w:tabs>
        <w:tab w:val="center" w:pos="4419"/>
        <w:tab w:val="right" w:pos="8838"/>
        <w:tab w:val="left" w:pos="5685"/>
        <w:tab w:val="right" w:pos="8928"/>
      </w:tabs>
      <w:spacing w:after="0" w:line="240" w:lineRule="auto"/>
      <w:ind w:left="4419"/>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sidR="00BD0F50">
      <w:rPr>
        <w:rFonts w:ascii="Palatino Linotype" w:eastAsia="Palatino Linotype" w:hAnsi="Palatino Linotype" w:cs="Palatino Linotype"/>
        <w:b/>
        <w:color w:val="000000"/>
        <w:sz w:val="20"/>
        <w:szCs w:val="20"/>
      </w:rPr>
      <w:t xml:space="preserve">  </w:t>
    </w:r>
    <w:r>
      <w:rPr>
        <w:rFonts w:ascii="Palatino Linotype" w:eastAsia="Palatino Linotype" w:hAnsi="Palatino Linotype" w:cs="Palatino Linotype"/>
        <w:b/>
        <w:color w:val="000000"/>
      </w:rPr>
      <w:t xml:space="preserve">OPINIÓN PARTICULAR </w:t>
    </w:r>
  </w:p>
  <w:p w:rsidR="00D10F23" w:rsidRDefault="0007438F">
    <w:pPr>
      <w:pBdr>
        <w:top w:val="nil"/>
        <w:left w:val="nil"/>
        <w:bottom w:val="nil"/>
        <w:right w:val="nil"/>
        <w:between w:val="nil"/>
      </w:pBdr>
      <w:tabs>
        <w:tab w:val="center" w:pos="4419"/>
        <w:tab w:val="right" w:pos="8838"/>
      </w:tabs>
      <w:spacing w:after="0" w:line="240" w:lineRule="auto"/>
      <w:ind w:left="1134"/>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11321/INFOEM/IP/RR/2022 </w:t>
    </w:r>
  </w:p>
  <w:p w:rsidR="00D10F23" w:rsidRDefault="0007438F">
    <w:pPr>
      <w:pBdr>
        <w:top w:val="nil"/>
        <w:left w:val="nil"/>
        <w:bottom w:val="nil"/>
        <w:right w:val="nil"/>
        <w:between w:val="nil"/>
      </w:pBdr>
      <w:tabs>
        <w:tab w:val="center" w:pos="4419"/>
        <w:tab w:val="right" w:pos="8838"/>
      </w:tabs>
      <w:spacing w:after="0" w:line="240" w:lineRule="auto"/>
      <w:ind w:left="1134"/>
      <w:jc w:val="right"/>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rPr>
      <w:t>Y ACUMULADOS</w:t>
    </w:r>
  </w:p>
  <w:p w:rsidR="00D10F23" w:rsidRDefault="00D10F23">
    <w:pPr>
      <w:pBdr>
        <w:top w:val="nil"/>
        <w:left w:val="nil"/>
        <w:bottom w:val="nil"/>
        <w:right w:val="nil"/>
        <w:between w:val="nil"/>
      </w:pBdr>
      <w:tabs>
        <w:tab w:val="center" w:pos="4419"/>
        <w:tab w:val="right" w:pos="8838"/>
      </w:tabs>
      <w:spacing w:after="0" w:line="240" w:lineRule="auto"/>
      <w:jc w:val="cente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23" w:rsidRDefault="0007438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m102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v:shape id="PowerPlusWaterMarkObject1" o:spid="_x0000_s2050" type="#_x0000_m1026" style="position:absolute;margin-left:0;margin-top:0;width:518.25pt;height:111.05pt;rotation:315;z-index:-251658240;mso-position-horizontal:center;mso-position-horizontal-relative:margin;mso-position-vertical:center;mso-position-vertical-relative:margin" fillcolor="#c45911" stroked="f">
          <v:fill opacity=".5" angle="0"/>
          <v:textpath on="t" style="font-family:&quot;&amp;quot&quot;;font-size:1pt" fitshape="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F23" w:rsidRDefault="00D10F2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D10F23" w:rsidRDefault="00D10F2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D10F23" w:rsidRDefault="00D10F2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D10F23" w:rsidRDefault="0007438F">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p>
  <w:p w:rsidR="00D10F23" w:rsidRDefault="00D10F2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rsidR="00D10F23" w:rsidRDefault="00D10F2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66413"/>
    <w:multiLevelType w:val="multilevel"/>
    <w:tmpl w:val="E3585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FB1AA7"/>
    <w:multiLevelType w:val="multilevel"/>
    <w:tmpl w:val="4E8CB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F23"/>
    <w:rsid w:val="0007438F"/>
    <w:rsid w:val="002B07EB"/>
    <w:rsid w:val="00BD0F50"/>
    <w:rsid w:val="00C573DA"/>
    <w:rsid w:val="00D10F23"/>
    <w:rsid w:val="00EC35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2319B26-53D8-4C25-8305-13AE7CE0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OJYGq6n4WGedXgAdjKKMPuCwkQ==">AMUW2mUYahnNbHQ65n6owYXUCop29lFx2mg6hfTE3iekQ32+VQBR3dB6iPwWFktmbVyQkXsGUswzp9wl3+OGroVgRWmv1x3n0yiXknVbigzBRaD6O/iPXmYGQbZZ3crTHQLMVMqli72xSmjJC6a+aZm8mqlHFM6ZCukQwDZ4iIFojNL0GWo+5D4=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1966</Words>
  <Characters>10815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2022-10-03T19:19:00Z</cp:lastPrinted>
  <dcterms:created xsi:type="dcterms:W3CDTF">2022-10-03T19:16:00Z</dcterms:created>
  <dcterms:modified xsi:type="dcterms:W3CDTF">2022-10-03T19:20:00Z</dcterms:modified>
</cp:coreProperties>
</file>