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E3CE" w14:textId="038A2A95" w:rsidR="000B2A76" w:rsidRDefault="000B2A76" w:rsidP="00AF3372">
      <w:pPr>
        <w:spacing w:after="0" w:line="360" w:lineRule="auto"/>
        <w:jc w:val="both"/>
        <w:rPr>
          <w:rFonts w:ascii="Palatino Linotype" w:hAnsi="Palatino Linotype"/>
          <w:b/>
          <w:sz w:val="23"/>
          <w:szCs w:val="23"/>
        </w:rPr>
      </w:pPr>
      <w:r w:rsidRPr="008243FF">
        <w:rPr>
          <w:rFonts w:ascii="Palatino Linotype" w:hAnsi="Palatino Linotype"/>
          <w:b/>
          <w:sz w:val="23"/>
          <w:szCs w:val="23"/>
        </w:rPr>
        <w:t>OPINI</w:t>
      </w:r>
      <w:bookmarkStart w:id="0" w:name="_GoBack"/>
      <w:bookmarkEnd w:id="0"/>
      <w:r w:rsidRPr="008243FF">
        <w:rPr>
          <w:rFonts w:ascii="Palatino Linotype" w:hAnsi="Palatino Linotype"/>
          <w:b/>
          <w:sz w:val="23"/>
          <w:szCs w:val="23"/>
        </w:rPr>
        <w:t xml:space="preserve">ÓN PARTICULAR QUE FORMULA LA COMISIONADA GUADALUPE RAMÍREZ PEÑA, EN RELACIÓN CON LA RESOLUCIÓN DICTADA POR EL PLENO DEL INSTITUTO DE TRANSPARENCIA, ACCESO A LA INFORMACIÓN PÚBLICA Y PROTECCIÓN DE DATOS PERSONALES DEL ESTADO DE MÉXICO Y MUNICIPIOS, EN LA VIGÉSIMA </w:t>
      </w:r>
      <w:r w:rsidR="00DB1AFB">
        <w:rPr>
          <w:rFonts w:ascii="Palatino Linotype" w:hAnsi="Palatino Linotype"/>
          <w:b/>
          <w:sz w:val="23"/>
          <w:szCs w:val="23"/>
        </w:rPr>
        <w:t>NOVENA</w:t>
      </w:r>
      <w:r w:rsidR="00AF1499" w:rsidRPr="008243FF">
        <w:rPr>
          <w:rFonts w:ascii="Palatino Linotype" w:hAnsi="Palatino Linotype"/>
          <w:b/>
          <w:sz w:val="23"/>
          <w:szCs w:val="23"/>
        </w:rPr>
        <w:t xml:space="preserve"> </w:t>
      </w:r>
      <w:r w:rsidRPr="008243FF">
        <w:rPr>
          <w:rFonts w:ascii="Palatino Linotype" w:hAnsi="Palatino Linotype"/>
          <w:b/>
          <w:sz w:val="23"/>
          <w:szCs w:val="23"/>
        </w:rPr>
        <w:t xml:space="preserve">SESIÓN ORDINARIA DEL </w:t>
      </w:r>
      <w:r w:rsidR="00CB1593">
        <w:rPr>
          <w:rFonts w:ascii="Palatino Linotype" w:hAnsi="Palatino Linotype"/>
          <w:b/>
          <w:sz w:val="23"/>
          <w:szCs w:val="23"/>
        </w:rPr>
        <w:t xml:space="preserve">DIECISIETE </w:t>
      </w:r>
      <w:r w:rsidR="0034171C" w:rsidRPr="008243FF">
        <w:rPr>
          <w:rFonts w:ascii="Palatino Linotype" w:hAnsi="Palatino Linotype"/>
          <w:b/>
          <w:sz w:val="23"/>
          <w:szCs w:val="23"/>
        </w:rPr>
        <w:t>DE AGOSTO</w:t>
      </w:r>
      <w:r w:rsidRPr="008243FF">
        <w:rPr>
          <w:rFonts w:ascii="Palatino Linotype" w:hAnsi="Palatino Linotype"/>
          <w:b/>
          <w:sz w:val="23"/>
          <w:szCs w:val="23"/>
        </w:rPr>
        <w:t xml:space="preserve"> DE DOS MIL VEINTIDÓS, EN EL RECURSO DE REVISIÓN 0</w:t>
      </w:r>
      <w:r w:rsidR="00CB1593">
        <w:rPr>
          <w:rFonts w:ascii="Palatino Linotype" w:hAnsi="Palatino Linotype"/>
          <w:b/>
          <w:sz w:val="23"/>
          <w:szCs w:val="23"/>
        </w:rPr>
        <w:t>7886</w:t>
      </w:r>
      <w:r w:rsidRPr="008243FF">
        <w:rPr>
          <w:rFonts w:ascii="Palatino Linotype" w:hAnsi="Palatino Linotype"/>
          <w:b/>
          <w:sz w:val="23"/>
          <w:szCs w:val="23"/>
        </w:rPr>
        <w:t>/INFOEM/IP/RR/2022.</w:t>
      </w:r>
    </w:p>
    <w:p w14:paraId="509BF45D" w14:textId="77777777" w:rsidR="00AF3372" w:rsidRPr="008243FF" w:rsidRDefault="00AF3372" w:rsidP="00AF3372">
      <w:pPr>
        <w:spacing w:after="0" w:line="276" w:lineRule="auto"/>
        <w:jc w:val="both"/>
        <w:rPr>
          <w:rFonts w:ascii="Palatino Linotype" w:hAnsi="Palatino Linotype"/>
          <w:b/>
          <w:sz w:val="23"/>
          <w:szCs w:val="23"/>
        </w:rPr>
      </w:pPr>
    </w:p>
    <w:p w14:paraId="03EE15FB" w14:textId="6BD840D9"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El pleno del Instituto de Transparencia, Acceso a la Información Pública y Protección de Datos Personales del Estado de México y Municipios, aprobó po</w:t>
      </w:r>
      <w:r w:rsidR="003D73C0">
        <w:rPr>
          <w:rFonts w:ascii="Palatino Linotype" w:hAnsi="Palatino Linotype"/>
          <w:sz w:val="23"/>
          <w:szCs w:val="23"/>
        </w:rPr>
        <w:t xml:space="preserve">r </w:t>
      </w:r>
      <w:r w:rsidR="00AF3372">
        <w:rPr>
          <w:rFonts w:ascii="Palatino Linotype" w:hAnsi="Palatino Linotype"/>
          <w:sz w:val="23"/>
          <w:szCs w:val="23"/>
        </w:rPr>
        <w:t>mayoría</w:t>
      </w:r>
      <w:r w:rsidR="00D36CD9" w:rsidRPr="008243FF">
        <w:rPr>
          <w:rFonts w:ascii="Palatino Linotype" w:hAnsi="Palatino Linotype"/>
          <w:sz w:val="23"/>
          <w:szCs w:val="23"/>
        </w:rPr>
        <w:t xml:space="preserve"> </w:t>
      </w:r>
      <w:r w:rsidRPr="008243FF">
        <w:rPr>
          <w:rFonts w:ascii="Palatino Linotype" w:hAnsi="Palatino Linotype"/>
          <w:sz w:val="23"/>
          <w:szCs w:val="23"/>
        </w:rPr>
        <w:t xml:space="preserve">de votos, la resolución relativa al recurso de revisión </w:t>
      </w:r>
      <w:r w:rsidR="008C438F" w:rsidRPr="008243FF">
        <w:rPr>
          <w:rFonts w:ascii="Palatino Linotype" w:hAnsi="Palatino Linotype"/>
          <w:b/>
          <w:sz w:val="23"/>
          <w:szCs w:val="23"/>
        </w:rPr>
        <w:t>0</w:t>
      </w:r>
      <w:r w:rsidR="00CB1593">
        <w:rPr>
          <w:rFonts w:ascii="Palatino Linotype" w:hAnsi="Palatino Linotype"/>
          <w:b/>
          <w:sz w:val="23"/>
          <w:szCs w:val="23"/>
        </w:rPr>
        <w:t>7886</w:t>
      </w:r>
      <w:r w:rsidRPr="008243FF">
        <w:rPr>
          <w:rFonts w:ascii="Palatino Linotype" w:hAnsi="Palatino Linotype"/>
          <w:b/>
          <w:sz w:val="23"/>
          <w:szCs w:val="23"/>
        </w:rPr>
        <w:t>/INFOEM/IP/RR/2022,</w:t>
      </w:r>
      <w:r w:rsidRPr="008243FF">
        <w:rPr>
          <w:rFonts w:ascii="Palatino Linotype" w:hAnsi="Palatino Linotype"/>
          <w:sz w:val="23"/>
          <w:szCs w:val="23"/>
        </w:rPr>
        <w:t xml:space="preserve"> presentada por el Comisionado Luis Gustavo Parra Noriega, respecto de la cual, la suscrita formula </w:t>
      </w:r>
      <w:r w:rsidRPr="008243FF">
        <w:rPr>
          <w:rFonts w:ascii="Palatino Linotype" w:hAnsi="Palatino Linotype"/>
          <w:b/>
          <w:sz w:val="23"/>
          <w:szCs w:val="23"/>
        </w:rPr>
        <w:t>OPINIÓN  PARTICULAR</w:t>
      </w:r>
      <w:r w:rsidRPr="008243FF">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14:paraId="6AEFBAE5" w14:textId="77777777" w:rsidR="00AF3372" w:rsidRPr="008243FF" w:rsidRDefault="00AF3372" w:rsidP="00AF3372">
      <w:pPr>
        <w:spacing w:after="0" w:line="276" w:lineRule="auto"/>
        <w:jc w:val="both"/>
        <w:rPr>
          <w:rFonts w:ascii="Palatino Linotype" w:hAnsi="Palatino Linotype"/>
          <w:sz w:val="23"/>
          <w:szCs w:val="23"/>
        </w:rPr>
      </w:pPr>
    </w:p>
    <w:p w14:paraId="5FCDDDE0" w14:textId="09E1C414"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14:paraId="352BE17F" w14:textId="77777777" w:rsidR="00AF3372" w:rsidRPr="008243FF" w:rsidRDefault="00AF3372" w:rsidP="00AF3372">
      <w:pPr>
        <w:spacing w:after="0" w:line="360" w:lineRule="auto"/>
        <w:jc w:val="both"/>
        <w:rPr>
          <w:rFonts w:ascii="Palatino Linotype" w:hAnsi="Palatino Linotype"/>
          <w:sz w:val="23"/>
          <w:szCs w:val="23"/>
        </w:rPr>
      </w:pPr>
    </w:p>
    <w:p w14:paraId="77C5D435" w14:textId="3F5B5848" w:rsidR="008E58A8"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En el caso concreto el hoy Recurrente requirió al </w:t>
      </w:r>
      <w:bookmarkStart w:id="1" w:name="_Hlk106220231"/>
      <w:r w:rsidR="00081965" w:rsidRPr="008243FF">
        <w:rPr>
          <w:rFonts w:ascii="Palatino Linotype" w:hAnsi="Palatino Linotype"/>
          <w:bCs/>
          <w:sz w:val="23"/>
          <w:szCs w:val="23"/>
        </w:rPr>
        <w:t xml:space="preserve">Ayuntamiento de </w:t>
      </w:r>
      <w:bookmarkEnd w:id="1"/>
      <w:r w:rsidR="00CB1593">
        <w:rPr>
          <w:rFonts w:ascii="Palatino Linotype" w:hAnsi="Palatino Linotype"/>
          <w:bCs/>
          <w:sz w:val="23"/>
          <w:szCs w:val="23"/>
        </w:rPr>
        <w:t>Atizapán de Zaragoza</w:t>
      </w:r>
      <w:r w:rsidR="008243FF" w:rsidRPr="008243FF">
        <w:rPr>
          <w:rFonts w:ascii="Palatino Linotype" w:hAnsi="Palatino Linotype"/>
          <w:sz w:val="23"/>
          <w:szCs w:val="23"/>
        </w:rPr>
        <w:t xml:space="preserve"> </w:t>
      </w:r>
      <w:r w:rsidRPr="008243FF">
        <w:rPr>
          <w:rFonts w:ascii="Palatino Linotype" w:hAnsi="Palatino Linotype"/>
          <w:sz w:val="23"/>
          <w:szCs w:val="23"/>
        </w:rPr>
        <w:t>que en esencia se le proporcionara</w:t>
      </w:r>
      <w:bookmarkStart w:id="2" w:name="_Hlk105611386"/>
      <w:r w:rsidR="0034171C" w:rsidRPr="008243FF">
        <w:rPr>
          <w:rFonts w:ascii="Palatino Linotype" w:hAnsi="Palatino Linotype"/>
          <w:sz w:val="23"/>
          <w:szCs w:val="23"/>
        </w:rPr>
        <w:t xml:space="preserve"> </w:t>
      </w:r>
      <w:r w:rsidR="00CB1593">
        <w:rPr>
          <w:rFonts w:ascii="Palatino Linotype" w:hAnsi="Palatino Linotype"/>
          <w:sz w:val="23"/>
          <w:szCs w:val="23"/>
        </w:rPr>
        <w:t xml:space="preserve">el número de cuadrante, cromáticas de identificación </w:t>
      </w:r>
      <w:r w:rsidR="00CB1593">
        <w:rPr>
          <w:rFonts w:ascii="Palatino Linotype" w:hAnsi="Palatino Linotype"/>
          <w:sz w:val="23"/>
          <w:szCs w:val="23"/>
        </w:rPr>
        <w:lastRenderedPageBreak/>
        <w:t xml:space="preserve">de las patrullas, nombre completo, número de servidor público y número de plaza de los oficiales de seguridad ciudadana. </w:t>
      </w:r>
    </w:p>
    <w:p w14:paraId="2E5686F1" w14:textId="77777777" w:rsidR="00CB1593" w:rsidRPr="008243FF" w:rsidRDefault="00CB1593" w:rsidP="00AF3372">
      <w:pPr>
        <w:spacing w:after="0" w:line="360" w:lineRule="auto"/>
        <w:jc w:val="both"/>
        <w:rPr>
          <w:rFonts w:ascii="Palatino Linotype" w:hAnsi="Palatino Linotype"/>
          <w:sz w:val="23"/>
          <w:szCs w:val="23"/>
        </w:rPr>
      </w:pPr>
    </w:p>
    <w:p w14:paraId="7B6ADC6D" w14:textId="211C0AB1" w:rsidR="008C438F" w:rsidRDefault="00081965" w:rsidP="00AF3372">
      <w:pPr>
        <w:spacing w:after="0" w:line="360" w:lineRule="auto"/>
        <w:jc w:val="both"/>
        <w:rPr>
          <w:rFonts w:ascii="Palatino Linotype" w:eastAsia="Calibri" w:hAnsi="Palatino Linotype" w:cs="Times New Roman"/>
          <w:color w:val="000000"/>
          <w:sz w:val="23"/>
          <w:szCs w:val="23"/>
        </w:rPr>
      </w:pPr>
      <w:r w:rsidRPr="008243FF">
        <w:rPr>
          <w:rFonts w:ascii="Palatino Linotype" w:hAnsi="Palatino Linotype"/>
          <w:sz w:val="23"/>
          <w:szCs w:val="23"/>
        </w:rPr>
        <w:t xml:space="preserve">El Sujeto Obligado </w:t>
      </w:r>
      <w:bookmarkEnd w:id="2"/>
      <w:r w:rsidR="00D07D24" w:rsidRPr="008243FF">
        <w:rPr>
          <w:rFonts w:ascii="Palatino Linotype" w:eastAsia="Calibri" w:hAnsi="Palatino Linotype" w:cs="Times New Roman"/>
          <w:color w:val="000000"/>
          <w:sz w:val="23"/>
          <w:szCs w:val="23"/>
        </w:rPr>
        <w:t>not</w:t>
      </w:r>
      <w:r w:rsidR="00FE2B32">
        <w:rPr>
          <w:rFonts w:ascii="Palatino Linotype" w:eastAsia="Calibri" w:hAnsi="Palatino Linotype" w:cs="Times New Roman"/>
          <w:color w:val="000000"/>
          <w:sz w:val="23"/>
          <w:szCs w:val="23"/>
        </w:rPr>
        <w:t xml:space="preserve">ificó </w:t>
      </w:r>
      <w:r w:rsidR="00D07D24" w:rsidRPr="008243FF">
        <w:rPr>
          <w:rFonts w:ascii="Palatino Linotype" w:eastAsia="Calibri" w:hAnsi="Palatino Linotype" w:cs="Times New Roman"/>
          <w:color w:val="000000"/>
          <w:sz w:val="23"/>
          <w:szCs w:val="23"/>
        </w:rPr>
        <w:t>a través del Sistema de Acceso a la Información Mexiquense (SAIMEX),</w:t>
      </w:r>
      <w:r w:rsidR="00FE2B32">
        <w:rPr>
          <w:rFonts w:ascii="Palatino Linotype" w:eastAsia="Calibri" w:hAnsi="Palatino Linotype" w:cs="Times New Roman"/>
          <w:color w:val="000000"/>
          <w:sz w:val="23"/>
          <w:szCs w:val="23"/>
        </w:rPr>
        <w:t xml:space="preserve"> la respuesta correspondiente, mediante oficio signado por </w:t>
      </w:r>
      <w:r w:rsidR="0034171C" w:rsidRPr="008243FF">
        <w:rPr>
          <w:rFonts w:ascii="Palatino Linotype" w:eastAsia="Calibri" w:hAnsi="Palatino Linotype" w:cs="Times New Roman"/>
          <w:color w:val="000000"/>
          <w:sz w:val="23"/>
          <w:szCs w:val="23"/>
        </w:rPr>
        <w:t>el Director de</w:t>
      </w:r>
      <w:r w:rsidR="00FE2B32">
        <w:rPr>
          <w:rFonts w:ascii="Palatino Linotype" w:eastAsia="Calibri" w:hAnsi="Palatino Linotype" w:cs="Times New Roman"/>
          <w:color w:val="000000"/>
          <w:sz w:val="23"/>
          <w:szCs w:val="23"/>
        </w:rPr>
        <w:t xml:space="preserve"> Seguridad Pública y Tránsito Municipal</w:t>
      </w:r>
      <w:r w:rsidR="006C10C7">
        <w:rPr>
          <w:rFonts w:ascii="Palatino Linotype" w:eastAsia="Calibri" w:hAnsi="Palatino Linotype" w:cs="Times New Roman"/>
          <w:color w:val="000000"/>
          <w:sz w:val="23"/>
          <w:szCs w:val="23"/>
        </w:rPr>
        <w:t xml:space="preserve"> en la que manifestó lo siguiente</w:t>
      </w:r>
      <w:r w:rsidR="008C438F" w:rsidRPr="00AF3372">
        <w:rPr>
          <w:rFonts w:ascii="Palatino Linotype" w:eastAsia="Calibri" w:hAnsi="Palatino Linotype" w:cs="Times New Roman"/>
          <w:color w:val="000000"/>
          <w:sz w:val="23"/>
          <w:szCs w:val="23"/>
        </w:rPr>
        <w:t xml:space="preserve">: </w:t>
      </w:r>
    </w:p>
    <w:p w14:paraId="4BD2EF1C" w14:textId="77777777" w:rsidR="006C10C7" w:rsidRDefault="006C10C7" w:rsidP="00AF3372">
      <w:pPr>
        <w:spacing w:after="0" w:line="360" w:lineRule="auto"/>
        <w:jc w:val="both"/>
        <w:rPr>
          <w:rFonts w:ascii="Palatino Linotype" w:eastAsia="Calibri" w:hAnsi="Palatino Linotype" w:cs="Times New Roman"/>
          <w:color w:val="000000"/>
          <w:sz w:val="23"/>
          <w:szCs w:val="23"/>
        </w:rPr>
      </w:pPr>
    </w:p>
    <w:p w14:paraId="72CE1D51"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r w:rsidRPr="006C10C7">
        <w:rPr>
          <w:rFonts w:ascii="Palatino Linotype" w:hAnsi="Palatino Linotype" w:cs="Tahoma"/>
          <w:i/>
          <w:iCs/>
        </w:rPr>
        <w:t xml:space="preserve">“… </w:t>
      </w:r>
    </w:p>
    <w:p w14:paraId="68479BEB"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r w:rsidRPr="006C10C7">
        <w:rPr>
          <w:rFonts w:ascii="Palatino Linotype" w:hAnsi="Palatino Linotype" w:cs="Tahoma"/>
          <w:i/>
          <w:iCs/>
        </w:rPr>
        <w:t>Se le denomina cuadrante número 1 (uno) al territorio geográfico de Atizapán de Zaragoza que, corresponde a la dirección circuito Plaza Esmeralda Cd. López Mateos, Atizapán de Zaragoza.</w:t>
      </w:r>
    </w:p>
    <w:p w14:paraId="1E356B01"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p>
    <w:p w14:paraId="0256B6AC"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r w:rsidRPr="006C10C7">
        <w:rPr>
          <w:rFonts w:ascii="Palatino Linotype" w:hAnsi="Palatino Linotype" w:cs="Tahoma"/>
          <w:i/>
          <w:iCs/>
        </w:rPr>
        <w:t xml:space="preserve">En cuanto a las cromáticas de identificación de las patrullas, también conocidas como números económicos, las asignadas al cuadrante 1 (uno), del sector 1 (uno), son las identificadas con la nomenclatura DSP-101 y DSP-103, asimismo le hago de su conocimiento que los encargados del Sector y turno se les denomina Alfa y bravo, respectivamente. </w:t>
      </w:r>
    </w:p>
    <w:p w14:paraId="53AA8587"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p>
    <w:p w14:paraId="4FD169DB"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r w:rsidRPr="006C10C7">
        <w:rPr>
          <w:rFonts w:ascii="Palatino Linotype" w:hAnsi="Palatino Linotype" w:cs="Tahoma"/>
          <w:i/>
          <w:iCs/>
        </w:rPr>
        <w:t xml:space="preserve">Respecto al nombre completo, número de servidor público, número de placa de los y las oficiales de seguridad ciudadana, adscritos al territorio geográfico de Atizapán de zaragoza que corresponde a la dirección 5 circuito Plaza Esmeralda Cd López Mateos, Atizapán de Zaragoza, me permito informar que, los oficiales de Seguridad Pública de Atizapán de Zaragoza, no tienen asignado un número de placa, únicamente cuentan con un número de servidor público, sin embargo, la información requerida respecto de nombre completo y </w:t>
      </w:r>
      <w:r w:rsidRPr="006C10C7">
        <w:rPr>
          <w:rFonts w:ascii="Palatino Linotype" w:hAnsi="Palatino Linotype" w:cs="Tahoma"/>
          <w:i/>
          <w:iCs/>
        </w:rPr>
        <w:lastRenderedPageBreak/>
        <w:t xml:space="preserve">número de servidor público, no puede ser divulgada, puesto que se encuentra clasificada como reservada en términos del </w:t>
      </w:r>
      <w:r w:rsidRPr="006C10C7">
        <w:rPr>
          <w:rFonts w:ascii="Palatino Linotype" w:hAnsi="Palatino Linotype" w:cs="Tahoma"/>
          <w:b/>
          <w:bCs/>
          <w:i/>
          <w:iCs/>
        </w:rPr>
        <w:t xml:space="preserve">Acuerdo número CIR/V/01/11/05/2022 </w:t>
      </w:r>
      <w:r w:rsidRPr="006C10C7">
        <w:rPr>
          <w:rFonts w:ascii="Palatino Linotype" w:hAnsi="Palatino Linotype" w:cs="Tahoma"/>
          <w:i/>
          <w:iCs/>
        </w:rPr>
        <w:t>emitido por el Comité de Transparencia del H. Ayuntamiento de Atizapán de Zaragoza.</w:t>
      </w:r>
    </w:p>
    <w:p w14:paraId="2FD6D0EC" w14:textId="77777777" w:rsidR="006C10C7" w:rsidRPr="006C10C7" w:rsidRDefault="006C10C7" w:rsidP="006C10C7">
      <w:pPr>
        <w:autoSpaceDE w:val="0"/>
        <w:autoSpaceDN w:val="0"/>
        <w:adjustRightInd w:val="0"/>
        <w:spacing w:line="360" w:lineRule="auto"/>
        <w:ind w:left="567" w:right="539"/>
        <w:contextualSpacing/>
        <w:jc w:val="both"/>
        <w:rPr>
          <w:rFonts w:ascii="Palatino Linotype" w:hAnsi="Palatino Linotype" w:cs="Tahoma"/>
          <w:i/>
          <w:iCs/>
        </w:rPr>
      </w:pPr>
      <w:r w:rsidRPr="006C10C7">
        <w:rPr>
          <w:rFonts w:ascii="Palatino Linotype" w:hAnsi="Palatino Linotype" w:cs="Tahoma"/>
          <w:i/>
          <w:iCs/>
        </w:rPr>
        <w:t>…”</w:t>
      </w:r>
    </w:p>
    <w:p w14:paraId="2F8B5EBF" w14:textId="5AA4794B" w:rsidR="008C438F" w:rsidRPr="008C438F" w:rsidRDefault="008C438F" w:rsidP="00AF3372">
      <w:pPr>
        <w:spacing w:after="0" w:line="276" w:lineRule="auto"/>
        <w:ind w:left="567" w:right="1131"/>
        <w:rPr>
          <w:rFonts w:ascii="Palatino Linotype" w:eastAsia="Calibri" w:hAnsi="Palatino Linotype" w:cs="Times New Roman"/>
          <w:i/>
          <w:iCs/>
          <w:color w:val="000000"/>
        </w:rPr>
      </w:pPr>
    </w:p>
    <w:p w14:paraId="4A534F90" w14:textId="77777777" w:rsidR="0034171C" w:rsidRPr="008C438F" w:rsidRDefault="0034171C" w:rsidP="00AF3372">
      <w:pPr>
        <w:spacing w:after="0" w:line="276" w:lineRule="auto"/>
        <w:rPr>
          <w:rFonts w:ascii="Palatino Linotype" w:eastAsia="Calibri" w:hAnsi="Palatino Linotype" w:cs="Times New Roman"/>
          <w:color w:val="000000"/>
        </w:rPr>
      </w:pPr>
    </w:p>
    <w:p w14:paraId="3DEDC1B7" w14:textId="4D0DC373" w:rsidR="008C438F" w:rsidRPr="00DE1845" w:rsidRDefault="000B2A76" w:rsidP="00DE1845">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Ante </w:t>
      </w:r>
      <w:r w:rsidR="00081965" w:rsidRPr="008243FF">
        <w:rPr>
          <w:rFonts w:ascii="Palatino Linotype" w:hAnsi="Palatino Linotype"/>
          <w:sz w:val="23"/>
          <w:szCs w:val="23"/>
        </w:rPr>
        <w:t>este acto d</w:t>
      </w:r>
      <w:r w:rsidRPr="008243FF">
        <w:rPr>
          <w:rFonts w:ascii="Palatino Linotype" w:hAnsi="Palatino Linotype"/>
          <w:sz w:val="23"/>
          <w:szCs w:val="23"/>
        </w:rPr>
        <w:t>el Sujeto Obliga</w:t>
      </w:r>
      <w:r w:rsidR="00275288" w:rsidRPr="008243FF">
        <w:rPr>
          <w:rFonts w:ascii="Palatino Linotype" w:hAnsi="Palatino Linotype"/>
          <w:sz w:val="23"/>
          <w:szCs w:val="23"/>
        </w:rPr>
        <w:t>do, el particular se inconfor</w:t>
      </w:r>
      <w:r w:rsidR="00D07D24" w:rsidRPr="008243FF">
        <w:rPr>
          <w:rFonts w:ascii="Palatino Linotype" w:hAnsi="Palatino Linotype"/>
          <w:sz w:val="23"/>
          <w:szCs w:val="23"/>
        </w:rPr>
        <w:t>m</w:t>
      </w:r>
      <w:r w:rsidR="00DE1845">
        <w:rPr>
          <w:rFonts w:ascii="Palatino Linotype" w:hAnsi="Palatino Linotype"/>
          <w:sz w:val="23"/>
          <w:szCs w:val="23"/>
        </w:rPr>
        <w:t>ó</w:t>
      </w:r>
      <w:r w:rsidR="00D07D24" w:rsidRPr="008243FF">
        <w:rPr>
          <w:rFonts w:ascii="Palatino Linotype" w:hAnsi="Palatino Linotype"/>
          <w:sz w:val="23"/>
          <w:szCs w:val="23"/>
        </w:rPr>
        <w:t>,</w:t>
      </w:r>
      <w:r w:rsidR="00DE1845">
        <w:rPr>
          <w:rFonts w:ascii="Palatino Linotype" w:hAnsi="Palatino Linotype"/>
          <w:sz w:val="23"/>
          <w:szCs w:val="23"/>
        </w:rPr>
        <w:t xml:space="preserve"> </w:t>
      </w:r>
      <w:r w:rsidR="00AD50AB" w:rsidRPr="008243FF">
        <w:rPr>
          <w:rFonts w:ascii="Palatino Linotype" w:hAnsi="Palatino Linotype"/>
          <w:sz w:val="23"/>
          <w:szCs w:val="23"/>
        </w:rPr>
        <w:t xml:space="preserve">de manera medular </w:t>
      </w:r>
      <w:r w:rsidR="00DE1845">
        <w:rPr>
          <w:rFonts w:ascii="Palatino Linotype" w:hAnsi="Palatino Linotype"/>
          <w:sz w:val="23"/>
          <w:szCs w:val="23"/>
        </w:rPr>
        <w:t xml:space="preserve">por la clasificación de la información, no obstante, </w:t>
      </w:r>
      <w:r w:rsidR="00AF1499" w:rsidRPr="008243FF">
        <w:rPr>
          <w:rFonts w:ascii="Palatino Linotype" w:hAnsi="Palatino Linotype"/>
          <w:sz w:val="23"/>
          <w:szCs w:val="23"/>
        </w:rPr>
        <w:t xml:space="preserve">el Sujeto Obligado </w:t>
      </w:r>
      <w:r w:rsidR="00DE1845">
        <w:rPr>
          <w:rFonts w:ascii="Palatino Linotype" w:hAnsi="Palatino Linotype"/>
          <w:sz w:val="23"/>
          <w:szCs w:val="23"/>
        </w:rPr>
        <w:t xml:space="preserve">en la etapa correspondiente, no rindió su informe justificado. </w:t>
      </w:r>
    </w:p>
    <w:p w14:paraId="652D6FE8" w14:textId="77777777" w:rsidR="008C438F" w:rsidRPr="00081965" w:rsidRDefault="008C438F" w:rsidP="00AF3372">
      <w:pPr>
        <w:spacing w:after="0" w:line="276" w:lineRule="auto"/>
        <w:jc w:val="both"/>
        <w:rPr>
          <w:rFonts w:ascii="Palatino Linotype" w:hAnsi="Palatino Linotype"/>
          <w:bCs/>
          <w:i/>
          <w:iCs/>
        </w:rPr>
      </w:pPr>
    </w:p>
    <w:p w14:paraId="1B2B13BD" w14:textId="34B339CB" w:rsidR="00AF1499" w:rsidRDefault="000B2A76" w:rsidP="00AF3372">
      <w:pPr>
        <w:autoSpaceDE w:val="0"/>
        <w:autoSpaceDN w:val="0"/>
        <w:adjustRightInd w:val="0"/>
        <w:spacing w:after="0"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DE1845">
        <w:rPr>
          <w:rFonts w:ascii="Palatino Linotype" w:hAnsi="Palatino Linotype"/>
          <w:b/>
          <w:sz w:val="23"/>
          <w:szCs w:val="23"/>
        </w:rPr>
        <w:t>MODIFICAR</w:t>
      </w:r>
      <w:r w:rsidR="008E58A8">
        <w:rPr>
          <w:rFonts w:ascii="Palatino Linotype" w:hAnsi="Palatino Linotype"/>
          <w:sz w:val="23"/>
          <w:szCs w:val="23"/>
        </w:rPr>
        <w:t xml:space="preserve"> 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w:t>
      </w:r>
      <w:r w:rsidR="004956B3">
        <w:rPr>
          <w:rFonts w:ascii="Palatino Linotype" w:hAnsi="Palatino Linotype"/>
          <w:sz w:val="23"/>
          <w:szCs w:val="23"/>
        </w:rPr>
        <w:t>información, posteriormente</w:t>
      </w:r>
      <w:r w:rsidR="00AF1499">
        <w:rPr>
          <w:rFonts w:ascii="Palatino Linotype" w:hAnsi="Palatino Linotype"/>
          <w:sz w:val="23"/>
          <w:szCs w:val="23"/>
        </w:rPr>
        <w:t xml:space="preserv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 al Sujeto Obligado que deberá remitir al particular, lo siguiente</w:t>
      </w:r>
      <w:r w:rsidR="00AF1499">
        <w:rPr>
          <w:rFonts w:ascii="Palatino Linotype" w:hAnsi="Palatino Linotype"/>
          <w:sz w:val="23"/>
          <w:szCs w:val="23"/>
        </w:rPr>
        <w:t>:</w:t>
      </w:r>
    </w:p>
    <w:p w14:paraId="5EA1082F" w14:textId="77777777" w:rsidR="00AF1499" w:rsidRPr="004956B3" w:rsidRDefault="00AF1499" w:rsidP="00AF3372">
      <w:pPr>
        <w:autoSpaceDE w:val="0"/>
        <w:autoSpaceDN w:val="0"/>
        <w:adjustRightInd w:val="0"/>
        <w:spacing w:after="0" w:line="276" w:lineRule="auto"/>
        <w:ind w:right="990"/>
        <w:contextualSpacing/>
        <w:jc w:val="both"/>
        <w:rPr>
          <w:rFonts w:ascii="Palatino Linotype" w:hAnsi="Palatino Linotype"/>
          <w:b/>
          <w:bCs/>
          <w:i/>
          <w:szCs w:val="23"/>
        </w:rPr>
      </w:pPr>
    </w:p>
    <w:p w14:paraId="285F1F0C" w14:textId="15807450" w:rsidR="00A8183E" w:rsidRPr="00A8183E" w:rsidRDefault="00A8183E" w:rsidP="00A8183E">
      <w:pPr>
        <w:pStyle w:val="Prrafodelista"/>
        <w:numPr>
          <w:ilvl w:val="0"/>
          <w:numId w:val="11"/>
        </w:numPr>
        <w:spacing w:line="360" w:lineRule="auto"/>
        <w:ind w:left="567" w:right="423"/>
        <w:jc w:val="both"/>
        <w:rPr>
          <w:rFonts w:ascii="Palatino Linotype" w:eastAsia="Calibri" w:hAnsi="Palatino Linotype" w:cs="Tahoma"/>
          <w:bCs/>
          <w:i/>
          <w:iCs/>
          <w:szCs w:val="22"/>
          <w:lang w:eastAsia="en-US"/>
        </w:rPr>
      </w:pPr>
      <w:r>
        <w:rPr>
          <w:rFonts w:ascii="Palatino Linotype" w:hAnsi="Palatino Linotype" w:cs="Tahoma"/>
          <w:i/>
          <w:iCs/>
          <w:szCs w:val="22"/>
          <w:lang w:val="es-ES"/>
        </w:rPr>
        <w:t>“</w:t>
      </w:r>
      <w:r w:rsidRPr="00A8183E">
        <w:rPr>
          <w:rFonts w:ascii="Palatino Linotype" w:hAnsi="Palatino Linotype" w:cs="Tahoma"/>
          <w:i/>
          <w:iCs/>
          <w:szCs w:val="22"/>
          <w:lang w:val="es-ES"/>
        </w:rPr>
        <w:t xml:space="preserve">El Acuerdo del Comité de Transparencia, donde clasifique de manera fundada y motivada el nombre y número de empleado sólo en caso de que este número se integre con datos personales o constituya una clave de acceso, de los elementos operativos adscritos al territorio geográfico señalado por el Particular, en términos de los artículos </w:t>
      </w:r>
      <w:r w:rsidRPr="00A8183E">
        <w:rPr>
          <w:rFonts w:ascii="Palatino Linotype" w:eastAsia="Calibri" w:hAnsi="Palatino Linotype" w:cs="Tahoma"/>
          <w:bCs/>
          <w:i/>
          <w:iCs/>
          <w:szCs w:val="22"/>
          <w:lang w:eastAsia="en-US"/>
        </w:rPr>
        <w:t>artículos 49, fracciones II y VIII y 132, fracción II de la Ley de Transparencia y Acceso a la Información Pública del Estado de México y Municipios.</w:t>
      </w:r>
    </w:p>
    <w:p w14:paraId="6436E0A8" w14:textId="77777777" w:rsidR="00A8183E" w:rsidRPr="00A8183E" w:rsidRDefault="00A8183E" w:rsidP="00A8183E">
      <w:pPr>
        <w:pStyle w:val="Prrafodelista"/>
        <w:tabs>
          <w:tab w:val="left" w:pos="4962"/>
        </w:tabs>
        <w:spacing w:line="360" w:lineRule="auto"/>
        <w:ind w:left="567" w:right="423"/>
        <w:jc w:val="both"/>
        <w:rPr>
          <w:rFonts w:ascii="Palatino Linotype" w:eastAsia="Calibri" w:hAnsi="Palatino Linotype" w:cs="Tahoma"/>
          <w:i/>
          <w:iCs/>
          <w:szCs w:val="22"/>
          <w:lang w:val="es-ES" w:eastAsia="es-ES_tradnl"/>
        </w:rPr>
      </w:pPr>
    </w:p>
    <w:p w14:paraId="285569F2" w14:textId="77777777" w:rsidR="00A8183E" w:rsidRPr="00A8183E" w:rsidRDefault="00A8183E" w:rsidP="00A8183E">
      <w:pPr>
        <w:pStyle w:val="Prrafodelista"/>
        <w:numPr>
          <w:ilvl w:val="0"/>
          <w:numId w:val="10"/>
        </w:numPr>
        <w:tabs>
          <w:tab w:val="left" w:pos="4962"/>
        </w:tabs>
        <w:spacing w:line="360" w:lineRule="auto"/>
        <w:ind w:left="567" w:right="423"/>
        <w:jc w:val="both"/>
        <w:rPr>
          <w:rFonts w:ascii="Palatino Linotype" w:eastAsia="Calibri" w:hAnsi="Palatino Linotype" w:cs="Tahoma"/>
          <w:i/>
          <w:iCs/>
          <w:szCs w:val="22"/>
          <w:lang w:val="es-ES" w:eastAsia="es-ES_tradnl"/>
        </w:rPr>
      </w:pPr>
      <w:r w:rsidRPr="00A8183E">
        <w:rPr>
          <w:rFonts w:ascii="Palatino Linotype" w:hAnsi="Palatino Linotype" w:cs="Tahoma"/>
          <w:i/>
          <w:iCs/>
          <w:szCs w:val="22"/>
          <w:lang w:val="es-ES"/>
        </w:rPr>
        <w:t>Para el caso de que el número de empleado, de los elementos operativos adscritos al territorio geográfico señalado por el Particular, sólo constituya un número de identificación interno, deberá entrega versión pública del documento donde conste este dato.</w:t>
      </w:r>
    </w:p>
    <w:p w14:paraId="6FCE2561" w14:textId="77777777" w:rsidR="00A8183E" w:rsidRPr="00A8183E" w:rsidRDefault="00A8183E" w:rsidP="00A8183E">
      <w:pPr>
        <w:pStyle w:val="Prrafodelista"/>
        <w:tabs>
          <w:tab w:val="left" w:pos="4962"/>
        </w:tabs>
        <w:spacing w:line="360" w:lineRule="auto"/>
        <w:ind w:left="567" w:right="423"/>
        <w:jc w:val="both"/>
        <w:rPr>
          <w:rFonts w:ascii="Palatino Linotype" w:eastAsia="Calibri" w:hAnsi="Palatino Linotype" w:cs="Tahoma"/>
          <w:i/>
          <w:iCs/>
          <w:szCs w:val="22"/>
          <w:lang w:val="es-ES" w:eastAsia="es-ES_tradnl"/>
        </w:rPr>
      </w:pPr>
    </w:p>
    <w:p w14:paraId="527CEA7B" w14:textId="77777777" w:rsidR="00A8183E" w:rsidRPr="00A8183E" w:rsidRDefault="00A8183E" w:rsidP="00A8183E">
      <w:pPr>
        <w:spacing w:line="360" w:lineRule="auto"/>
        <w:ind w:left="567" w:right="423"/>
        <w:jc w:val="both"/>
        <w:rPr>
          <w:rFonts w:ascii="Palatino Linotype" w:eastAsia="Calibri" w:hAnsi="Palatino Linotype" w:cs="Tahoma"/>
          <w:bCs/>
          <w:i/>
          <w:iCs/>
        </w:rPr>
      </w:pPr>
      <w:r w:rsidRPr="00A8183E">
        <w:rPr>
          <w:rFonts w:ascii="Palatino Linotype" w:eastAsia="Calibri" w:hAnsi="Palatino Linotype" w:cs="Tahoma"/>
          <w:bCs/>
          <w:i/>
          <w:iCs/>
        </w:rPr>
        <w:t>Junto con las versiones públicas, se deberá proporcionar el Acuerdo de Clasificación donde el Comité de Transparencia, confirme la eliminación de los datos y documentos reservados y/o confidenciales, de conformidad con los artículos 49, fracciones II y VIII y 132, fracción II de la Ley de Transparencia y Acceso a la Información Pública del Estado de México y Municipios.</w:t>
      </w:r>
    </w:p>
    <w:p w14:paraId="4BEF2763" w14:textId="77777777" w:rsidR="00AF1499" w:rsidRDefault="00AF1499" w:rsidP="00AF3372">
      <w:pPr>
        <w:autoSpaceDE w:val="0"/>
        <w:autoSpaceDN w:val="0"/>
        <w:adjustRightInd w:val="0"/>
        <w:spacing w:after="0" w:line="276" w:lineRule="auto"/>
        <w:contextualSpacing/>
        <w:jc w:val="both"/>
        <w:rPr>
          <w:rFonts w:ascii="Palatino Linotype" w:hAnsi="Palatino Linotype"/>
          <w:sz w:val="23"/>
          <w:szCs w:val="23"/>
        </w:rPr>
      </w:pPr>
    </w:p>
    <w:p w14:paraId="30C6E658" w14:textId="6663DEE0"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del </w:t>
      </w:r>
      <w:r w:rsidR="008C438F" w:rsidRPr="008C438F">
        <w:rPr>
          <w:rFonts w:ascii="Palatino Linotype" w:hAnsi="Palatino Linotype"/>
          <w:b/>
          <w:bCs/>
          <w:color w:val="000000" w:themeColor="text1"/>
          <w:sz w:val="23"/>
          <w:szCs w:val="23"/>
        </w:rPr>
        <w:t xml:space="preserve">nombre de los elementos operativos de la </w:t>
      </w:r>
      <w:r w:rsidR="00A8183E">
        <w:rPr>
          <w:rFonts w:ascii="Palatino Linotype" w:hAnsi="Palatino Linotype"/>
          <w:b/>
          <w:bCs/>
          <w:sz w:val="23"/>
          <w:szCs w:val="23"/>
        </w:rPr>
        <w:t>Dirección de Seguridad Pública y Tránsito Municipal de Atizapán de Zaragoza</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3F8E0F0C" w14:textId="77777777" w:rsidR="00AF3372" w:rsidRPr="00A408AE" w:rsidRDefault="00AF3372" w:rsidP="00AF3372">
      <w:pPr>
        <w:spacing w:after="0" w:line="360" w:lineRule="auto"/>
        <w:jc w:val="both"/>
        <w:rPr>
          <w:rFonts w:ascii="Palatino Linotype" w:hAnsi="Palatino Linotype"/>
          <w:sz w:val="23"/>
          <w:szCs w:val="23"/>
        </w:rPr>
      </w:pPr>
    </w:p>
    <w:p w14:paraId="597F8E97" w14:textId="2933A654" w:rsidR="000B2A76"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lastRenderedPageBreak/>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3D809F43" w14:textId="77777777" w:rsidR="00AF3372" w:rsidRPr="00A408AE" w:rsidRDefault="00AF3372" w:rsidP="00AF3372">
      <w:pPr>
        <w:spacing w:after="0" w:line="360" w:lineRule="auto"/>
        <w:jc w:val="both"/>
        <w:rPr>
          <w:rFonts w:ascii="Palatino Linotype" w:hAnsi="Palatino Linotype"/>
          <w:sz w:val="23"/>
          <w:szCs w:val="23"/>
        </w:rPr>
      </w:pPr>
    </w:p>
    <w:p w14:paraId="0D8E21C8" w14:textId="6EB3073A"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652931DB" w14:textId="77777777" w:rsidR="00AF3372" w:rsidRPr="00A408AE" w:rsidRDefault="00AF3372" w:rsidP="00AF3372">
      <w:pPr>
        <w:spacing w:after="0" w:line="360" w:lineRule="auto"/>
        <w:jc w:val="both"/>
        <w:rPr>
          <w:rFonts w:ascii="Palatino Linotype" w:hAnsi="Palatino Linotype"/>
          <w:sz w:val="23"/>
          <w:szCs w:val="23"/>
        </w:rPr>
      </w:pPr>
    </w:p>
    <w:p w14:paraId="20B2B0DA"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023761B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1AC0D4F"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 xml:space="preserve">deberán demostrar que la publicidad de la información solicitada </w:t>
      </w:r>
      <w:r w:rsidRPr="00244751">
        <w:rPr>
          <w:rFonts w:ascii="Palatino Linotype" w:hAnsi="Palatino Linotype" w:cstheme="minorHAnsi"/>
          <w:b/>
          <w:i/>
          <w:sz w:val="22"/>
          <w:szCs w:val="22"/>
        </w:rPr>
        <w:lastRenderedPageBreak/>
        <w:t>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60875E26"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4433CF77"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12AAE52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412578E9" w14:textId="77777777" w:rsidR="000B2A76"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59C4C86" w14:textId="77777777" w:rsidR="000B2A76" w:rsidRPr="0080347F" w:rsidRDefault="000B2A76" w:rsidP="00AF3372">
      <w:pPr>
        <w:pStyle w:val="Sinespaciado"/>
        <w:spacing w:line="276" w:lineRule="auto"/>
        <w:ind w:left="851" w:right="899"/>
        <w:jc w:val="both"/>
        <w:rPr>
          <w:rFonts w:ascii="Palatino Linotype" w:hAnsi="Palatino Linotype" w:cstheme="minorHAnsi"/>
          <w:i/>
          <w:sz w:val="22"/>
          <w:szCs w:val="22"/>
        </w:rPr>
      </w:pPr>
    </w:p>
    <w:p w14:paraId="68308E43" w14:textId="32548CEF"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70AF7D4B" w14:textId="77777777" w:rsidR="00AF3372" w:rsidRDefault="00AF3372" w:rsidP="00AF3372">
      <w:pPr>
        <w:spacing w:after="0" w:line="360" w:lineRule="auto"/>
        <w:jc w:val="both"/>
        <w:rPr>
          <w:rFonts w:ascii="Palatino Linotype" w:hAnsi="Palatino Linotype"/>
          <w:sz w:val="23"/>
          <w:szCs w:val="23"/>
        </w:rPr>
      </w:pPr>
    </w:p>
    <w:p w14:paraId="29CE9B86" w14:textId="741AE720"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227786">
        <w:rPr>
          <w:rFonts w:ascii="Palatino Linotype" w:hAnsi="Palatino Linotype"/>
          <w:b/>
          <w:bCs/>
          <w:sz w:val="23"/>
          <w:szCs w:val="23"/>
        </w:rPr>
        <w:t>7886</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 xml:space="preserve">entro de la Ley de Transparencia y Acceso a la Información Pública del Estado de </w:t>
      </w:r>
      <w:r w:rsidRPr="00A408AE">
        <w:rPr>
          <w:rFonts w:ascii="Palatino Linotype" w:hAnsi="Palatino Linotype"/>
          <w:sz w:val="23"/>
          <w:szCs w:val="23"/>
        </w:rPr>
        <w:lastRenderedPageBreak/>
        <w:t>México y Municipios, se encuentra que, para reservar una información, se debe aplicar una prueba de daño, la cual es definida por la Ley de la Materia en su artículo 3 fracción XXXII, como:</w:t>
      </w:r>
    </w:p>
    <w:p w14:paraId="0ACCE642" w14:textId="77777777" w:rsidR="00AF3372" w:rsidRPr="00A408AE" w:rsidRDefault="00AF3372" w:rsidP="00AF3372">
      <w:pPr>
        <w:spacing w:after="0" w:line="276" w:lineRule="auto"/>
        <w:jc w:val="both"/>
        <w:rPr>
          <w:rFonts w:ascii="Palatino Linotype" w:hAnsi="Palatino Linotype"/>
          <w:sz w:val="23"/>
          <w:szCs w:val="23"/>
        </w:rPr>
      </w:pPr>
    </w:p>
    <w:p w14:paraId="76312ED4" w14:textId="77777777" w:rsidR="000B2A76" w:rsidRPr="00D732F2" w:rsidRDefault="000B2A76" w:rsidP="00AF3372">
      <w:pPr>
        <w:pStyle w:val="Sinespaciado"/>
        <w:spacing w:line="276" w:lineRule="aut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57DE8256" w14:textId="77777777" w:rsidR="000B2A76" w:rsidRDefault="000B2A76" w:rsidP="00AF3372">
      <w:pPr>
        <w:spacing w:after="0" w:line="276" w:lineRule="auto"/>
        <w:jc w:val="both"/>
        <w:rPr>
          <w:rStyle w:val="normaltextrun"/>
          <w:rFonts w:ascii="Palatino Linotype" w:hAnsi="Palatino Linotype" w:cs="Segoe UI"/>
        </w:rPr>
      </w:pPr>
    </w:p>
    <w:p w14:paraId="0E3AF8E2" w14:textId="71AA1D48" w:rsidR="000B2A76"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63252E9" w14:textId="77777777" w:rsidR="00AF3372" w:rsidRPr="00A408AE" w:rsidRDefault="00AF3372" w:rsidP="00AF3372">
      <w:pPr>
        <w:spacing w:after="0" w:line="360" w:lineRule="auto"/>
        <w:jc w:val="both"/>
        <w:rPr>
          <w:rFonts w:ascii="Palatino Linotype" w:hAnsi="Palatino Linotype"/>
          <w:sz w:val="23"/>
          <w:szCs w:val="23"/>
        </w:rPr>
      </w:pPr>
    </w:p>
    <w:p w14:paraId="076AAF33" w14:textId="73A382F1" w:rsidR="000B2A76" w:rsidRDefault="000B2A76" w:rsidP="00AF3372">
      <w:pPr>
        <w:spacing w:after="0"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14:paraId="62E350A2" w14:textId="77777777" w:rsidR="00AF3372" w:rsidRDefault="00AF3372" w:rsidP="00AF3372">
      <w:pPr>
        <w:spacing w:after="0" w:line="360" w:lineRule="auto"/>
        <w:jc w:val="both"/>
        <w:rPr>
          <w:rFonts w:ascii="Palatino Linotype" w:hAnsi="Palatino Linotype"/>
          <w:b/>
          <w:sz w:val="23"/>
          <w:szCs w:val="23"/>
        </w:rPr>
      </w:pPr>
    </w:p>
    <w:p w14:paraId="22CFFABD" w14:textId="07EDF71C" w:rsidR="00D36CD9"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lastRenderedPageBreak/>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14:paraId="4F2DAE36" w14:textId="77777777" w:rsidR="00AF3372" w:rsidRDefault="00AF3372" w:rsidP="00AF3372">
      <w:pPr>
        <w:spacing w:after="0" w:line="360" w:lineRule="auto"/>
        <w:jc w:val="both"/>
        <w:rPr>
          <w:rFonts w:ascii="Palatino Linotype" w:hAnsi="Palatino Linotype"/>
          <w:sz w:val="23"/>
          <w:szCs w:val="23"/>
        </w:rPr>
      </w:pPr>
    </w:p>
    <w:p w14:paraId="1FD2FBE1" w14:textId="77777777" w:rsidR="000B2A76" w:rsidRDefault="000B2A76" w:rsidP="00AF3372">
      <w:pPr>
        <w:spacing w:after="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14:paraId="7C15AAB2" w14:textId="77777777" w:rsidR="000B2A76" w:rsidRDefault="000B2A76" w:rsidP="00AF3372">
      <w:pPr>
        <w:spacing w:after="0" w:line="360" w:lineRule="auto"/>
        <w:jc w:val="both"/>
        <w:rPr>
          <w:rFonts w:ascii="Palatino Linotype" w:hAnsi="Palatino Linotype"/>
          <w:sz w:val="23"/>
          <w:szCs w:val="23"/>
        </w:rPr>
      </w:pPr>
    </w:p>
    <w:p w14:paraId="66426533" w14:textId="77777777" w:rsidR="000B2A76" w:rsidRDefault="000B2A76" w:rsidP="00AF3372">
      <w:pPr>
        <w:spacing w:after="0" w:line="276"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1C313D28" w14:textId="77777777" w:rsidR="000B2A76" w:rsidRPr="000D7039" w:rsidRDefault="000B2A76" w:rsidP="00AF3372">
      <w:pPr>
        <w:spacing w:after="0" w:line="276" w:lineRule="auto"/>
        <w:jc w:val="both"/>
        <w:rPr>
          <w:rFonts w:ascii="Palatino Linotype" w:hAnsi="Palatino Linotype"/>
          <w:sz w:val="23"/>
          <w:szCs w:val="23"/>
        </w:rPr>
      </w:pPr>
    </w:p>
    <w:p w14:paraId="2803E307" w14:textId="77777777" w:rsidR="000B2A76" w:rsidRPr="000D7039" w:rsidRDefault="000B2A76" w:rsidP="00AF3372">
      <w:pPr>
        <w:spacing w:after="0" w:line="276" w:lineRule="auto"/>
        <w:jc w:val="center"/>
        <w:rPr>
          <w:rFonts w:ascii="Palatino Linotype" w:hAnsi="Palatino Linotype"/>
          <w:b/>
          <w:sz w:val="23"/>
          <w:szCs w:val="23"/>
        </w:rPr>
      </w:pPr>
    </w:p>
    <w:p w14:paraId="38293F90" w14:textId="77777777" w:rsidR="000B2A76" w:rsidRPr="000D7039" w:rsidRDefault="000B2A76" w:rsidP="00AF3372">
      <w:pPr>
        <w:spacing w:after="0" w:line="276" w:lineRule="auto"/>
        <w:jc w:val="center"/>
        <w:rPr>
          <w:rFonts w:ascii="Palatino Linotype" w:hAnsi="Palatino Linotype"/>
          <w:sz w:val="23"/>
          <w:szCs w:val="23"/>
        </w:rPr>
      </w:pPr>
    </w:p>
    <w:p w14:paraId="21783DBF" w14:textId="77777777" w:rsidR="000B2A76" w:rsidRPr="000D7039" w:rsidRDefault="000B2A76" w:rsidP="00AF3372">
      <w:pPr>
        <w:spacing w:after="0" w:line="276" w:lineRule="auto"/>
        <w:rPr>
          <w:rFonts w:ascii="Palatino Linotype" w:hAnsi="Palatino Linotype"/>
          <w:sz w:val="24"/>
          <w:szCs w:val="24"/>
        </w:rPr>
      </w:pPr>
    </w:p>
    <w:p w14:paraId="1CE59856" w14:textId="77777777" w:rsidR="000B2A76" w:rsidRDefault="000B2A76" w:rsidP="00AF3372">
      <w:pPr>
        <w:spacing w:after="0" w:line="276" w:lineRule="auto"/>
      </w:pPr>
    </w:p>
    <w:p w14:paraId="2F11EDD1" w14:textId="77777777" w:rsidR="000B2A76" w:rsidRDefault="000B2A76" w:rsidP="00AF3372">
      <w:pPr>
        <w:spacing w:after="0" w:line="276" w:lineRule="auto"/>
      </w:pPr>
    </w:p>
    <w:p w14:paraId="5DDD24D8" w14:textId="77777777" w:rsidR="00A1078F" w:rsidRDefault="00FB7A3C" w:rsidP="00AF3372">
      <w:pPr>
        <w:spacing w:after="0" w:line="276" w:lineRule="auto"/>
      </w:pPr>
    </w:p>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F90C4" w14:textId="77777777" w:rsidR="00A67CC3" w:rsidRDefault="00A67CC3" w:rsidP="000B2A76">
      <w:pPr>
        <w:spacing w:after="0" w:line="240" w:lineRule="auto"/>
      </w:pPr>
      <w:r>
        <w:separator/>
      </w:r>
    </w:p>
  </w:endnote>
  <w:endnote w:type="continuationSeparator" w:id="0">
    <w:p w14:paraId="1FC09F04" w14:textId="77777777" w:rsidR="00A67CC3" w:rsidRDefault="00A67CC3"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F1F1"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7A3C">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7A3C">
      <w:rPr>
        <w:rFonts w:ascii="Arial" w:hAnsi="Arial" w:cs="Arial"/>
        <w:b/>
        <w:bCs/>
        <w:noProof/>
        <w:sz w:val="20"/>
        <w:szCs w:val="20"/>
      </w:rPr>
      <w:t>9</w:t>
    </w:r>
    <w:r w:rsidRPr="00986599">
      <w:rPr>
        <w:rFonts w:ascii="Arial" w:hAnsi="Arial" w:cs="Arial"/>
        <w:b/>
        <w:bCs/>
        <w:sz w:val="20"/>
        <w:szCs w:val="20"/>
      </w:rPr>
      <w:fldChar w:fldCharType="end"/>
    </w:r>
  </w:p>
  <w:p w14:paraId="179751BE" w14:textId="77777777" w:rsidR="00D758BE" w:rsidRDefault="00FB7A3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DC55C" w14:textId="77777777" w:rsidR="00A67CC3" w:rsidRDefault="00A67CC3" w:rsidP="000B2A76">
      <w:pPr>
        <w:spacing w:after="0" w:line="240" w:lineRule="auto"/>
      </w:pPr>
      <w:r>
        <w:separator/>
      </w:r>
    </w:p>
  </w:footnote>
  <w:footnote w:type="continuationSeparator" w:id="0">
    <w:p w14:paraId="7461427B" w14:textId="77777777" w:rsidR="00A67CC3" w:rsidRDefault="00A67CC3"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05DA" w14:textId="77777777" w:rsidR="00D758BE" w:rsidRDefault="00FB7A3C">
    <w:pPr>
      <w:pStyle w:val="Encabezado"/>
    </w:pPr>
    <w:r>
      <w:rPr>
        <w:noProof/>
      </w:rPr>
      <w:pict w14:anchorId="72578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22B464C3" wp14:editId="7D8A4050">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B464C3"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" o:allowincell="f" filled="f" stroked="f">
              <v:stroke joinstyle="round"/>
              <o:lock v:ext="edit" shapetype="t"/>
              <v:textbox style="mso-fit-shape-to-text:t">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E87"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3BD23519" wp14:editId="2CC39ECC">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DE36B15" w14:textId="77777777"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14:paraId="688FB448" w14:textId="185F2563"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DB1AFB">
      <w:rPr>
        <w:rFonts w:ascii="Palatino Linotype" w:hAnsi="Palatino Linotype" w:cs="Arial"/>
        <w:b/>
        <w:sz w:val="22"/>
        <w:szCs w:val="22"/>
      </w:rPr>
      <w:t>7886</w:t>
    </w:r>
    <w:r w:rsidRPr="00FB2266">
      <w:rPr>
        <w:rFonts w:ascii="Palatino Linotype" w:hAnsi="Palatino Linotype" w:cs="Arial"/>
        <w:b/>
        <w:sz w:val="22"/>
        <w:szCs w:val="22"/>
      </w:rPr>
      <w:t>/INFOEM/IP/RR/2022</w:t>
    </w:r>
  </w:p>
  <w:p w14:paraId="6C041C13" w14:textId="77777777" w:rsidR="000B1C1F" w:rsidRPr="000D4A99" w:rsidRDefault="00FB7A3C"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5CC4E" w14:textId="77777777" w:rsidR="00D758BE" w:rsidRDefault="00FB7A3C">
    <w:pPr>
      <w:pStyle w:val="Encabezado"/>
    </w:pPr>
    <w:r>
      <w:rPr>
        <w:noProof/>
      </w:rPr>
      <w:pict w14:anchorId="1AE8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E755" w14:textId="77777777" w:rsidR="00F029C2" w:rsidRPr="000D4A99" w:rsidRDefault="00FB7A3C" w:rsidP="007263BB">
    <w:pPr>
      <w:pStyle w:val="Encabezado"/>
      <w:jc w:val="right"/>
      <w:rPr>
        <w:rFonts w:ascii="Arial" w:hAnsi="Arial" w:cs="Arial"/>
        <w:sz w:val="20"/>
        <w:szCs w:val="20"/>
      </w:rPr>
    </w:pPr>
  </w:p>
  <w:p w14:paraId="204E7715" w14:textId="77777777" w:rsidR="00F029C2" w:rsidRPr="000D4A99" w:rsidRDefault="00FB7A3C" w:rsidP="007263BB">
    <w:pPr>
      <w:pStyle w:val="Encabezado"/>
      <w:jc w:val="right"/>
      <w:rPr>
        <w:rFonts w:ascii="Arial" w:hAnsi="Arial" w:cs="Arial"/>
        <w:sz w:val="20"/>
        <w:szCs w:val="20"/>
      </w:rPr>
    </w:pPr>
  </w:p>
  <w:p w14:paraId="7D3B13E0" w14:textId="77777777" w:rsidR="00F029C2" w:rsidRPr="000D4A99" w:rsidRDefault="00FB7A3C" w:rsidP="007263BB">
    <w:pPr>
      <w:pStyle w:val="Encabezado"/>
      <w:jc w:val="right"/>
      <w:rPr>
        <w:rFonts w:ascii="Arial" w:hAnsi="Arial" w:cs="Arial"/>
        <w:sz w:val="20"/>
        <w:szCs w:val="20"/>
      </w:rPr>
    </w:pPr>
  </w:p>
  <w:p w14:paraId="5E7681DE"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0361077B" w14:textId="77777777" w:rsidR="00F029C2" w:rsidRPr="000D4A99" w:rsidRDefault="00FB7A3C" w:rsidP="007263BB">
    <w:pPr>
      <w:pStyle w:val="Encabezado"/>
      <w:jc w:val="right"/>
      <w:rPr>
        <w:rFonts w:ascii="Palatino Linotype" w:hAnsi="Palatino Linotype" w:cs="Arial"/>
        <w:sz w:val="20"/>
        <w:szCs w:val="20"/>
      </w:rPr>
    </w:pPr>
  </w:p>
  <w:p w14:paraId="3C68A764" w14:textId="77777777" w:rsidR="00F029C2" w:rsidRPr="000D4A99" w:rsidRDefault="00FB7A3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6735"/>
    <w:multiLevelType w:val="hybridMultilevel"/>
    <w:tmpl w:val="51F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42347"/>
    <w:multiLevelType w:val="hybridMultilevel"/>
    <w:tmpl w:val="3BAA3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21D"/>
    <w:multiLevelType w:val="hybridMultilevel"/>
    <w:tmpl w:val="3574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621EEC"/>
    <w:multiLevelType w:val="hybridMultilevel"/>
    <w:tmpl w:val="05587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9"/>
  </w:num>
  <w:num w:numId="5">
    <w:abstractNumId w:val="8"/>
  </w:num>
  <w:num w:numId="6">
    <w:abstractNumId w:val="7"/>
  </w:num>
  <w:num w:numId="7">
    <w:abstractNumId w:val="5"/>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F772C"/>
    <w:rsid w:val="00227786"/>
    <w:rsid w:val="00275288"/>
    <w:rsid w:val="002A05DA"/>
    <w:rsid w:val="0034171C"/>
    <w:rsid w:val="003D73C0"/>
    <w:rsid w:val="004956B3"/>
    <w:rsid w:val="00496064"/>
    <w:rsid w:val="004A63C4"/>
    <w:rsid w:val="0060121A"/>
    <w:rsid w:val="006C10C7"/>
    <w:rsid w:val="007213EF"/>
    <w:rsid w:val="00744782"/>
    <w:rsid w:val="0081741B"/>
    <w:rsid w:val="008243FF"/>
    <w:rsid w:val="0082773E"/>
    <w:rsid w:val="008C438F"/>
    <w:rsid w:val="008E58A8"/>
    <w:rsid w:val="00977DEC"/>
    <w:rsid w:val="009A2CC2"/>
    <w:rsid w:val="009E79E6"/>
    <w:rsid w:val="00A0212F"/>
    <w:rsid w:val="00A22313"/>
    <w:rsid w:val="00A67CC3"/>
    <w:rsid w:val="00A8183E"/>
    <w:rsid w:val="00AD50AB"/>
    <w:rsid w:val="00AF1499"/>
    <w:rsid w:val="00AF3372"/>
    <w:rsid w:val="00AF53CA"/>
    <w:rsid w:val="00B02D99"/>
    <w:rsid w:val="00BA53BA"/>
    <w:rsid w:val="00BD6E2C"/>
    <w:rsid w:val="00CB1593"/>
    <w:rsid w:val="00CF5368"/>
    <w:rsid w:val="00D07D24"/>
    <w:rsid w:val="00D36CD9"/>
    <w:rsid w:val="00DB1AFB"/>
    <w:rsid w:val="00DE1845"/>
    <w:rsid w:val="00E0457C"/>
    <w:rsid w:val="00E1501A"/>
    <w:rsid w:val="00E56A99"/>
    <w:rsid w:val="00EB4154"/>
    <w:rsid w:val="00EB7632"/>
    <w:rsid w:val="00EE5423"/>
    <w:rsid w:val="00EF5CE8"/>
    <w:rsid w:val="00F06A7B"/>
    <w:rsid w:val="00F7678B"/>
    <w:rsid w:val="00FB7A3C"/>
    <w:rsid w:val="00FE2B32"/>
    <w:rsid w:val="00FF6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96EF8C"/>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1782</Words>
  <Characters>9806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2022-08-08T17:18:00Z</cp:lastPrinted>
  <dcterms:created xsi:type="dcterms:W3CDTF">2023-10-16T19:36:00Z</dcterms:created>
  <dcterms:modified xsi:type="dcterms:W3CDTF">2023-10-16T19:36:00Z</dcterms:modified>
</cp:coreProperties>
</file>