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after="240" w:before="24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LA VIGÉSIMA QUINTA SESIÓN ORDINARIA DEL SEIS DE JULIO DE DOS MIL VEINTIDÓS, EN EL RECURSO DE REVISIÓN 05956/INFOEM/IP/RR/2022.</w:t>
      </w:r>
    </w:p>
    <w:p w:rsidR="00000000" w:rsidDel="00000000" w:rsidP="00000000" w:rsidRDefault="00000000" w:rsidRPr="00000000" w14:paraId="00000003">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El pleno del Instituto de Transparencia, Acceso a la Información Pública y Protección de Datos Personales del Estado de México y Municipios, aprobó por unanimidad de votos, la resolución relativa al recurso de revisión </w:t>
      </w:r>
      <w:r w:rsidDel="00000000" w:rsidR="00000000" w:rsidRPr="00000000">
        <w:rPr>
          <w:rFonts w:ascii="Palatino Linotype" w:cs="Palatino Linotype" w:eastAsia="Palatino Linotype" w:hAnsi="Palatino Linotype"/>
          <w:b w:val="1"/>
          <w:sz w:val="24"/>
          <w:szCs w:val="24"/>
          <w:rtl w:val="0"/>
        </w:rPr>
        <w:t xml:space="preserve">05956/INFOEM/IP/RR/2022,</w:t>
      </w:r>
      <w:r w:rsidDel="00000000" w:rsidR="00000000" w:rsidRPr="00000000">
        <w:rPr>
          <w:rFonts w:ascii="Palatino Linotype" w:cs="Palatino Linotype" w:eastAsia="Palatino Linotype" w:hAnsi="Palatino Linotype"/>
          <w:sz w:val="24"/>
          <w:szCs w:val="24"/>
          <w:rtl w:val="0"/>
        </w:rPr>
        <w:t xml:space="preserve"> presentada por el Comisionado Luis Gustavo Parra Noriega, respecto de la cual, la suscrita formula </w:t>
      </w:r>
      <w:r w:rsidDel="00000000" w:rsidR="00000000" w:rsidRPr="00000000">
        <w:rPr>
          <w:rFonts w:ascii="Palatino Linotype" w:cs="Palatino Linotype" w:eastAsia="Palatino Linotype" w:hAnsi="Palatino Linotype"/>
          <w:b w:val="1"/>
          <w:sz w:val="24"/>
          <w:szCs w:val="24"/>
          <w:rtl w:val="0"/>
        </w:rPr>
        <w:t xml:space="preserve">OPINIÓN  PARTICULAR</w:t>
      </w:r>
      <w:r w:rsidDel="00000000" w:rsidR="00000000" w:rsidRPr="00000000">
        <w:rPr>
          <w:rFonts w:ascii="Palatino Linotype" w:cs="Palatino Linotype" w:eastAsia="Palatino Linotype" w:hAnsi="Palatino Linotype"/>
          <w:sz w:val="24"/>
          <w:szCs w:val="24"/>
          <w:rtl w:val="0"/>
        </w:rPr>
        <w:t xml:space="preserve">,  con fundamento en el artículo 14 fracción XI del Reglamento Interior del Instituto de Transparencia, Acceso a la Información Pública y Protección de Datos Personales del Estado de México y Municipios.</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La que suscribe, comparte en esencia el sentido del estudio realizado en la resolución emitida por el Comisionado Ponente; sin embargo, resulta necesario destacar que la prueba de daño que se desarrolla en el proyecto de resolución que nos ocupa, debió  ser realizada por el Sujeto Obligado.</w:t>
      </w:r>
    </w:p>
    <w:p w:rsidR="00000000" w:rsidDel="00000000" w:rsidP="00000000" w:rsidRDefault="00000000" w:rsidRPr="00000000" w14:paraId="00000005">
      <w:pPr>
        <w:spacing w:after="240" w:before="240" w:line="360" w:lineRule="auto"/>
        <w:jc w:val="both"/>
        <w:rPr>
          <w:rFonts w:ascii="Palatino Linotype" w:cs="Palatino Linotype" w:eastAsia="Palatino Linotype" w:hAnsi="Palatino Linotype"/>
          <w:sz w:val="24"/>
          <w:szCs w:val="24"/>
        </w:rPr>
      </w:pPr>
      <w:bookmarkStart w:colFirst="0" w:colLast="0" w:name="_heading=h.gjdgxs" w:id="0"/>
      <w:bookmarkEnd w:id="0"/>
      <w:r w:rsidDel="00000000" w:rsidR="00000000" w:rsidRPr="00000000">
        <w:rPr>
          <w:rFonts w:ascii="Palatino Linotype" w:cs="Palatino Linotype" w:eastAsia="Palatino Linotype" w:hAnsi="Palatino Linotype"/>
          <w:sz w:val="24"/>
          <w:szCs w:val="24"/>
          <w:rtl w:val="0"/>
        </w:rPr>
        <w:t xml:space="preserve">En el caso concreto el hoy Recurrente requirió al Ayuntamiento de Cuautitlán Izcalli, que en esencia se le proporcionara la relación de todo el personal adscrito al Ayuntamiento de Cuautitlán Izcalli, Instituto de la Juventud de Cuautitlán Izcalli, Instituto Municipal del Deporte, Instituto Municipal de Planeación e Instituto Municipal para la Igualdad entre Mujeres y Hombres, sueldo bruto y sueldo neto de todos y cada uno de los servidores, área de adscripción, cargo y jefe inmediato, así como el año de ingreso laboral al ayuntamiento.</w:t>
      </w:r>
    </w:p>
    <w:p w:rsidR="00000000" w:rsidDel="00000000" w:rsidP="00000000" w:rsidRDefault="00000000" w:rsidRPr="00000000" w14:paraId="00000006">
      <w:pPr>
        <w:spacing w:after="0" w:line="360" w:lineRule="auto"/>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sz w:val="24"/>
          <w:szCs w:val="24"/>
          <w:rtl w:val="0"/>
        </w:rPr>
        <w:t xml:space="preserve">El Sujeto Obligado </w:t>
      </w:r>
      <w:r w:rsidDel="00000000" w:rsidR="00000000" w:rsidRPr="00000000">
        <w:rPr>
          <w:rFonts w:ascii="Palatino Linotype" w:cs="Palatino Linotype" w:eastAsia="Palatino Linotype" w:hAnsi="Palatino Linotype"/>
          <w:color w:val="000000"/>
          <w:sz w:val="24"/>
          <w:szCs w:val="24"/>
          <w:rtl w:val="0"/>
        </w:rPr>
        <w:t xml:space="preserve">notificó, a través del Sistema de Acceso a la Información Mexiquense (SAIMEX), la respuesta a la solicitud de acceso a la información pública, dio respuesta en los siguientes términos:</w:t>
      </w:r>
    </w:p>
    <w:p w:rsidR="00000000" w:rsidDel="00000000" w:rsidP="00000000" w:rsidRDefault="00000000" w:rsidRPr="00000000" w14:paraId="00000007">
      <w:pPr>
        <w:spacing w:after="0" w:line="276" w:lineRule="auto"/>
        <w:ind w:left="567" w:right="99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w:t>
      </w:r>
    </w:p>
    <w:p w:rsidR="00000000" w:rsidDel="00000000" w:rsidP="00000000" w:rsidRDefault="00000000" w:rsidRPr="00000000" w14:paraId="00000008">
      <w:pPr>
        <w:spacing w:after="0" w:line="276" w:lineRule="auto"/>
        <w:ind w:left="567" w:right="99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En respuesta a la solicitud recibida, nos permitimos hacer de su conocimiento que con fundamento en el artículo 53, Fracciones: II, V y VI de la Ley de Transparencia y Acceso a la Información Pública del Estado de México y Municipios, le contestamos que:</w:t>
      </w:r>
    </w:p>
    <w:p w:rsidR="00000000" w:rsidDel="00000000" w:rsidP="00000000" w:rsidRDefault="00000000" w:rsidRPr="00000000" w14:paraId="00000009">
      <w:pPr>
        <w:spacing w:after="0" w:line="276" w:lineRule="auto"/>
        <w:ind w:left="567" w:right="99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la efectuó, (1) Dirección de Administración e (2)INMUDECI. 1.- “Con fundamento en lo dispuesto por el artículo 6° de la Constitución Política de los Estados Unidos Mexicanos; 5° de la Constitución Política del Estado Libre y Soberano de México; 3 fracción XLV, 12, 23 fracción IV, 24 fracción XI y XXV, 25, 52 Y 88 de la Ley de Transparencia y Acceso a la Información Pública del Estado de México y Municipios; 86 de la Ley Orgánica Municipal del Estado de México; 24 fracción X del Bando Municipal 2022 de Cuautitlán Izcalli; 39 y 40 del Reglamento Interior de la Administración Pública Municipal de Cuautitlán Izcalli, Estado de México; en el ámbito de competencia de esta Dirección de Administración, y en atención a la Solicitud de Información Pública marcada con el número de folio 00237/CUAUTIZC/IP/2022 turnada a través del Sistema SAIMEX a esta Unidad Administrativa, en la que se solicitó lo siguiente: … Al respecto, se adjunta oficio emitido por la entonces persona Encargada del Despacho de la Subdirección de Recursos Humanos en el que brinda respuesta a la solicitud formulada por el peticionario. ”sic 2- “n atención a su solicitud de información pública mediante número 00237/CUAUTIZC/IP/2022, turnada a través del Sistema SAIMEX a esta unidad Administrativa, la cual solicita la siguiente información “… Por lo que con fundamento en el artículo 12 párrafo segundo de la ley de transparencia y acceso a la información pública del Estado de México y Municipios que, a la letra versa “Quienes generen, recopilen, administren, manejen, procesen, archiven o conserven información pública serán responsables de la misma en los términos de las disposiciones Jurídicas aplicables. Los sujetos Obligados solo proporcionarán información pública que se les requiera ya que abre en sus archivos y en el estado en que esta se encuentre. La obligación de proporcionar información no comprende el procedimiento de la misma, ni presentarla conforme al interés del solicitante, no estarán obligados a generarla, resumirla, efectuar cálculos o practicar investigaciones. Al respecto me permito dar respuesta en los siguientes términos. Lo indicado por el Titular de la Coordinación de Administración del Instituto Municipal del Deporte de Cuautitlán Izcalli, Anexo copia de la información solicitada con anterioridad en respecto a lo que corresponde al Instituto Municipal del Deporte de Cuautitlán Izcalli. ”sic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p>
    <w:p w:rsidR="00000000" w:rsidDel="00000000" w:rsidP="00000000" w:rsidRDefault="00000000" w:rsidRPr="00000000" w14:paraId="0000000A">
      <w:pPr>
        <w:spacing w:after="0" w:line="360" w:lineRule="auto"/>
        <w:ind w:left="567"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w:t>
      </w:r>
    </w:p>
    <w:p w:rsidR="00000000" w:rsidDel="00000000" w:rsidP="00000000" w:rsidRDefault="00000000" w:rsidRPr="00000000" w14:paraId="0000000B">
      <w:pPr>
        <w:spacing w:after="0" w:line="360" w:lineRule="auto"/>
        <w:ind w:left="567"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(Sic.)</w:t>
      </w:r>
    </w:p>
    <w:p w:rsidR="00000000" w:rsidDel="00000000" w:rsidP="00000000" w:rsidRDefault="00000000" w:rsidRPr="00000000" w14:paraId="0000000C">
      <w:pPr>
        <w:spacing w:after="0" w:line="360" w:lineRule="auto"/>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0D">
      <w:pPr>
        <w:spacing w:after="0" w:line="360" w:lineRule="auto"/>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El Sujeto Obligado adjuntó a su respuesta tres archivos en formato </w:t>
      </w:r>
      <w:r w:rsidDel="00000000" w:rsidR="00000000" w:rsidRPr="00000000">
        <w:rPr>
          <w:rFonts w:ascii="Palatino Linotype" w:cs="Palatino Linotype" w:eastAsia="Palatino Linotype" w:hAnsi="Palatino Linotype"/>
          <w:i w:val="1"/>
          <w:color w:val="000000"/>
          <w:sz w:val="24"/>
          <w:szCs w:val="24"/>
          <w:rtl w:val="0"/>
        </w:rPr>
        <w:t xml:space="preserve">pdf </w:t>
      </w:r>
      <w:r w:rsidDel="00000000" w:rsidR="00000000" w:rsidRPr="00000000">
        <w:rPr>
          <w:rFonts w:ascii="Palatino Linotype" w:cs="Palatino Linotype" w:eastAsia="Palatino Linotype" w:hAnsi="Palatino Linotype"/>
          <w:color w:val="000000"/>
          <w:sz w:val="24"/>
          <w:szCs w:val="24"/>
          <w:rtl w:val="0"/>
        </w:rPr>
        <w:t xml:space="preserve">de los que se desprende lo siguiente:</w:t>
      </w:r>
    </w:p>
    <w:p w:rsidR="00000000" w:rsidDel="00000000" w:rsidP="00000000" w:rsidRDefault="00000000" w:rsidRPr="00000000" w14:paraId="0000000E">
      <w:pPr>
        <w:spacing w:after="0" w:line="360" w:lineRule="auto"/>
        <w:ind w:left="567" w:right="990" w:hanging="283"/>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0F">
      <w:pPr>
        <w:numPr>
          <w:ilvl w:val="0"/>
          <w:numId w:val="1"/>
        </w:numPr>
        <w:spacing w:after="0" w:line="360" w:lineRule="auto"/>
        <w:ind w:left="567" w:right="990" w:hanging="283"/>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b w:val="1"/>
          <w:color w:val="000000"/>
          <w:rtl w:val="0"/>
        </w:rPr>
        <w:t xml:space="preserve">Oficio INMUDECI/CA/199/2022, </w:t>
      </w:r>
      <w:r w:rsidDel="00000000" w:rsidR="00000000" w:rsidRPr="00000000">
        <w:rPr>
          <w:rFonts w:ascii="Palatino Linotype" w:cs="Palatino Linotype" w:eastAsia="Palatino Linotype" w:hAnsi="Palatino Linotype"/>
          <w:color w:val="000000"/>
          <w:rtl w:val="0"/>
        </w:rPr>
        <w:t xml:space="preserve">suscrito por el Titular del Organismo Público Descentralizado de Carácter Municipal Denominado Instituto Municipal del Deporte de Cuautitlán Izcalli; a través del cual envió la información en los términos que remitió el Titular de la Coordinación de Administración del instituto Municipal del Deporte de Cuautitlán Izcalli.</w:t>
      </w:r>
    </w:p>
    <w:p w:rsidR="00000000" w:rsidDel="00000000" w:rsidP="00000000" w:rsidRDefault="00000000" w:rsidRPr="00000000" w14:paraId="00000010">
      <w:pPr>
        <w:spacing w:after="0" w:line="360" w:lineRule="auto"/>
        <w:ind w:left="567" w:right="990" w:hanging="283"/>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11">
      <w:pPr>
        <w:numPr>
          <w:ilvl w:val="0"/>
          <w:numId w:val="1"/>
        </w:numPr>
        <w:spacing w:after="0" w:line="360" w:lineRule="auto"/>
        <w:ind w:left="567" w:right="990" w:hanging="283"/>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 Tabla de relación de columnas, en las que se enlistan a 7 registros en los que se desarrolló: el tipo de trabajador, plaza, área, fecha de ingreso, sueldo bruto y sueldo neto; los anteriores corresponden a mandos medios y superiores.</w:t>
      </w:r>
    </w:p>
    <w:p w:rsidR="00000000" w:rsidDel="00000000" w:rsidP="00000000" w:rsidRDefault="00000000" w:rsidRPr="00000000" w14:paraId="00000012">
      <w:pPr>
        <w:spacing w:after="0" w:line="360" w:lineRule="auto"/>
        <w:ind w:left="567" w:right="990" w:hanging="283"/>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13">
      <w:pPr>
        <w:numPr>
          <w:ilvl w:val="0"/>
          <w:numId w:val="1"/>
        </w:numPr>
        <w:spacing w:after="0" w:line="360" w:lineRule="auto"/>
        <w:ind w:left="567" w:right="990" w:hanging="283"/>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b w:val="1"/>
          <w:color w:val="000000"/>
          <w:rtl w:val="0"/>
        </w:rPr>
        <w:t xml:space="preserve">Oficio DA/2009/2022, </w:t>
      </w:r>
      <w:r w:rsidDel="00000000" w:rsidR="00000000" w:rsidRPr="00000000">
        <w:rPr>
          <w:rFonts w:ascii="Palatino Linotype" w:cs="Palatino Linotype" w:eastAsia="Palatino Linotype" w:hAnsi="Palatino Linotype"/>
          <w:color w:val="000000"/>
          <w:rtl w:val="0"/>
        </w:rPr>
        <w:t xml:space="preserve">suscrito por el Director de Administración del Sujeto Obligado; por el que remitió la información que envió la entonces, Encargada del Despacho de la Subdirección de Recursos Humanos. </w:t>
      </w:r>
    </w:p>
    <w:p w:rsidR="00000000" w:rsidDel="00000000" w:rsidP="00000000" w:rsidRDefault="00000000" w:rsidRPr="00000000" w14:paraId="00000014">
      <w:pPr>
        <w:spacing w:after="0" w:line="360" w:lineRule="auto"/>
        <w:ind w:left="567" w:right="990" w:hanging="283"/>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15">
      <w:pPr>
        <w:numPr>
          <w:ilvl w:val="0"/>
          <w:numId w:val="1"/>
        </w:numPr>
        <w:spacing w:after="0" w:line="360" w:lineRule="auto"/>
        <w:ind w:left="567" w:right="990" w:hanging="283"/>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b w:val="1"/>
          <w:color w:val="000000"/>
          <w:rtl w:val="0"/>
        </w:rPr>
        <w:t xml:space="preserve">Oficio DA/SRH/0002/2022</w:t>
      </w:r>
      <w:r w:rsidDel="00000000" w:rsidR="00000000" w:rsidRPr="00000000">
        <w:rPr>
          <w:rFonts w:ascii="Palatino Linotype" w:cs="Palatino Linotype" w:eastAsia="Palatino Linotype" w:hAnsi="Palatino Linotype"/>
          <w:color w:val="000000"/>
          <w:rtl w:val="0"/>
        </w:rPr>
        <w:t xml:space="preserve">, suscrito por la encargada de Despacho de la Subdirección de Recursos Humanos; en el que informó lo siguiente:</w:t>
      </w:r>
    </w:p>
    <w:p w:rsidR="00000000" w:rsidDel="00000000" w:rsidP="00000000" w:rsidRDefault="00000000" w:rsidRPr="00000000" w14:paraId="00000016">
      <w:pPr>
        <w:spacing w:after="0" w:line="360" w:lineRule="auto"/>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17">
      <w:pPr>
        <w:spacing w:after="0" w:line="360" w:lineRule="auto"/>
        <w:ind w:left="567" w:right="99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w:t>
      </w:r>
    </w:p>
    <w:p w:rsidR="00000000" w:rsidDel="00000000" w:rsidP="00000000" w:rsidRDefault="00000000" w:rsidRPr="00000000" w14:paraId="00000018">
      <w:pPr>
        <w:spacing w:after="0" w:line="276" w:lineRule="auto"/>
        <w:ind w:left="567" w:right="99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Motivo por el cual, esta autoridad administrativa estima que la información a la que quiere acceder la persona peticionaria es consultar las percepciones, adscripción y antigüedad de los servidores públicos adscritos al Ayuntamiento de Cuautitlán Izcalli, Instituto de la Juventud, Instituto Municipal de Planeación e Instituto Municipal para la Igualdad entre Mujeres y Hombres, todos de la Administración Pública Municipal de Cuautitlán Izcalli, con excepción del Instituto Municipal del Deporte, el cual es un organismo descentralizado,</w:t>
      </w:r>
    </w:p>
    <w:p w:rsidR="00000000" w:rsidDel="00000000" w:rsidP="00000000" w:rsidRDefault="00000000" w:rsidRPr="00000000" w14:paraId="00000019">
      <w:pPr>
        <w:spacing w:after="0" w:line="276" w:lineRule="auto"/>
        <w:rPr>
          <w:rFonts w:ascii="Palatino Linotype" w:cs="Palatino Linotype" w:eastAsia="Palatino Linotype" w:hAnsi="Palatino Linotype"/>
          <w:i w:val="1"/>
          <w:color w:val="000000"/>
        </w:rPr>
      </w:pPr>
      <w:r w:rsidDel="00000000" w:rsidR="00000000" w:rsidRPr="00000000">
        <w:rPr>
          <w:rtl w:val="0"/>
        </w:rPr>
      </w:r>
    </w:p>
    <w:p w:rsidR="00000000" w:rsidDel="00000000" w:rsidP="00000000" w:rsidRDefault="00000000" w:rsidRPr="00000000" w14:paraId="0000001A">
      <w:pPr>
        <w:spacing w:after="0" w:line="276" w:lineRule="auto"/>
        <w:ind w:left="567" w:right="99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En este orden de ideas y con fundamento en los artículos 4, 6, 11, 12 y 23 fracción IV de la Ley de Transparencia y Acceso a la Información Pública del Estado de México y Municipios; asi como 39 y 40 del Reglamento Interior de la Administración Pública Municipal de Cuautitlán Izcalli, Estado de México; me permito adjuntar al presente el archivo electrónico con la información solicitada.</w:t>
      </w:r>
    </w:p>
    <w:p w:rsidR="00000000" w:rsidDel="00000000" w:rsidP="00000000" w:rsidRDefault="00000000" w:rsidRPr="00000000" w14:paraId="0000001B">
      <w:pPr>
        <w:spacing w:after="0" w:line="360" w:lineRule="auto"/>
        <w:ind w:left="567" w:right="99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w:t>
      </w:r>
    </w:p>
    <w:p w:rsidR="00000000" w:rsidDel="00000000" w:rsidP="00000000" w:rsidRDefault="00000000" w:rsidRPr="00000000" w14:paraId="0000001C">
      <w:pPr>
        <w:numPr>
          <w:ilvl w:val="0"/>
          <w:numId w:val="1"/>
        </w:numPr>
        <w:spacing w:after="0" w:line="360" w:lineRule="auto"/>
        <w:ind w:left="567" w:right="990" w:hanging="141"/>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Listado de un aproximado de 51 servidores públicos; que corresponde a la Presidenta Municipal, Síndicos, Regidores; personal del Instituto Municipal para la Equidad de Género y Desarrollo de las Mujeres; del Instituto Municipal de Planeación; del Instituto Municipal de la Juventud;  en el que se observa, su nombre, su plaza, su área, la fecha de inicio de funciones, el total de percepciones, total de deducciones y el total a pagar. </w:t>
      </w:r>
    </w:p>
    <w:p w:rsidR="00000000" w:rsidDel="00000000" w:rsidP="00000000" w:rsidRDefault="00000000" w:rsidRPr="00000000" w14:paraId="0000001D">
      <w:pPr>
        <w:spacing w:after="0" w:line="360" w:lineRule="auto"/>
        <w:ind w:left="567" w:right="990"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1E">
      <w:pPr>
        <w:spacing w:after="0" w:line="360" w:lineRule="auto"/>
        <w:ind w:right="-3"/>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Una vez conocida la respuesta, el particular se inconformó por la entrega de la información incompleta, ello en virtud de que requiere la lista completa de todos los servidores públicos así como de los detalles indicados en la solicitud.</w:t>
      </w:r>
    </w:p>
    <w:p w:rsidR="00000000" w:rsidDel="00000000" w:rsidP="00000000" w:rsidRDefault="00000000" w:rsidRPr="00000000" w14:paraId="0000001F">
      <w:pPr>
        <w:spacing w:after="0" w:line="36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0">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 de señalar que el Sujeto Obligado rindió Informe Justificado mediante un archivo en formato </w:t>
      </w:r>
      <w:r w:rsidDel="00000000" w:rsidR="00000000" w:rsidRPr="00000000">
        <w:rPr>
          <w:rFonts w:ascii="Palatino Linotype" w:cs="Palatino Linotype" w:eastAsia="Palatino Linotype" w:hAnsi="Palatino Linotype"/>
          <w:i w:val="1"/>
          <w:sz w:val="24"/>
          <w:szCs w:val="24"/>
          <w:rtl w:val="0"/>
        </w:rPr>
        <w:t xml:space="preserve">pdf. </w:t>
      </w:r>
      <w:r w:rsidDel="00000000" w:rsidR="00000000" w:rsidRPr="00000000">
        <w:rPr>
          <w:rtl w:val="0"/>
        </w:rPr>
      </w:r>
    </w:p>
    <w:p w:rsidR="00000000" w:rsidDel="00000000" w:rsidP="00000000" w:rsidRDefault="00000000" w:rsidRPr="00000000" w14:paraId="00000021">
      <w:pPr>
        <w:spacing w:after="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2">
      <w:pPr>
        <w:numPr>
          <w:ilvl w:val="0"/>
          <w:numId w:val="2"/>
        </w:numPr>
        <w:spacing w:after="0" w:line="360" w:lineRule="auto"/>
        <w:ind w:left="567" w:right="990" w:hanging="36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Oficio PM/CUT/0683/2022, </w:t>
      </w:r>
      <w:r w:rsidDel="00000000" w:rsidR="00000000" w:rsidRPr="00000000">
        <w:rPr>
          <w:rFonts w:ascii="Palatino Linotype" w:cs="Palatino Linotype" w:eastAsia="Palatino Linotype" w:hAnsi="Palatino Linotype"/>
          <w:rtl w:val="0"/>
        </w:rPr>
        <w:t xml:space="preserve"> suscrito por la Coordinadora de Transparencia, en el que solicitó a la Directora de Administración que rindiera informe justificado.</w:t>
      </w:r>
      <w:r w:rsidDel="00000000" w:rsidR="00000000" w:rsidRPr="00000000">
        <w:rPr>
          <w:rtl w:val="0"/>
        </w:rPr>
      </w:r>
    </w:p>
    <w:p w:rsidR="00000000" w:rsidDel="00000000" w:rsidP="00000000" w:rsidRDefault="00000000" w:rsidRPr="00000000" w14:paraId="00000023">
      <w:pPr>
        <w:spacing w:after="0" w:line="360" w:lineRule="auto"/>
        <w:ind w:left="567" w:right="990"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24">
      <w:pPr>
        <w:numPr>
          <w:ilvl w:val="0"/>
          <w:numId w:val="2"/>
        </w:numPr>
        <w:spacing w:after="0" w:line="360" w:lineRule="auto"/>
        <w:ind w:left="567" w:right="990" w:hanging="36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Oficio DA/2918/2022,</w:t>
      </w:r>
      <w:r w:rsidDel="00000000" w:rsidR="00000000" w:rsidRPr="00000000">
        <w:rPr>
          <w:rFonts w:ascii="Palatino Linotype" w:cs="Palatino Linotype" w:eastAsia="Palatino Linotype" w:hAnsi="Palatino Linotype"/>
          <w:rtl w:val="0"/>
        </w:rPr>
        <w:t xml:space="preserve"> suscrito por la Directora de administración, en el que medularmente ratificó su respuesta inicial. </w:t>
      </w:r>
      <w:r w:rsidDel="00000000" w:rsidR="00000000" w:rsidRPr="00000000">
        <w:rPr>
          <w:rtl w:val="0"/>
        </w:rPr>
      </w:r>
    </w:p>
    <w:p w:rsidR="00000000" w:rsidDel="00000000" w:rsidP="00000000" w:rsidRDefault="00000000" w:rsidRPr="00000000" w14:paraId="00000025">
      <w:pPr>
        <w:spacing w:after="0"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26">
      <w:pPr>
        <w:numPr>
          <w:ilvl w:val="0"/>
          <w:numId w:val="2"/>
        </w:numPr>
        <w:spacing w:after="0" w:line="360" w:lineRule="auto"/>
        <w:ind w:left="567" w:hanging="36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Oficio DA/SRH/0059/2022, </w:t>
      </w:r>
      <w:r w:rsidDel="00000000" w:rsidR="00000000" w:rsidRPr="00000000">
        <w:rPr>
          <w:rFonts w:ascii="Palatino Linotype" w:cs="Palatino Linotype" w:eastAsia="Palatino Linotype" w:hAnsi="Palatino Linotype"/>
          <w:rtl w:val="0"/>
        </w:rPr>
        <w:t xml:space="preserve">suscrito por</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la por la encargada de Despacho de la Subdirección de Recursos Humanos, en el que señaló lo siguiente:</w:t>
      </w:r>
      <w:r w:rsidDel="00000000" w:rsidR="00000000" w:rsidRPr="00000000">
        <w:rPr>
          <w:rtl w:val="0"/>
        </w:rPr>
      </w:r>
    </w:p>
    <w:p w:rsidR="00000000" w:rsidDel="00000000" w:rsidP="00000000" w:rsidRDefault="00000000" w:rsidRPr="00000000" w14:paraId="00000027">
      <w:pPr>
        <w:spacing w:after="0" w:line="276" w:lineRule="auto"/>
        <w:ind w:left="567" w:right="99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28">
      <w:pPr>
        <w:spacing w:after="0" w:line="276" w:lineRule="auto"/>
        <w:ind w:left="567" w:right="99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Derivado de lo anterior, se desprende que se solicitó 1) relación de todo el personal adscrito al Ayuntamiento de Cuautitlán Izcalli; 2) relación de todo el personal adscrito al Instituto de la Juventud de Cuautitlán Izcalli, Instituto Municipal de Planeación y del Instituto Municipal para la Igualdad entre Mujeres y Hombres ahora bien, en relación al </w:t>
      </w:r>
      <w:r w:rsidDel="00000000" w:rsidR="00000000" w:rsidRPr="00000000">
        <w:rPr>
          <w:rFonts w:ascii="Palatino Linotype" w:cs="Palatino Linotype" w:eastAsia="Palatino Linotype" w:hAnsi="Palatino Linotype"/>
          <w:b w:val="1"/>
          <w:i w:val="1"/>
          <w:rtl w:val="0"/>
        </w:rPr>
        <w:t xml:space="preserve">arábigo 1) se</w:t>
      </w:r>
      <w:r w:rsidDel="00000000" w:rsidR="00000000" w:rsidRPr="00000000">
        <w:rPr>
          <w:rFonts w:ascii="Palatino Linotype" w:cs="Palatino Linotype" w:eastAsia="Palatino Linotype" w:hAnsi="Palatino Linotype"/>
          <w:i w:val="1"/>
          <w:rtl w:val="0"/>
        </w:rPr>
        <w:t xml:space="preserve"> precisa que a través del oficio </w:t>
      </w:r>
      <w:r w:rsidDel="00000000" w:rsidR="00000000" w:rsidRPr="00000000">
        <w:rPr>
          <w:rFonts w:ascii="Palatino Linotype" w:cs="Palatino Linotype" w:eastAsia="Palatino Linotype" w:hAnsi="Palatino Linotype"/>
          <w:b w:val="1"/>
          <w:i w:val="1"/>
          <w:rtl w:val="0"/>
        </w:rPr>
        <w:t xml:space="preserve">DA/SRH/0002/2022</w:t>
      </w:r>
      <w:r w:rsidDel="00000000" w:rsidR="00000000" w:rsidRPr="00000000">
        <w:rPr>
          <w:rFonts w:ascii="Palatino Linotype" w:cs="Palatino Linotype" w:eastAsia="Palatino Linotype" w:hAnsi="Palatino Linotype"/>
          <w:i w:val="1"/>
          <w:rtl w:val="0"/>
        </w:rPr>
        <w:t xml:space="preserve">, se contestó la solicitud de información en referencia y se otorgó la información requerida, lo anterior con fundamento en el artículo 16 fracción Ill de la Ley Orgánica Municipal del Estado de México, en el que indica que </w:t>
      </w:r>
      <w:r w:rsidDel="00000000" w:rsidR="00000000" w:rsidRPr="00000000">
        <w:rPr>
          <w:rFonts w:ascii="Palatino Linotype" w:cs="Palatino Linotype" w:eastAsia="Palatino Linotype" w:hAnsi="Palatino Linotype"/>
          <w:b w:val="1"/>
          <w:i w:val="1"/>
          <w:rtl w:val="0"/>
        </w:rPr>
        <w:t xml:space="preserve">los Ayuntamientos se integrarán por Presidente, un Síndico y siete Regidores, electos por planilla según el principio de mayoría relativa, además de un Sindico y cinco Regidores</w:t>
      </w:r>
      <w:r w:rsidDel="00000000" w:rsidR="00000000" w:rsidRPr="00000000">
        <w:rPr>
          <w:rFonts w:ascii="Palatino Linotype" w:cs="Palatino Linotype" w:eastAsia="Palatino Linotype" w:hAnsi="Palatino Linotype"/>
          <w:i w:val="1"/>
          <w:rtl w:val="0"/>
        </w:rPr>
        <w:t xml:space="preserve"> designados según el principio de representación proporcional, cuando se trate de municipios que tengan una población de más de 500 mil habitantes, misma información que fue otorgada, con nombre completo, área de adscripción, percepciones brutas, percepciones netas, deducciones, cargo y año de ingreso, cabe hacer mención que como integrantes de Cabildo no cuentan con un superior jerárquico.</w:t>
      </w:r>
    </w:p>
    <w:p w:rsidR="00000000" w:rsidDel="00000000" w:rsidP="00000000" w:rsidRDefault="00000000" w:rsidRPr="00000000" w14:paraId="00000029">
      <w:pPr>
        <w:spacing w:after="0" w:line="276" w:lineRule="auto"/>
        <w:ind w:left="567" w:right="990"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2A">
      <w:pPr>
        <w:spacing w:after="0" w:line="276" w:lineRule="auto"/>
        <w:ind w:left="567" w:right="99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Respecto </w:t>
      </w:r>
      <w:r w:rsidDel="00000000" w:rsidR="00000000" w:rsidRPr="00000000">
        <w:rPr>
          <w:rFonts w:ascii="Palatino Linotype" w:cs="Palatino Linotype" w:eastAsia="Palatino Linotype" w:hAnsi="Palatino Linotype"/>
          <w:b w:val="1"/>
          <w:i w:val="1"/>
          <w:rtl w:val="0"/>
        </w:rPr>
        <w:t xml:space="preserve">al arábigo 2)</w:t>
      </w:r>
      <w:r w:rsidDel="00000000" w:rsidR="00000000" w:rsidRPr="00000000">
        <w:rPr>
          <w:rFonts w:ascii="Palatino Linotype" w:cs="Palatino Linotype" w:eastAsia="Palatino Linotype" w:hAnsi="Palatino Linotype"/>
          <w:i w:val="1"/>
          <w:rtl w:val="0"/>
        </w:rPr>
        <w:t xml:space="preserve"> antes mencionado, se hace de conocimiento que se otorgó la información requerida de las áreas administrativas mencionadas, esto es, set otorgo </w:t>
      </w:r>
      <w:r w:rsidDel="00000000" w:rsidR="00000000" w:rsidRPr="00000000">
        <w:rPr>
          <w:rFonts w:ascii="Palatino Linotype" w:cs="Palatino Linotype" w:eastAsia="Palatino Linotype" w:hAnsi="Palatino Linotype"/>
          <w:b w:val="1"/>
          <w:i w:val="1"/>
          <w:rtl w:val="0"/>
        </w:rPr>
        <w:t xml:space="preserve">nombre completo, área de adscripción, percepciones brutas, percepciones netas, deducciones, cargo, año de ingreso y jefe inmediato de quienes se encuentran adscritos al Instituto de la Juventud de Cuautitlán Izcalli, Instituto Municipal de Planeación y del Instituto Municipal para la Igualdad entre Mujeres y Hombres,</w:t>
      </w:r>
      <w:r w:rsidDel="00000000" w:rsidR="00000000" w:rsidRPr="00000000">
        <w:rPr>
          <w:rFonts w:ascii="Palatino Linotype" w:cs="Palatino Linotype" w:eastAsia="Palatino Linotype" w:hAnsi="Palatino Linotype"/>
          <w:i w:val="1"/>
          <w:rtl w:val="0"/>
        </w:rPr>
        <w:t xml:space="preserve"> esto con fundamento en el articulo 46 del Reglamento Interior de la Administración Pública Municipal de Cuautitlán Izcalli, Estado de México, pues se consideran como órganos desconcentrados. (Sic).</w:t>
      </w:r>
    </w:p>
    <w:p w:rsidR="00000000" w:rsidDel="00000000" w:rsidP="00000000" w:rsidRDefault="00000000" w:rsidRPr="00000000" w14:paraId="0000002B">
      <w:pPr>
        <w:tabs>
          <w:tab w:val="left" w:leader="none" w:pos="2880"/>
        </w:tabs>
        <w:spacing w:after="0" w:line="276" w:lineRule="auto"/>
        <w:ind w:left="567" w:right="99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ab/>
      </w:r>
    </w:p>
    <w:p w:rsidR="00000000" w:rsidDel="00000000" w:rsidP="00000000" w:rsidRDefault="00000000" w:rsidRPr="00000000" w14:paraId="0000002C">
      <w:pPr>
        <w:spacing w:after="0" w:line="276" w:lineRule="auto"/>
        <w:ind w:left="567" w:right="99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Por cuanto </w:t>
      </w:r>
      <w:r w:rsidDel="00000000" w:rsidR="00000000" w:rsidRPr="00000000">
        <w:rPr>
          <w:rFonts w:ascii="Palatino Linotype" w:cs="Palatino Linotype" w:eastAsia="Palatino Linotype" w:hAnsi="Palatino Linotype"/>
          <w:b w:val="1"/>
          <w:i w:val="1"/>
          <w:rtl w:val="0"/>
        </w:rPr>
        <w:t xml:space="preserve">hace al Instituto Municipal del Deporte</w:t>
      </w:r>
      <w:r w:rsidDel="00000000" w:rsidR="00000000" w:rsidRPr="00000000">
        <w:rPr>
          <w:rFonts w:ascii="Palatino Linotype" w:cs="Palatino Linotype" w:eastAsia="Palatino Linotype" w:hAnsi="Palatino Linotype"/>
          <w:i w:val="1"/>
          <w:rtl w:val="0"/>
        </w:rPr>
        <w:t xml:space="preserve">, se informa que el mismo es considerado como un organismo público descentralizado con personalidad jurídica y patrimonio propios, como lo refiere el artículo 1 de la Ley que crea el </w:t>
      </w:r>
      <w:r w:rsidDel="00000000" w:rsidR="00000000" w:rsidRPr="00000000">
        <w:rPr>
          <w:rFonts w:ascii="Palatino Linotype" w:cs="Palatino Linotype" w:eastAsia="Palatino Linotype" w:hAnsi="Palatino Linotype"/>
          <w:b w:val="1"/>
          <w:i w:val="1"/>
          <w:rtl w:val="0"/>
        </w:rPr>
        <w:t xml:space="preserve">Organismo Público Descentralizado de carácter municipal denominado "Instituto Municipal del Deporte de Cuautitlán Izcalli</w:t>
      </w:r>
      <w:r w:rsidDel="00000000" w:rsidR="00000000" w:rsidRPr="00000000">
        <w:rPr>
          <w:rFonts w:ascii="Palatino Linotype" w:cs="Palatino Linotype" w:eastAsia="Palatino Linotype" w:hAnsi="Palatino Linotype"/>
          <w:i w:val="1"/>
          <w:rtl w:val="0"/>
        </w:rPr>
        <w:t xml:space="preserve">", motivo por el cual esta Subdirección no crea, administra y/o conserva la información requerida.</w:t>
      </w:r>
    </w:p>
    <w:p w:rsidR="00000000" w:rsidDel="00000000" w:rsidP="00000000" w:rsidRDefault="00000000" w:rsidRPr="00000000" w14:paraId="0000002D">
      <w:pPr>
        <w:spacing w:after="0" w:line="276" w:lineRule="auto"/>
        <w:ind w:left="567" w:right="99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rtl w:val="0"/>
        </w:rPr>
        <w:t xml:space="preserve">(Sic.)</w:t>
      </w:r>
    </w:p>
    <w:p w:rsidR="00000000" w:rsidDel="00000000" w:rsidP="00000000" w:rsidRDefault="00000000" w:rsidRPr="00000000" w14:paraId="0000002E">
      <w:pPr>
        <w:spacing w:after="0" w:line="360" w:lineRule="auto"/>
        <w:ind w:right="99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2F">
      <w:pPr>
        <w:numPr>
          <w:ilvl w:val="0"/>
          <w:numId w:val="2"/>
        </w:numPr>
        <w:spacing w:after="0" w:line="360" w:lineRule="auto"/>
        <w:ind w:left="567" w:right="990" w:hanging="36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Oficio PM/CUT/0683/2022, </w:t>
      </w:r>
      <w:r w:rsidDel="00000000" w:rsidR="00000000" w:rsidRPr="00000000">
        <w:rPr>
          <w:rFonts w:ascii="Palatino Linotype" w:cs="Palatino Linotype" w:eastAsia="Palatino Linotype" w:hAnsi="Palatino Linotype"/>
          <w:rtl w:val="0"/>
        </w:rPr>
        <w:t xml:space="preserve"> suscrito por la Coordinadora de Transparencia, en el que le solicitó al director del Instituto Municipal del Deporte del Sujeto Obligado, que rindiera informe justificado.</w:t>
      </w:r>
      <w:r w:rsidDel="00000000" w:rsidR="00000000" w:rsidRPr="00000000">
        <w:rPr>
          <w:rtl w:val="0"/>
        </w:rPr>
      </w:r>
    </w:p>
    <w:p w:rsidR="00000000" w:rsidDel="00000000" w:rsidP="00000000" w:rsidRDefault="00000000" w:rsidRPr="00000000" w14:paraId="00000030">
      <w:pPr>
        <w:spacing w:after="0" w:line="360" w:lineRule="auto"/>
        <w:ind w:left="567" w:right="990"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31">
      <w:pPr>
        <w:numPr>
          <w:ilvl w:val="0"/>
          <w:numId w:val="2"/>
        </w:numPr>
        <w:spacing w:after="0" w:line="360" w:lineRule="auto"/>
        <w:ind w:left="567" w:right="990" w:hanging="36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Oficio INMUDECI/DG/351/2022,</w:t>
      </w:r>
      <w:r w:rsidDel="00000000" w:rsidR="00000000" w:rsidRPr="00000000">
        <w:rPr>
          <w:rFonts w:ascii="Palatino Linotype" w:cs="Palatino Linotype" w:eastAsia="Palatino Linotype" w:hAnsi="Palatino Linotype"/>
          <w:rtl w:val="0"/>
        </w:rPr>
        <w:t xml:space="preserve">  suscrito por el Titular del Organismo Público Descentralizado de carácter Municipal Denominado Instituto Municipal del Deporte de Cuautitlán Izcalli; en el que medularmente ratificó su respuesta inicial. </w:t>
      </w:r>
      <w:r w:rsidDel="00000000" w:rsidR="00000000" w:rsidRPr="00000000">
        <w:rPr>
          <w:rtl w:val="0"/>
        </w:rPr>
      </w:r>
    </w:p>
    <w:p w:rsidR="00000000" w:rsidDel="00000000" w:rsidP="00000000" w:rsidRDefault="00000000" w:rsidRPr="00000000" w14:paraId="00000032">
      <w:pPr>
        <w:spacing w:line="360" w:lineRule="auto"/>
        <w:jc w:val="both"/>
        <w:rPr>
          <w:rFonts w:ascii="Palatino Linotype" w:cs="Palatino Linotype" w:eastAsia="Palatino Linotype" w:hAnsi="Palatino Linotype"/>
          <w:color w:val="0d0d0d"/>
          <w:highlight w:val="yellow"/>
        </w:rPr>
      </w:pPr>
      <w:r w:rsidDel="00000000" w:rsidR="00000000" w:rsidRPr="00000000">
        <w:rPr>
          <w:rtl w:val="0"/>
        </w:rPr>
      </w:r>
    </w:p>
    <w:p w:rsidR="00000000" w:rsidDel="00000000" w:rsidP="00000000" w:rsidRDefault="00000000" w:rsidRPr="00000000" w14:paraId="00000033">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lo que, previo análisis de las constancias y de la naturaleza de la información, la Ponencia determinó </w:t>
      </w:r>
      <w:r w:rsidDel="00000000" w:rsidR="00000000" w:rsidRPr="00000000">
        <w:rPr>
          <w:rFonts w:ascii="Palatino Linotype" w:cs="Palatino Linotype" w:eastAsia="Palatino Linotype" w:hAnsi="Palatino Linotype"/>
          <w:b w:val="1"/>
          <w:sz w:val="24"/>
          <w:szCs w:val="24"/>
          <w:rtl w:val="0"/>
        </w:rPr>
        <w:t xml:space="preserve">MODIFICAR</w:t>
      </w:r>
      <w:r w:rsidDel="00000000" w:rsidR="00000000" w:rsidRPr="00000000">
        <w:rPr>
          <w:rFonts w:ascii="Palatino Linotype" w:cs="Palatino Linotype" w:eastAsia="Palatino Linotype" w:hAnsi="Palatino Linotype"/>
          <w:sz w:val="24"/>
          <w:szCs w:val="24"/>
          <w:rtl w:val="0"/>
        </w:rPr>
        <w:t xml:space="preserve"> la respuesta y ordenar la entrega de información,  posteriormente en su </w:t>
      </w:r>
      <w:r w:rsidDel="00000000" w:rsidR="00000000" w:rsidRPr="00000000">
        <w:rPr>
          <w:rFonts w:ascii="Palatino Linotype" w:cs="Palatino Linotype" w:eastAsia="Palatino Linotype" w:hAnsi="Palatino Linotype"/>
          <w:b w:val="1"/>
          <w:sz w:val="24"/>
          <w:szCs w:val="24"/>
          <w:rtl w:val="0"/>
        </w:rPr>
        <w:t xml:space="preserve">resolutivo SEGUNDO</w:t>
      </w:r>
      <w:r w:rsidDel="00000000" w:rsidR="00000000" w:rsidRPr="00000000">
        <w:rPr>
          <w:rFonts w:ascii="Palatino Linotype" w:cs="Palatino Linotype" w:eastAsia="Palatino Linotype" w:hAnsi="Palatino Linotype"/>
          <w:sz w:val="24"/>
          <w:szCs w:val="24"/>
          <w:rtl w:val="0"/>
        </w:rPr>
        <w:t xml:space="preserve">, precisar al Sujeto Obligado que deberá remitir al particular, lo siguiente:</w:t>
      </w:r>
    </w:p>
    <w:p w:rsidR="00000000" w:rsidDel="00000000" w:rsidP="00000000" w:rsidRDefault="00000000" w:rsidRPr="00000000" w14:paraId="00000034">
      <w:pPr>
        <w:spacing w:after="0" w:line="276" w:lineRule="auto"/>
        <w:ind w:left="567" w:right="990" w:firstLine="0"/>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35">
      <w:pPr>
        <w:spacing w:after="0" w:line="276" w:lineRule="auto"/>
        <w:ind w:left="567" w:right="990"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w:t>
      </w:r>
    </w:p>
    <w:p w:rsidR="00000000" w:rsidDel="00000000" w:rsidP="00000000" w:rsidRDefault="00000000" w:rsidRPr="00000000" w14:paraId="00000036">
      <w:pPr>
        <w:spacing w:after="0" w:line="276" w:lineRule="auto"/>
        <w:ind w:left="567" w:right="99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Se ORDENA al Ayuntamiento de Cuautitlán Izcalli a efecto de que, entregue a través del Sistema de Acceso a la Información Mexiquense (SAIMEX), en versión pública; los documentos que den cuenta respecto de todo el personal del Ayuntamiento y todas sus unidades administrativas, Instituto de la Juventud, Instituto Municipal del Deporte, Instituto Municipal de Planeación, así como del Instituto Municipal para la Igualdad entre Mujeres y Hombres, por el periodo comprendido del primero al veintiocho de febrero del año en curso lo siguiente:</w:t>
      </w:r>
    </w:p>
    <w:p w:rsidR="00000000" w:rsidDel="00000000" w:rsidP="00000000" w:rsidRDefault="00000000" w:rsidRPr="00000000" w14:paraId="00000037">
      <w:pPr>
        <w:numPr>
          <w:ilvl w:val="0"/>
          <w:numId w:val="3"/>
        </w:numPr>
        <w:spacing w:after="0" w:line="276" w:lineRule="auto"/>
        <w:ind w:left="709" w:right="990" w:hanging="36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Nombre de todos de los servidores públicos </w:t>
      </w:r>
    </w:p>
    <w:p w:rsidR="00000000" w:rsidDel="00000000" w:rsidP="00000000" w:rsidRDefault="00000000" w:rsidRPr="00000000" w14:paraId="00000038">
      <w:pPr>
        <w:numPr>
          <w:ilvl w:val="0"/>
          <w:numId w:val="3"/>
        </w:numPr>
        <w:spacing w:after="0" w:line="276" w:lineRule="auto"/>
        <w:ind w:left="720" w:right="990" w:hanging="36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Sueldo neto</w:t>
      </w:r>
    </w:p>
    <w:p w:rsidR="00000000" w:rsidDel="00000000" w:rsidP="00000000" w:rsidRDefault="00000000" w:rsidRPr="00000000" w14:paraId="00000039">
      <w:pPr>
        <w:numPr>
          <w:ilvl w:val="0"/>
          <w:numId w:val="3"/>
        </w:numPr>
        <w:spacing w:after="0" w:line="276" w:lineRule="auto"/>
        <w:ind w:left="720" w:right="990" w:hanging="36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Área de adscripción </w:t>
      </w:r>
    </w:p>
    <w:p w:rsidR="00000000" w:rsidDel="00000000" w:rsidP="00000000" w:rsidRDefault="00000000" w:rsidRPr="00000000" w14:paraId="0000003A">
      <w:pPr>
        <w:numPr>
          <w:ilvl w:val="0"/>
          <w:numId w:val="3"/>
        </w:numPr>
        <w:spacing w:after="0" w:line="276" w:lineRule="auto"/>
        <w:ind w:left="720" w:right="990" w:hanging="36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Cargo</w:t>
      </w:r>
    </w:p>
    <w:p w:rsidR="00000000" w:rsidDel="00000000" w:rsidP="00000000" w:rsidRDefault="00000000" w:rsidRPr="00000000" w14:paraId="0000003B">
      <w:pPr>
        <w:numPr>
          <w:ilvl w:val="0"/>
          <w:numId w:val="3"/>
        </w:numPr>
        <w:spacing w:after="0" w:line="276" w:lineRule="auto"/>
        <w:ind w:left="720" w:right="990" w:hanging="36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Jefe inmediato</w:t>
      </w:r>
    </w:p>
    <w:p w:rsidR="00000000" w:rsidDel="00000000" w:rsidP="00000000" w:rsidRDefault="00000000" w:rsidRPr="00000000" w14:paraId="0000003C">
      <w:pPr>
        <w:numPr>
          <w:ilvl w:val="0"/>
          <w:numId w:val="3"/>
        </w:numPr>
        <w:spacing w:after="0" w:line="276" w:lineRule="auto"/>
        <w:ind w:left="720" w:right="990" w:hanging="36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Año en el que ingreso a laborar</w:t>
      </w:r>
    </w:p>
    <w:p w:rsidR="00000000" w:rsidDel="00000000" w:rsidP="00000000" w:rsidRDefault="00000000" w:rsidRPr="00000000" w14:paraId="0000003D">
      <w:pPr>
        <w:spacing w:after="0" w:line="276" w:lineRule="auto"/>
        <w:ind w:left="720" w:right="990" w:firstLine="0"/>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3E">
      <w:pPr>
        <w:spacing w:after="0" w:line="276" w:lineRule="auto"/>
        <w:ind w:left="720" w:right="99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Junto con la documentación se deberá entregar el Acuerdo del Comité de Transparencia mediante el cual se funde y motive la eliminación de los datos y documentos confidenciales, en términos de los artículos 49, fracciones II y VII, 143, fracción I, y 149, de la Ley de Transparencia y Acceso a la Información Pública del Estado de México y Municipios.</w:t>
      </w:r>
    </w:p>
    <w:p w:rsidR="00000000" w:rsidDel="00000000" w:rsidP="00000000" w:rsidRDefault="00000000" w:rsidRPr="00000000" w14:paraId="0000003F">
      <w:pPr>
        <w:spacing w:after="0" w:line="276" w:lineRule="auto"/>
        <w:ind w:left="720" w:right="990"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40">
      <w:pPr>
        <w:spacing w:after="0" w:line="276" w:lineRule="auto"/>
        <w:ind w:left="720" w:right="990"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i w:val="1"/>
          <w:rtl w:val="0"/>
        </w:rPr>
        <w:t xml:space="preserve">Para el caso de que no obre en los archivos un documento que dé cuenta del Jefe inmediato de cada uno de los trabajadores, deberá hacerlo del conocimiento del Recurrente de manera precisa y clara.” (Sic) </w:t>
      </w:r>
      <w:r w:rsidDel="00000000" w:rsidR="00000000" w:rsidRPr="00000000">
        <w:rPr>
          <w:rtl w:val="0"/>
        </w:rPr>
      </w:r>
    </w:p>
    <w:p w:rsidR="00000000" w:rsidDel="00000000" w:rsidP="00000000" w:rsidRDefault="00000000" w:rsidRPr="00000000" w14:paraId="00000041">
      <w:pPr>
        <w:spacing w:after="0" w:line="360" w:lineRule="auto"/>
        <w:jc w:val="both"/>
        <w:rPr>
          <w:rFonts w:ascii="Palatino Linotype" w:cs="Palatino Linotype" w:eastAsia="Palatino Linotype" w:hAnsi="Palatino Linotype"/>
          <w:sz w:val="23"/>
          <w:szCs w:val="23"/>
        </w:rPr>
      </w:pPr>
      <w:r w:rsidDel="00000000" w:rsidR="00000000" w:rsidRPr="00000000">
        <w:rPr>
          <w:rtl w:val="0"/>
        </w:rPr>
      </w:r>
    </w:p>
    <w:p w:rsidR="00000000" w:rsidDel="00000000" w:rsidP="00000000" w:rsidRDefault="00000000" w:rsidRPr="00000000" w14:paraId="00000042">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ese sentido debe mencionarse que, toda vez que se determinó que el Sujeto Obligado cuenta con una Dirección de Seguridad Pública, encargada de salvaguardar y garantizar el orden público y la paz social, así como de  la prevención, combate y persecución de delitos, por lo que </w:t>
      </w:r>
      <w:r w:rsidDel="00000000" w:rsidR="00000000" w:rsidRPr="00000000">
        <w:rPr>
          <w:rFonts w:ascii="Palatino Linotype" w:cs="Palatino Linotype" w:eastAsia="Palatino Linotype" w:hAnsi="Palatino Linotype"/>
          <w:b w:val="1"/>
          <w:sz w:val="24"/>
          <w:szCs w:val="24"/>
          <w:rtl w:val="0"/>
        </w:rPr>
        <w:t xml:space="preserve">para este Instituto </w:t>
      </w:r>
      <w:r w:rsidDel="00000000" w:rsidR="00000000" w:rsidRPr="00000000">
        <w:rPr>
          <w:rFonts w:ascii="Palatino Linotype" w:cs="Palatino Linotype" w:eastAsia="Palatino Linotype" w:hAnsi="Palatino Linotype"/>
          <w:b w:val="1"/>
          <w:color w:val="000000"/>
          <w:sz w:val="24"/>
          <w:szCs w:val="24"/>
          <w:rtl w:val="0"/>
        </w:rPr>
        <w:t xml:space="preserve">resultaba pertinente la reserva del nombre de los elementos operativos de la Comisaría General de Seguridad Ciudadana</w:t>
      </w:r>
      <w:r w:rsidDel="00000000" w:rsidR="00000000" w:rsidRPr="00000000">
        <w:rPr>
          <w:rFonts w:ascii="Palatino Linotype" w:cs="Palatino Linotype" w:eastAsia="Palatino Linotype" w:hAnsi="Palatino Linotype"/>
          <w:color w:val="000000"/>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para lo que es necesario el desarrollo de la prueba de daño,  </w:t>
      </w:r>
      <w:r w:rsidDel="00000000" w:rsidR="00000000" w:rsidRPr="00000000">
        <w:rPr>
          <w:rFonts w:ascii="Palatino Linotype" w:cs="Palatino Linotype" w:eastAsia="Palatino Linotype" w:hAnsi="Palatino Linotype"/>
          <w:b w:val="1"/>
          <w:sz w:val="24"/>
          <w:szCs w:val="24"/>
          <w:rtl w:val="0"/>
        </w:rPr>
        <w:t xml:space="preserve">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sidDel="00000000" w:rsidR="00000000" w:rsidRPr="00000000">
        <w:rPr>
          <w:rFonts w:ascii="Palatino Linotype" w:cs="Palatino Linotype" w:eastAsia="Palatino Linotype" w:hAnsi="Palatino Linotype"/>
          <w:sz w:val="24"/>
          <w:szCs w:val="24"/>
          <w:rtl w:val="0"/>
        </w:rPr>
        <w:t xml:space="preserve">. En otras palabras, la determinación que confirme una clasificación debe contener un análisis exhaustivo de los elementos de forma y fondo que establecen los artículos 122, 125, 128, 129, 130, 131, 132 fracción II, 134 de la Ley de Transparencia y Acceso a la Información Pública del Estado de México y Municipios y los Lineamientos Generales en Materia de Clasificación y Desclasificación de la Información, así como para la elaboración de Versiones Públicas. </w:t>
      </w:r>
    </w:p>
    <w:p w:rsidR="00000000" w:rsidDel="00000000" w:rsidP="00000000" w:rsidRDefault="00000000" w:rsidRPr="00000000" w14:paraId="00000043">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esta perspectiva, el Acuerdo de Clasificación de Información tiene como propósito primordial </w:t>
      </w:r>
      <w:r w:rsidDel="00000000" w:rsidR="00000000" w:rsidRPr="00000000">
        <w:rPr>
          <w:rFonts w:ascii="Palatino Linotype" w:cs="Palatino Linotype" w:eastAsia="Palatino Linotype" w:hAnsi="Palatino Linotype"/>
          <w:b w:val="1"/>
          <w:sz w:val="24"/>
          <w:szCs w:val="24"/>
          <w:rtl w:val="0"/>
        </w:rPr>
        <w:t xml:space="preserve">que los particulares conozcan de manera completa las condiciones y circunstancias que determinaron negar el acceso a la información</w:t>
      </w:r>
      <w:r w:rsidDel="00000000" w:rsidR="00000000" w:rsidRPr="00000000">
        <w:rPr>
          <w:rFonts w:ascii="Palatino Linotype" w:cs="Palatino Linotype" w:eastAsia="Palatino Linotype" w:hAnsi="Palatino Linotype"/>
          <w:sz w:val="24"/>
          <w:szCs w:val="24"/>
          <w:rtl w:val="0"/>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w:t>
      </w:r>
    </w:p>
    <w:p w:rsidR="00000000" w:rsidDel="00000000" w:rsidP="00000000" w:rsidRDefault="00000000" w:rsidRPr="00000000" w14:paraId="00000044">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Al respecto, los Lineamientos Generales en Materia de Clasificación y Desclasificación de la Información, así como para la elaboración de versiones públicas, establecen en su numeral Trigésimo Tercero que, para la aplicación de la prueba de daño los sujetos obligados atenderán lo siguiente: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9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"Trigésimo tercero. Para la aplicación de la prueba de daño a la que hace referencia el artículo 104 de la Ley General, los sujetos obligados atenderán lo siguiente: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9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I. Se deberá citar la fracción y, en su caso, la causal aplicable del artículo 113 de la Ley General, vinculándola con el Lineamiento especifico del presente ordenamiento y, cuando corresponda, el supuesto normativo que expresamente le otorga el carácter de información reservada;</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9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II. Mediante la ponderación de los intereses en conflicto, los sujetos obligados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deberán demostrar que la publicidad de la información solicitada generaría un riesgo de perjuicio y por lo tanto, tendrán que acreditar que este último rebasa el interés público protegido por la reserva</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9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III.</w:t>
        <w:tab/>
        <w:t xml:space="preserve">Se debe de acreditar el vínculo entre la difusión de la información y la afectación del interés jurídico tutelado de que se trate;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9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IV.</w:t>
        <w:tab/>
        <w:t xml:space="preserve">Precisar las razones objetivas por las que la apertura de la información generaría una afectación, a través de los elementos de un riesgo real, demostrable e identificable;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9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V.</w:t>
        <w:tab/>
        <w:t xml:space="preserve">En la motivación de la clasificación,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el sujeto obligado deberá acreditar las circunstancias de modo, tiempo y lugar del daño</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y</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9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VI.</w:t>
        <w:tab/>
        <w:t xml:space="preserve">Deberán elegir la opción de excepción al acceso a la información que menos lo restrinja, la cual será adecuada y proporcional para la protección del interés público, y deberá inte1ferir lo menos posible en el ejercicio efectivo del derecho de acceso a la información."(Sic)</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89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conclusión, para convalidar la clasificación como información reservada, </w:t>
      </w:r>
      <w:r w:rsidDel="00000000" w:rsidR="00000000" w:rsidRPr="00000000">
        <w:rPr>
          <w:rFonts w:ascii="Palatino Linotype" w:cs="Palatino Linotype" w:eastAsia="Palatino Linotype" w:hAnsi="Palatino Linotype"/>
          <w:b w:val="1"/>
          <w:sz w:val="24"/>
          <w:szCs w:val="24"/>
          <w:rtl w:val="0"/>
        </w:rPr>
        <w:t xml:space="preserve">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sidDel="00000000" w:rsidR="00000000" w:rsidRPr="00000000">
        <w:rPr>
          <w:rFonts w:ascii="Palatino Linotype" w:cs="Palatino Linotype" w:eastAsia="Palatino Linotype" w:hAnsi="Palatino Linotype"/>
          <w:sz w:val="24"/>
          <w:szCs w:val="24"/>
          <w:rtl w:val="0"/>
        </w:rPr>
        <w:t xml:space="preserve">, como es la figura de la clasificación de la información para verificar que se acredita la prueba de daño.</w:t>
      </w:r>
    </w:p>
    <w:p w:rsidR="00000000" w:rsidDel="00000000" w:rsidP="00000000" w:rsidRDefault="00000000" w:rsidRPr="00000000" w14:paraId="0000004E">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Bajo este contexto, se analizó la resolución del recurso de revisión </w:t>
      </w:r>
      <w:r w:rsidDel="00000000" w:rsidR="00000000" w:rsidRPr="00000000">
        <w:rPr>
          <w:rFonts w:ascii="Palatino Linotype" w:cs="Palatino Linotype" w:eastAsia="Palatino Linotype" w:hAnsi="Palatino Linotype"/>
          <w:b w:val="1"/>
          <w:sz w:val="24"/>
          <w:szCs w:val="24"/>
          <w:rtl w:val="0"/>
        </w:rPr>
        <w:t xml:space="preserve">05956/INFOEM/IP/RR/2022</w:t>
      </w:r>
      <w:r w:rsidDel="00000000" w:rsidR="00000000" w:rsidRPr="00000000">
        <w:rPr>
          <w:rFonts w:ascii="Palatino Linotype" w:cs="Palatino Linotype" w:eastAsia="Palatino Linotype" w:hAnsi="Palatino Linotype"/>
          <w:sz w:val="24"/>
          <w:szCs w:val="24"/>
          <w:rtl w:val="0"/>
        </w:rPr>
        <w:t xml:space="preserve">, en la cual, el Comisionado Ponente, desarrolla la prueba de daño, circunstancia que a consideración de la suscrita y derivado de lo antes señalado, </w:t>
      </w:r>
      <w:r w:rsidDel="00000000" w:rsidR="00000000" w:rsidRPr="00000000">
        <w:rPr>
          <w:rFonts w:ascii="Palatino Linotype" w:cs="Palatino Linotype" w:eastAsia="Palatino Linotype" w:hAnsi="Palatino Linotype"/>
          <w:b w:val="1"/>
          <w:sz w:val="24"/>
          <w:szCs w:val="24"/>
          <w:rtl w:val="0"/>
        </w:rPr>
        <w:t xml:space="preserve">les corresponde comprobar y desarrollar a los Sujetos Obligados</w:t>
      </w:r>
      <w:r w:rsidDel="00000000" w:rsidR="00000000" w:rsidRPr="00000000">
        <w:rPr>
          <w:rFonts w:ascii="Palatino Linotype" w:cs="Palatino Linotype" w:eastAsia="Palatino Linotype" w:hAnsi="Palatino Linotype"/>
          <w:sz w:val="24"/>
          <w:szCs w:val="24"/>
          <w:rtl w:val="0"/>
        </w:rPr>
        <w:t xml:space="preserve">, en razón de que, dentro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899"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“XXXIII. Prueba de Daño: </w:t>
      </w:r>
      <w:r w:rsidDel="00000000" w:rsidR="00000000" w:rsidRPr="00000000">
        <w:rPr>
          <w:rFonts w:ascii="Palatino Linotype" w:cs="Palatino Linotype" w:eastAsia="Palatino Linotype" w:hAnsi="Palatino Linotype"/>
          <w:b w:val="1"/>
          <w:i w:val="1"/>
          <w:smallCaps w:val="0"/>
          <w:strike w:val="0"/>
          <w:color w:val="000000"/>
          <w:sz w:val="22"/>
          <w:szCs w:val="22"/>
          <w:u w:val="single"/>
          <w:shd w:fill="auto" w:val="clear"/>
          <w:vertAlign w:val="baseline"/>
          <w:rtl w:val="0"/>
        </w:rPr>
        <w:t xml:space="preserve">Responsabilidad de los sujetos obligados de demostrar de manera fundada y motivada que la divulgación de información lesiona el interés jurídicamente protegido por la Ley,</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y que el menoscabo o daño que puede producirse con la publicidad de la información es mayor que el interés de conocerla y por consiguiente debe clasificarse como reservada…” (Sic)</w:t>
      </w:r>
      <w:r w:rsidDel="00000000" w:rsidR="00000000" w:rsidRPr="00000000">
        <w:rPr>
          <w:rtl w:val="0"/>
        </w:rPr>
      </w:r>
    </w:p>
    <w:p w:rsidR="00000000" w:rsidDel="00000000" w:rsidP="00000000" w:rsidRDefault="00000000" w:rsidRPr="00000000" w14:paraId="00000050">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1">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Precepto legal en donde establece que </w:t>
      </w:r>
      <w:r w:rsidDel="00000000" w:rsidR="00000000" w:rsidRPr="00000000">
        <w:rPr>
          <w:rFonts w:ascii="Palatino Linotype" w:cs="Palatino Linotype" w:eastAsia="Palatino Linotype" w:hAnsi="Palatino Linotype"/>
          <w:b w:val="1"/>
          <w:sz w:val="24"/>
          <w:szCs w:val="24"/>
          <w:rtl w:val="0"/>
        </w:rPr>
        <w:t xml:space="preserve">es obligación de los Sujeto Obligados, realizar la prueba de daño;</w:t>
      </w:r>
      <w:r w:rsidDel="00000000" w:rsidR="00000000" w:rsidRPr="00000000">
        <w:rPr>
          <w:rFonts w:ascii="Palatino Linotype" w:cs="Palatino Linotype" w:eastAsia="Palatino Linotype" w:hAnsi="Palatino Linotype"/>
          <w:sz w:val="24"/>
          <w:szCs w:val="24"/>
          <w:rtl w:val="0"/>
        </w:rPr>
        <w:t xml:space="preserve"> es decir, que los Sujetos Obligados que generan, administren o posean, la información que deba ser clasificada como información reservada por 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rsidR="00000000" w:rsidDel="00000000" w:rsidP="00000000" w:rsidRDefault="00000000" w:rsidRPr="00000000" w14:paraId="00000052">
      <w:pPr>
        <w:spacing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sz w:val="24"/>
          <w:szCs w:val="24"/>
          <w:rtl w:val="0"/>
        </w:rPr>
        <w:t xml:space="preserve">Esto es, que, a través de la prueba de daño, </w:t>
      </w:r>
      <w:r w:rsidDel="00000000" w:rsidR="00000000" w:rsidRPr="00000000">
        <w:rPr>
          <w:rFonts w:ascii="Palatino Linotype" w:cs="Palatino Linotype" w:eastAsia="Palatino Linotype" w:hAnsi="Palatino Linotype"/>
          <w:b w:val="1"/>
          <w:sz w:val="24"/>
          <w:szCs w:val="24"/>
          <w:rtl w:val="0"/>
        </w:rPr>
        <w:t xml:space="preserve">los sujetos obligados expongan las razones, motivos o circunstancias especiales que los lleven a concluir que la información adquiere el carácter de reservada, y se ajusta a los supuestos previstos en la normatividad como fundamento. </w:t>
      </w:r>
    </w:p>
    <w:p w:rsidR="00000000" w:rsidDel="00000000" w:rsidP="00000000" w:rsidRDefault="00000000" w:rsidRPr="00000000" w14:paraId="00000053">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lo que, en opinión de la Suscrita, y en términos de lo dispuesto por la normatividad en la materia, son los Sujetos Obligados, deben aportar los elementos para desarrollar la prueba de daño necesaria y suficiente, a fin de garantizar la reserva de información y la adecuada temporalidad de esta, aportando elementos necesarios para su clasificación. </w:t>
      </w:r>
    </w:p>
    <w:p w:rsidR="00000000" w:rsidDel="00000000" w:rsidP="00000000" w:rsidRDefault="00000000" w:rsidRPr="00000000" w14:paraId="00000054">
      <w:pPr>
        <w:spacing w:after="240" w:before="240" w:line="360" w:lineRule="auto"/>
        <w:jc w:val="both"/>
        <w:rPr>
          <w:rFonts w:ascii="Palatino Linotype" w:cs="Palatino Linotype" w:eastAsia="Palatino Linotype" w:hAnsi="Palatino Linotype"/>
          <w:sz w:val="24"/>
          <w:szCs w:val="24"/>
        </w:rPr>
      </w:pPr>
      <w:bookmarkStart w:colFirst="0" w:colLast="0" w:name="_heading=h.30j0zll" w:id="1"/>
      <w:bookmarkEnd w:id="1"/>
      <w:r w:rsidDel="00000000" w:rsidR="00000000" w:rsidRPr="00000000">
        <w:rPr>
          <w:rFonts w:ascii="Palatino Linotype" w:cs="Palatino Linotype" w:eastAsia="Palatino Linotype" w:hAnsi="Palatino Linotype"/>
          <w:sz w:val="24"/>
          <w:szCs w:val="24"/>
          <w:rtl w:val="0"/>
        </w:rPr>
        <w:t xml:space="preserve">Lo expuesto, constituyen las razones y fundamentos que me llevan a emitir la opinión particular que se ha expresado. </w:t>
      </w:r>
    </w:p>
    <w:p w:rsidR="00000000" w:rsidDel="00000000" w:rsidP="00000000" w:rsidRDefault="00000000" w:rsidRPr="00000000" w14:paraId="00000055">
      <w:pPr>
        <w:spacing w:after="240" w:before="240" w:line="360" w:lineRule="auto"/>
        <w:jc w:val="both"/>
        <w:rPr>
          <w:rFonts w:ascii="Palatino Linotype" w:cs="Palatino Linotype" w:eastAsia="Palatino Linotype" w:hAnsi="Palatino Linotype"/>
          <w:sz w:val="23"/>
          <w:szCs w:val="23"/>
        </w:rPr>
        <w:sectPr>
          <w:headerReference r:id="rId7" w:type="default"/>
          <w:headerReference r:id="rId8" w:type="first"/>
          <w:headerReference r:id="rId9" w:type="even"/>
          <w:footerReference r:id="rId10" w:type="default"/>
          <w:pgSz w:h="15840" w:w="12240" w:orient="portrait"/>
          <w:pgMar w:bottom="2836" w:top="1983" w:left="1985" w:right="1327" w:header="709" w:footer="586"/>
          <w:pgNumType w:start="1"/>
        </w:sectPr>
      </w:pPr>
      <w:r w:rsidDel="00000000" w:rsidR="00000000" w:rsidRPr="00000000">
        <w:rPr>
          <w:rtl w:val="0"/>
        </w:rPr>
      </w:r>
    </w:p>
    <w:p w:rsidR="00000000" w:rsidDel="00000000" w:rsidP="00000000" w:rsidRDefault="00000000" w:rsidRPr="00000000" w14:paraId="00000056">
      <w:pPr>
        <w:spacing w:after="240" w:before="240" w:line="360" w:lineRule="auto"/>
        <w:jc w:val="both"/>
        <w:rPr>
          <w:rFonts w:ascii="Palatino Linotype" w:cs="Palatino Linotype" w:eastAsia="Palatino Linotype" w:hAnsi="Palatino Linotype"/>
          <w:sz w:val="23"/>
          <w:szCs w:val="23"/>
        </w:rPr>
      </w:pPr>
      <w:r w:rsidDel="00000000" w:rsidR="00000000" w:rsidRPr="00000000">
        <w:rPr>
          <w:rtl w:val="0"/>
        </w:rPr>
      </w:r>
    </w:p>
    <w:p w:rsidR="00000000" w:rsidDel="00000000" w:rsidP="00000000" w:rsidRDefault="00000000" w:rsidRPr="00000000" w14:paraId="00000057">
      <w:pPr>
        <w:spacing w:after="240" w:before="240" w:line="360" w:lineRule="auto"/>
        <w:jc w:val="center"/>
        <w:rPr>
          <w:rFonts w:ascii="Palatino Linotype" w:cs="Palatino Linotype" w:eastAsia="Palatino Linotype" w:hAnsi="Palatino Linotype"/>
          <w:b w:val="1"/>
          <w:sz w:val="23"/>
          <w:szCs w:val="23"/>
        </w:rPr>
      </w:pPr>
      <w:r w:rsidDel="00000000" w:rsidR="00000000" w:rsidRPr="00000000">
        <w:rPr>
          <w:rtl w:val="0"/>
        </w:rPr>
      </w:r>
    </w:p>
    <w:p w:rsidR="00000000" w:rsidDel="00000000" w:rsidP="00000000" w:rsidRDefault="00000000" w:rsidRPr="00000000" w14:paraId="00000058">
      <w:pPr>
        <w:spacing w:after="0" w:line="240" w:lineRule="auto"/>
        <w:jc w:val="center"/>
        <w:rPr>
          <w:rFonts w:ascii="Palatino Linotype" w:cs="Palatino Linotype" w:eastAsia="Palatino Linotype" w:hAnsi="Palatino Linotype"/>
          <w:sz w:val="23"/>
          <w:szCs w:val="23"/>
        </w:rPr>
      </w:pPr>
      <w:r w:rsidDel="00000000" w:rsidR="00000000" w:rsidRPr="00000000">
        <w:rPr>
          <w:rtl w:val="0"/>
        </w:rPr>
      </w:r>
    </w:p>
    <w:p w:rsidR="00000000" w:rsidDel="00000000" w:rsidP="00000000" w:rsidRDefault="00000000" w:rsidRPr="00000000" w14:paraId="00000059">
      <w:pPr>
        <w:spacing w:after="240" w:before="240" w:line="36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sectPr>
      <w:headerReference r:id="rId11" w:type="default"/>
      <w:type w:val="nextPage"/>
      <w:pgSz w:h="15840" w:w="12240" w:orient="portrait"/>
      <w:pgMar w:bottom="2836" w:top="1871" w:left="1985" w:right="1327" w:header="709" w:footer="58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843"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-1114013</wp:posOffset>
          </wp:positionH>
          <wp:positionV relativeFrom="paragraph">
            <wp:posOffset>-449579</wp:posOffset>
          </wp:positionV>
          <wp:extent cx="7510628" cy="9883775"/>
          <wp:effectExtent b="0" l="0" r="0" t="0"/>
          <wp:wrapNone/>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10628" cy="9883775"/>
                  </a:xfrm>
                  <a:prstGeom prst="rect"/>
                  <a:ln/>
                </pic:spPr>
              </pic:pic>
            </a:graphicData>
          </a:graphic>
        </wp:anchor>
      </w:drawing>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5685"/>
        <w:tab w:val="right" w:leader="none" w:pos="8928"/>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ab/>
      <w:tab/>
      <w:tab/>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OPINIÓN PARTICULAR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134" w:right="0" w:firstLine="0"/>
      <w:jc w:val="right"/>
      <w:rPr>
        <w:rFonts w:ascii="Palatino Linotype" w:cs="Palatino Linotype" w:eastAsia="Palatino Linotype" w:hAnsi="Palatino Linotype"/>
        <w:b w:val="1"/>
        <w:i w:val="0"/>
        <w:smallCaps w:val="0"/>
        <w:strike w:val="0"/>
        <w:color w:val="000000"/>
        <w:sz w:val="18"/>
        <w:szCs w:val="18"/>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RECURSO DE REVISIÓN 05956/INFOEM/IP/RR/2022</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2" style="position:absolute;width:518.25pt;height:111.05pt;rotation:315;z-index:-503316481;mso-position-horizontal-relative:margin;mso-position-horizontal:center;mso-position-vertical-relative:margin;mso-position-vertical:center;" fillcolor="#c45911" stroked="f" type="#_x0000_t136">
          <v:fill angle="0" opacity="32768f"/>
          <v:textpath fitshape="t" string="VOTO PARTICULAR " style="font-family:&amp;quot;Calibri&amp;quot;;font-size:1pt;"/>
        </v:shape>
      </w:pic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301943" cy="5301943"/>
              <wp:effectExtent b="0" l="0" r="0" t="0"/>
              <wp:wrapNone/>
              <wp:docPr id="3" name=""/>
              <a:graphic>
                <a:graphicData uri="http://schemas.microsoft.com/office/word/2010/wordprocessingShape">
                  <wps:wsp>
                    <wps:cNvSpPr/>
                    <wps:cNvPr id="2" name="Shape 2"/>
                    <wps:spPr>
                      <a:xfrm rot="-2700000">
                        <a:off x="2440875" y="2945610"/>
                        <a:ext cx="5810250" cy="166878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ed7d31"/>
                              <w:sz w:val="144"/>
                              <w:vertAlign w:val="baseline"/>
                            </w:rPr>
                            <w:t xml:space="preserve">VOTO DISIDENTE</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301943" cy="5301943"/>
              <wp:effectExtent b="0" l="0" r="0" t="0"/>
              <wp:wrapNone/>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301943" cy="5301943"/>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1" style="position:absolute;width:518.25pt;height:111.05pt;rotation:315;z-index:-503316481;mso-position-horizontal-relative:margin;mso-position-horizontal:center;mso-position-vertical-relative:margin;mso-position-vertical:center;" fillcolor="#c45911" stroked="f" type="#_x0000_t136">
          <v:fill angle="0" opacity="32768f"/>
          <v:textpath fitshape="t" string="VOTO PARTICULAR " style="font-family:&amp;quot;Calibri&amp;quot;;font-size:1pt;"/>
        </v:shape>
      </w:pic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5685"/>
        <w:tab w:val="right" w:leader="none" w:pos="8928"/>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ab/>
      <w:tab/>
      <w:tab/>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B2A76"/>
    <w:pPr>
      <w:spacing w:line="256" w:lineRule="auto"/>
    </w:p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0B2A76"/>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EncabezadoCar" w:customStyle="1">
    <w:name w:val="Encabezado Car"/>
    <w:basedOn w:val="Fuentedeprrafopredeter"/>
    <w:link w:val="Encabezado"/>
    <w:uiPriority w:val="99"/>
    <w:rsid w:val="000B2A76"/>
    <w:rPr>
      <w:rFonts w:ascii="Times New Roman" w:cs="Times New Roman" w:eastAsia="Times New Roman" w:hAnsi="Times New Roman"/>
      <w:sz w:val="24"/>
      <w:szCs w:val="24"/>
      <w:lang w:eastAsia="es-ES" w:val="es-ES"/>
    </w:rPr>
  </w:style>
  <w:style w:type="paragraph" w:styleId="Piedepgina">
    <w:name w:val="footer"/>
    <w:basedOn w:val="Normal"/>
    <w:link w:val="PiedepginaCar"/>
    <w:uiPriority w:val="99"/>
    <w:unhideWhenUsed w:val="1"/>
    <w:rsid w:val="000B2A76"/>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PiedepginaCar" w:customStyle="1">
    <w:name w:val="Pie de página Car"/>
    <w:basedOn w:val="Fuentedeprrafopredeter"/>
    <w:link w:val="Piedepgina"/>
    <w:uiPriority w:val="99"/>
    <w:rsid w:val="000B2A76"/>
    <w:rPr>
      <w:rFonts w:ascii="Times New Roman" w:cs="Times New Roman" w:eastAsia="Times New Roman" w:hAnsi="Times New Roman"/>
      <w:sz w:val="24"/>
      <w:szCs w:val="24"/>
      <w:lang w:eastAsia="es-ES" w:val="es-ES"/>
    </w:rPr>
  </w:style>
  <w:style w:type="paragraph" w:styleId="NormalWeb">
    <w:name w:val="Normal (Web)"/>
    <w:basedOn w:val="Normal"/>
    <w:uiPriority w:val="99"/>
    <w:rsid w:val="000B2A76"/>
    <w:pPr>
      <w:spacing w:after="100" w:afterAutospacing="1" w:before="100" w:beforeAutospacing="1" w:line="240" w:lineRule="auto"/>
    </w:pPr>
    <w:rPr>
      <w:rFonts w:ascii="Times New Roman" w:cs="Times New Roman" w:eastAsia="Times New Roman" w:hAnsi="Times New Roman"/>
      <w:sz w:val="24"/>
      <w:szCs w:val="24"/>
      <w:lang w:eastAsia="es-ES" w:val="es-ES"/>
    </w:rPr>
  </w:style>
  <w:style w:type="character" w:styleId="normaltextrun" w:customStyle="1">
    <w:name w:val="normaltextrun"/>
    <w:basedOn w:val="Fuentedeprrafopredeter"/>
    <w:rsid w:val="000B2A76"/>
  </w:style>
  <w:style w:type="paragraph" w:styleId="Sinespaciado">
    <w:name w:val="No Spacing"/>
    <w:aliases w:val="Francesa"/>
    <w:link w:val="SinespaciadoCar"/>
    <w:uiPriority w:val="1"/>
    <w:qFormat w:val="1"/>
    <w:rsid w:val="000B2A76"/>
    <w:pPr>
      <w:spacing w:after="0" w:line="240" w:lineRule="auto"/>
    </w:pPr>
    <w:rPr>
      <w:rFonts w:ascii="Times New Roman" w:cs="Times New Roman" w:eastAsia="Times New Roman" w:hAnsi="Times New Roman"/>
      <w:sz w:val="24"/>
      <w:szCs w:val="24"/>
      <w:lang w:eastAsia="es-ES"/>
    </w:rPr>
  </w:style>
  <w:style w:type="character" w:styleId="SinespaciadoCar" w:customStyle="1">
    <w:name w:val="Sin espaciado Car"/>
    <w:aliases w:val="Francesa Car"/>
    <w:link w:val="Sinespaciado"/>
    <w:uiPriority w:val="1"/>
    <w:locked w:val="1"/>
    <w:rsid w:val="000B2A76"/>
    <w:rPr>
      <w:rFonts w:ascii="Times New Roman" w:cs="Times New Roman" w:eastAsia="Times New Roman" w:hAnsi="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0B2A76"/>
    <w:pPr>
      <w:spacing w:after="0" w:line="240" w:lineRule="auto"/>
      <w:ind w:left="720"/>
      <w:contextualSpacing w:val="1"/>
    </w:pPr>
    <w:rPr>
      <w:rFonts w:ascii="Century Gothic" w:cs="Times New Roman" w:eastAsia="Times New Roman" w:hAnsi="Century Gothic"/>
      <w:szCs w:val="24"/>
      <w:lang w:eastAsia="es-ES"/>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val="1"/>
    <w:rsid w:val="000B2A76"/>
    <w:rPr>
      <w:rFonts w:ascii="Century Gothic" w:cs="Times New Roman" w:eastAsia="Times New Roman" w:hAnsi="Century Gothic"/>
      <w:szCs w:val="24"/>
      <w:lang w:eastAsia="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4.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mRvQxH1O8GAx1h6CUFLDVYzhHA==">CgMxLjAyCGguZ2pkZ3hzMgloLjMwajB6bGw4AHIhMVg2cWtGWmJkWUczZklyaTR0c0VCbHNaWEtmSEFWQ3p6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2022-07-11T15:27:00Z</dcterms:created>
  <dc:creator>USUARIO</dc:creator>
</cp:coreProperties>
</file>