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bookmarkStart w:id="0" w:name="_GoBack"/>
      <w:bookmarkEnd w:id="0"/>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SESIÓN ORDINARIA DEL </w:t>
      </w:r>
      <w:r>
        <w:rPr>
          <w:rFonts w:ascii="Palatino Linotype" w:hAnsi="Palatino Linotype"/>
          <w:b/>
          <w:sz w:val="23"/>
          <w:szCs w:val="23"/>
        </w:rPr>
        <w:t>PRIMERO DE JUNI</w:t>
      </w:r>
      <w:r w:rsidRPr="00940354">
        <w:rPr>
          <w:rFonts w:ascii="Palatino Linotype" w:hAnsi="Palatino Linotype"/>
          <w:b/>
          <w:sz w:val="23"/>
          <w:szCs w:val="23"/>
        </w:rPr>
        <w:t>O DE DOS MIL VEINTIDÓS, EN EL RECURSO DE REVISIÓN 0</w:t>
      </w:r>
      <w:r>
        <w:rPr>
          <w:rFonts w:ascii="Palatino Linotype" w:hAnsi="Palatino Linotype"/>
          <w:b/>
          <w:sz w:val="23"/>
          <w:szCs w:val="23"/>
        </w:rPr>
        <w:t>3411</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D36CD9">
        <w:rPr>
          <w:rFonts w:ascii="Palatino Linotype" w:hAnsi="Palatino Linotype"/>
          <w:sz w:val="23"/>
          <w:szCs w:val="23"/>
        </w:rPr>
        <w:t xml:space="preserve">mayoría </w:t>
      </w:r>
      <w:r w:rsidRPr="00940354">
        <w:rPr>
          <w:rFonts w:ascii="Palatino Linotype" w:hAnsi="Palatino Linotype"/>
          <w:sz w:val="23"/>
          <w:szCs w:val="23"/>
        </w:rPr>
        <w:t xml:space="preserve">de votos, la resolución relativa al recurso de revisión </w:t>
      </w:r>
      <w:r w:rsidRPr="00D36CD9">
        <w:rPr>
          <w:rFonts w:ascii="Palatino Linotype" w:hAnsi="Palatino Linotype"/>
          <w:b/>
          <w:sz w:val="23"/>
          <w:szCs w:val="23"/>
        </w:rPr>
        <w:t>03411/INFOEM/IP/RR/2022,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0B2A76"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Ayuntamiento de </w:t>
      </w:r>
      <w:r>
        <w:rPr>
          <w:rFonts w:ascii="Palatino Linotype" w:hAnsi="Palatino Linotype"/>
          <w:sz w:val="23"/>
          <w:szCs w:val="23"/>
        </w:rPr>
        <w:t>Toluca</w:t>
      </w:r>
      <w:r w:rsidRPr="00940354">
        <w:rPr>
          <w:rFonts w:ascii="Palatino Linotype" w:hAnsi="Palatino Linotype"/>
          <w:sz w:val="23"/>
          <w:szCs w:val="23"/>
        </w:rPr>
        <w:t xml:space="preserve">, que en esencia se le proporcionara </w:t>
      </w:r>
      <w:r>
        <w:rPr>
          <w:rFonts w:ascii="Palatino Linotype" w:hAnsi="Palatino Linotype"/>
          <w:sz w:val="23"/>
          <w:szCs w:val="23"/>
        </w:rPr>
        <w:t>el</w:t>
      </w:r>
      <w:r w:rsidRPr="00940354">
        <w:rPr>
          <w:rFonts w:ascii="Palatino Linotype" w:hAnsi="Palatino Linotype"/>
          <w:sz w:val="23"/>
          <w:szCs w:val="23"/>
        </w:rPr>
        <w:t xml:space="preserve"> </w:t>
      </w:r>
      <w:r w:rsidRPr="000B2A76">
        <w:rPr>
          <w:rFonts w:ascii="Palatino Linotype" w:hAnsi="Palatino Linotype"/>
          <w:sz w:val="23"/>
          <w:szCs w:val="23"/>
        </w:rPr>
        <w:t xml:space="preserve">expediente de los servidores públicos que ingresaron a laborar a partir del primero </w:t>
      </w:r>
      <w:r w:rsidR="00D36CD9">
        <w:rPr>
          <w:rFonts w:ascii="Palatino Linotype" w:hAnsi="Palatino Linotype"/>
          <w:sz w:val="23"/>
          <w:szCs w:val="23"/>
        </w:rPr>
        <w:t xml:space="preserve">de enero al treinta y uno </w:t>
      </w:r>
      <w:r>
        <w:rPr>
          <w:rFonts w:ascii="Palatino Linotype" w:hAnsi="Palatino Linotype"/>
          <w:sz w:val="23"/>
          <w:szCs w:val="23"/>
        </w:rPr>
        <w:t xml:space="preserve">de enero de </w:t>
      </w:r>
      <w:r w:rsidR="00D36CD9">
        <w:rPr>
          <w:rFonts w:ascii="Palatino Linotype" w:hAnsi="Palatino Linotype"/>
          <w:sz w:val="23"/>
          <w:szCs w:val="23"/>
        </w:rPr>
        <w:t>dos mil veintidós</w:t>
      </w:r>
      <w:r w:rsidRPr="00940354">
        <w:rPr>
          <w:rFonts w:ascii="Palatino Linotype" w:hAnsi="Palatino Linotype"/>
          <w:sz w:val="23"/>
          <w:szCs w:val="23"/>
        </w:rPr>
        <w:t>.</w:t>
      </w:r>
    </w:p>
    <w:p w:rsidR="004A63C4" w:rsidRDefault="000B2A76" w:rsidP="000B2A76">
      <w:pPr>
        <w:spacing w:before="240" w:after="240" w:line="360" w:lineRule="auto"/>
        <w:jc w:val="both"/>
        <w:rPr>
          <w:rFonts w:ascii="Palatino Linotype" w:hAnsi="Palatino Linotype" w:cs="Tahoma"/>
        </w:rPr>
      </w:pPr>
      <w:r w:rsidRPr="000B2A76">
        <w:rPr>
          <w:rFonts w:ascii="Palatino Linotype" w:hAnsi="Palatino Linotype"/>
          <w:sz w:val="24"/>
          <w:szCs w:val="24"/>
        </w:rPr>
        <w:lastRenderedPageBreak/>
        <w:t>El Sujeto Obligado, proporciona respuesta, remitiendo las ficha</w:t>
      </w:r>
      <w:r w:rsidR="00D36CD9">
        <w:rPr>
          <w:rFonts w:ascii="Palatino Linotype" w:hAnsi="Palatino Linotype"/>
          <w:sz w:val="24"/>
          <w:szCs w:val="24"/>
        </w:rPr>
        <w:t>s</w:t>
      </w:r>
      <w:r w:rsidRPr="000B2A76">
        <w:rPr>
          <w:rFonts w:ascii="Palatino Linotype" w:hAnsi="Palatino Linotype"/>
          <w:sz w:val="24"/>
          <w:szCs w:val="24"/>
        </w:rPr>
        <w:t xml:space="preserve"> curricular</w:t>
      </w:r>
      <w:r w:rsidR="00D36CD9">
        <w:rPr>
          <w:rFonts w:ascii="Palatino Linotype" w:hAnsi="Palatino Linotype"/>
          <w:sz w:val="24"/>
          <w:szCs w:val="24"/>
        </w:rPr>
        <w:t>es</w:t>
      </w:r>
      <w:r w:rsidRPr="000B2A76">
        <w:rPr>
          <w:rFonts w:ascii="Palatino Linotype" w:hAnsi="Palatino Linotype"/>
          <w:sz w:val="24"/>
          <w:szCs w:val="24"/>
        </w:rPr>
        <w:t xml:space="preserve"> de la Directora General, el Titular de la Unidad de Administración y Finanzas, Titular del Órgano Interno de Control, Auxiliar Administrativo, Jefe de Departamento, así mismo </w:t>
      </w:r>
      <w:r w:rsidRPr="000B2A76">
        <w:rPr>
          <w:rFonts w:ascii="Palatino Linotype" w:hAnsi="Palatino Linotype" w:cs="Tahoma"/>
          <w:sz w:val="24"/>
          <w:szCs w:val="24"/>
        </w:rPr>
        <w:t xml:space="preserve">la Directora General del IMCUFIDET anexo las fichas curriculares de la </w:t>
      </w:r>
      <w:r w:rsidRPr="000B2A76">
        <w:rPr>
          <w:rFonts w:ascii="Palatino Linotype" w:hAnsi="Palatino Linotype" w:cs="Tahoma"/>
          <w:bCs/>
          <w:sz w:val="24"/>
          <w:szCs w:val="24"/>
        </w:rPr>
        <w:t>Directora General</w:t>
      </w:r>
      <w:r w:rsidRPr="000B2A76">
        <w:rPr>
          <w:rFonts w:ascii="Palatino Linotype" w:hAnsi="Palatino Linotype"/>
          <w:sz w:val="24"/>
          <w:szCs w:val="24"/>
        </w:rPr>
        <w:t xml:space="preserve">, la </w:t>
      </w:r>
      <w:r w:rsidRPr="000B2A76">
        <w:rPr>
          <w:rFonts w:ascii="Palatino Linotype" w:hAnsi="Palatino Linotype" w:cs="Tahoma"/>
          <w:bCs/>
          <w:sz w:val="24"/>
          <w:szCs w:val="24"/>
        </w:rPr>
        <w:t>Coordinadora de Instalaciones Deportivas</w:t>
      </w:r>
      <w:r w:rsidRPr="000B2A76">
        <w:rPr>
          <w:rFonts w:ascii="Palatino Linotype" w:hAnsi="Palatino Linotype"/>
          <w:sz w:val="24"/>
          <w:szCs w:val="24"/>
        </w:rPr>
        <w:t xml:space="preserve">, la </w:t>
      </w:r>
      <w:r w:rsidRPr="000B2A76">
        <w:rPr>
          <w:rFonts w:ascii="Palatino Linotype" w:hAnsi="Palatino Linotype" w:cs="Tahoma"/>
          <w:bCs/>
          <w:sz w:val="24"/>
          <w:szCs w:val="24"/>
        </w:rPr>
        <w:t>Coordinadora de Administración y Finanzas</w:t>
      </w:r>
      <w:r w:rsidRPr="000B2A76">
        <w:rPr>
          <w:rFonts w:ascii="Palatino Linotype" w:hAnsi="Palatino Linotype"/>
          <w:sz w:val="24"/>
          <w:szCs w:val="24"/>
        </w:rPr>
        <w:t xml:space="preserve">, </w:t>
      </w:r>
      <w:r w:rsidRPr="000B2A76">
        <w:rPr>
          <w:rFonts w:ascii="Palatino Linotype" w:hAnsi="Palatino Linotype" w:cs="Tahoma"/>
          <w:bCs/>
          <w:sz w:val="24"/>
          <w:szCs w:val="24"/>
        </w:rPr>
        <w:t>Contralora Interna</w:t>
      </w:r>
      <w:r w:rsidRPr="000B2A76">
        <w:rPr>
          <w:rFonts w:ascii="Palatino Linotype" w:hAnsi="Palatino Linotype"/>
          <w:sz w:val="24"/>
          <w:szCs w:val="24"/>
        </w:rPr>
        <w:t xml:space="preserve"> y del </w:t>
      </w:r>
      <w:r w:rsidRPr="000B2A76">
        <w:rPr>
          <w:rFonts w:ascii="Palatino Linotype" w:hAnsi="Palatino Linotype" w:cs="Tahoma"/>
          <w:bCs/>
          <w:sz w:val="24"/>
          <w:szCs w:val="24"/>
        </w:rPr>
        <w:t>Jefe del Departamento de Cultura Física</w:t>
      </w:r>
      <w:r w:rsidR="004A63C4">
        <w:rPr>
          <w:rFonts w:ascii="Palatino Linotype" w:hAnsi="Palatino Linotype" w:cs="Tahoma"/>
          <w:bCs/>
          <w:sz w:val="24"/>
          <w:szCs w:val="24"/>
        </w:rPr>
        <w:t>, la</w:t>
      </w:r>
      <w:r w:rsidR="004A63C4">
        <w:rPr>
          <w:rFonts w:ascii="Palatino Linotype" w:hAnsi="Palatino Linotype" w:cs="Tahoma"/>
        </w:rPr>
        <w:t xml:space="preserve"> Directora General del Instituto Municipal de Cultura Física y Deporte de Toluca, </w:t>
      </w:r>
      <w:r w:rsidR="004A63C4" w:rsidRPr="004A63C4">
        <w:rPr>
          <w:rFonts w:ascii="Palatino Linotype" w:hAnsi="Palatino Linotype" w:cs="Tahoma"/>
          <w:sz w:val="24"/>
        </w:rPr>
        <w:t xml:space="preserve">anexa </w:t>
      </w:r>
      <w:r w:rsidR="004A63C4">
        <w:rPr>
          <w:rFonts w:ascii="Palatino Linotype" w:hAnsi="Palatino Linotype" w:cs="Tahoma"/>
          <w:sz w:val="24"/>
        </w:rPr>
        <w:t xml:space="preserve">fichas curriculares y el </w:t>
      </w:r>
      <w:r w:rsidR="004A63C4">
        <w:rPr>
          <w:rFonts w:ascii="Palatino Linotype" w:hAnsi="Palatino Linotype" w:cs="Tahoma"/>
        </w:rPr>
        <w:t xml:space="preserve">Acta de la Octogésima Séptima Sesión Extraordinaria 2022 del Comité de Transparencia del Municipio de Toluca, por medio del cual, en su parte medular, solicita el cambio de modalidad a consulta directa, derivado de que la información solicitada sobrepasa las capacidades técnicas y humanas.  </w:t>
      </w:r>
    </w:p>
    <w:p w:rsidR="004A63C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Ante la respuesta proporcionada por el Sujeto Obligado, el particular se inconforma, </w:t>
      </w:r>
      <w:r w:rsidR="004A63C4" w:rsidRPr="00940354">
        <w:rPr>
          <w:rFonts w:ascii="Palatino Linotype" w:hAnsi="Palatino Linotype"/>
          <w:sz w:val="23"/>
          <w:szCs w:val="23"/>
        </w:rPr>
        <w:t>porq</w:t>
      </w:r>
      <w:r w:rsidR="004A63C4">
        <w:rPr>
          <w:rFonts w:ascii="Palatino Linotype" w:hAnsi="Palatino Linotype"/>
          <w:sz w:val="23"/>
          <w:szCs w:val="23"/>
        </w:rPr>
        <w:t xml:space="preserve">ue </w:t>
      </w:r>
      <w:r w:rsidR="004A63C4" w:rsidRPr="004A63C4">
        <w:rPr>
          <w:rFonts w:ascii="Palatino Linotype" w:hAnsi="Palatino Linotype"/>
          <w:sz w:val="23"/>
          <w:szCs w:val="23"/>
        </w:rPr>
        <w:t xml:space="preserve">no </w:t>
      </w:r>
      <w:r w:rsidR="004A63C4">
        <w:rPr>
          <w:rFonts w:ascii="Palatino Linotype" w:hAnsi="Palatino Linotype"/>
          <w:sz w:val="23"/>
          <w:szCs w:val="23"/>
        </w:rPr>
        <w:t xml:space="preserve">le </w:t>
      </w:r>
      <w:r w:rsidR="004A63C4" w:rsidRPr="004A63C4">
        <w:rPr>
          <w:rFonts w:ascii="Palatino Linotype" w:hAnsi="Palatino Linotype"/>
          <w:sz w:val="23"/>
          <w:szCs w:val="23"/>
        </w:rPr>
        <w:t>ent</w:t>
      </w:r>
      <w:r w:rsidR="004A63C4">
        <w:rPr>
          <w:rFonts w:ascii="Palatino Linotype" w:hAnsi="Palatino Linotype"/>
          <w:sz w:val="23"/>
          <w:szCs w:val="23"/>
        </w:rPr>
        <w:t>regan información solicitada.</w:t>
      </w:r>
    </w:p>
    <w:p w:rsidR="000B2A76" w:rsidRPr="00D36CD9" w:rsidRDefault="000B2A76" w:rsidP="00D36CD9">
      <w:pPr>
        <w:spacing w:before="240" w:after="240" w:line="360" w:lineRule="auto"/>
        <w:jc w:val="both"/>
        <w:rPr>
          <w:rFonts w:ascii="Palatino Linotype" w:hAnsi="Palatino Linotype"/>
          <w:sz w:val="24"/>
          <w:lang w:val="es-ES_tradnl"/>
        </w:rPr>
      </w:pPr>
      <w:r w:rsidRPr="00940354">
        <w:rPr>
          <w:rFonts w:ascii="Palatino Linotype" w:hAnsi="Palatino Linotype"/>
          <w:sz w:val="24"/>
        </w:rPr>
        <w:t xml:space="preserve">Por lo que el Sujeto Obligado mediante Informe Justificado, </w:t>
      </w:r>
      <w:r w:rsidR="004A63C4" w:rsidRPr="004A63C4">
        <w:rPr>
          <w:rFonts w:ascii="Palatino Linotype" w:hAnsi="Palatino Linotype"/>
          <w:sz w:val="24"/>
        </w:rPr>
        <w:t xml:space="preserve">ratifica su respuesta inicial </w:t>
      </w:r>
      <w:r w:rsidR="004A63C4">
        <w:rPr>
          <w:rFonts w:ascii="Palatino Linotype" w:hAnsi="Palatino Linotype"/>
          <w:sz w:val="24"/>
        </w:rPr>
        <w:t xml:space="preserve">en </w:t>
      </w:r>
      <w:r w:rsidR="004A63C4" w:rsidRPr="004A63C4">
        <w:rPr>
          <w:rFonts w:ascii="Palatino Linotype" w:hAnsi="Palatino Linotype"/>
          <w:sz w:val="24"/>
        </w:rPr>
        <w:t>términos generales</w:t>
      </w:r>
      <w:r>
        <w:rPr>
          <w:rFonts w:ascii="Palatino Linotype" w:eastAsia="Arial Unicode MS" w:hAnsi="Palatino Linotype" w:cs="Arial Unicode MS"/>
          <w:iCs/>
          <w:sz w:val="24"/>
          <w:lang w:val="es-ES"/>
        </w:rPr>
        <w:t xml:space="preserve">. </w:t>
      </w:r>
    </w:p>
    <w:p w:rsidR="004A63C4" w:rsidRPr="004A63C4" w:rsidRDefault="000B2A76" w:rsidP="004A63C4">
      <w:pPr>
        <w:autoSpaceDE w:val="0"/>
        <w:autoSpaceDN w:val="0"/>
        <w:adjustRightInd w:val="0"/>
        <w:spacing w:line="360" w:lineRule="auto"/>
        <w:contextualSpacing/>
        <w:jc w:val="both"/>
        <w:rPr>
          <w:rFonts w:ascii="Palatino Linotype" w:hAnsi="Palatino Linotype" w:cs="Tahoma"/>
          <w:i/>
          <w:sz w:val="23"/>
          <w:szCs w:val="23"/>
        </w:rPr>
      </w:pPr>
      <w:r>
        <w:rPr>
          <w:rFonts w:ascii="Palatino Linotype" w:hAnsi="Palatino Linotype"/>
          <w:sz w:val="23"/>
          <w:szCs w:val="23"/>
        </w:rPr>
        <w:t>Por lo que, previo análisis de las constancias y de la naturaleza de la información, la Ponencia Resolutora determinó en su resolutivo SEGUNDO o</w:t>
      </w:r>
      <w:r w:rsidRPr="00C1580A">
        <w:rPr>
          <w:rFonts w:ascii="Palatino Linotype" w:hAnsi="Palatino Linotype"/>
          <w:sz w:val="23"/>
          <w:szCs w:val="23"/>
        </w:rPr>
        <w:t xml:space="preserve">rdenar </w:t>
      </w:r>
      <w:r>
        <w:rPr>
          <w:rFonts w:ascii="Palatino Linotype" w:hAnsi="Palatino Linotype"/>
          <w:sz w:val="23"/>
          <w:szCs w:val="23"/>
        </w:rPr>
        <w:t>“</w:t>
      </w:r>
      <w:r w:rsidR="004A63C4" w:rsidRPr="004A63C4">
        <w:rPr>
          <w:rFonts w:ascii="Palatino Linotype" w:hAnsi="Palatino Linotype" w:cs="Tahoma"/>
          <w:i/>
          <w:sz w:val="23"/>
          <w:szCs w:val="23"/>
        </w:rPr>
        <w:t xml:space="preserve">a efecto de que entregue al Recurrente versión pública de los expedientes laborales de los servidores públicos que causaron alta durante el mes de enero de dos mil veintidós, preferentemente en modalidad electrónica, previo pago de los derechos correspondientes en medios como, correo electrónico (este se debe entregar sin costo), disco compacto, dispositivo de almacenamiento USB. En caso de que </w:t>
      </w:r>
      <w:r w:rsidR="004A63C4" w:rsidRPr="004A63C4">
        <w:rPr>
          <w:rFonts w:ascii="Palatino Linotype" w:hAnsi="Palatino Linotype" w:cs="Tahoma"/>
          <w:i/>
          <w:sz w:val="23"/>
          <w:szCs w:val="23"/>
        </w:rPr>
        <w:lastRenderedPageBreak/>
        <w:t>exista imposibilidad fundada podrá ofrecer otras modalidades como copias simples o certificadas, con posibilidad de entrega en la Unidad de Transparencia o a domicilio por correo certificado.</w:t>
      </w:r>
    </w:p>
    <w:p w:rsidR="004A63C4" w:rsidRPr="004A63C4" w:rsidRDefault="004A63C4" w:rsidP="004A63C4">
      <w:pPr>
        <w:autoSpaceDE w:val="0"/>
        <w:autoSpaceDN w:val="0"/>
        <w:adjustRightInd w:val="0"/>
        <w:spacing w:line="360" w:lineRule="auto"/>
        <w:contextualSpacing/>
        <w:jc w:val="both"/>
        <w:rPr>
          <w:rFonts w:ascii="Palatino Linotype" w:hAnsi="Palatino Linotype" w:cs="Tahoma"/>
          <w:i/>
          <w:sz w:val="23"/>
          <w:szCs w:val="23"/>
        </w:rPr>
      </w:pPr>
      <w:r w:rsidRPr="004A63C4">
        <w:rPr>
          <w:rFonts w:ascii="Palatino Linotype" w:hAnsi="Palatino Linotype" w:cs="Tahoma"/>
          <w:i/>
          <w:sz w:val="23"/>
          <w:szCs w:val="23"/>
        </w:rPr>
        <w:t xml:space="preserve"> </w:t>
      </w:r>
    </w:p>
    <w:p w:rsidR="004A63C4" w:rsidRPr="004A63C4" w:rsidRDefault="004A63C4" w:rsidP="004A63C4">
      <w:pPr>
        <w:autoSpaceDE w:val="0"/>
        <w:autoSpaceDN w:val="0"/>
        <w:adjustRightInd w:val="0"/>
        <w:spacing w:line="360" w:lineRule="auto"/>
        <w:contextualSpacing/>
        <w:jc w:val="both"/>
        <w:rPr>
          <w:rFonts w:ascii="Palatino Linotype" w:hAnsi="Palatino Linotype" w:cs="Tahoma"/>
          <w:i/>
          <w:sz w:val="23"/>
          <w:szCs w:val="23"/>
        </w:rPr>
      </w:pPr>
      <w:r w:rsidRPr="004A63C4">
        <w:rPr>
          <w:rFonts w:ascii="Palatino Linotype" w:hAnsi="Palatino Linotype" w:cs="Tahoma"/>
          <w:i/>
          <w:sz w:val="23"/>
          <w:szCs w:val="23"/>
        </w:rPr>
        <w:t>En caso de que el Recurrente proporcione el dispositivo electrónico y acuda por la información a la Unidad de Transparencia, la entrega de la información, será sin costo.</w:t>
      </w:r>
    </w:p>
    <w:p w:rsidR="004A63C4" w:rsidRPr="004A63C4" w:rsidRDefault="004A63C4" w:rsidP="004A63C4">
      <w:pPr>
        <w:autoSpaceDE w:val="0"/>
        <w:autoSpaceDN w:val="0"/>
        <w:adjustRightInd w:val="0"/>
        <w:spacing w:line="360" w:lineRule="auto"/>
        <w:contextualSpacing/>
        <w:jc w:val="both"/>
        <w:rPr>
          <w:rFonts w:ascii="Palatino Linotype" w:hAnsi="Palatino Linotype" w:cs="Tahoma"/>
          <w:i/>
          <w:sz w:val="23"/>
          <w:szCs w:val="23"/>
        </w:rPr>
      </w:pPr>
    </w:p>
    <w:p w:rsidR="004A63C4" w:rsidRPr="004A63C4" w:rsidRDefault="004A63C4" w:rsidP="004A63C4">
      <w:pPr>
        <w:autoSpaceDE w:val="0"/>
        <w:autoSpaceDN w:val="0"/>
        <w:adjustRightInd w:val="0"/>
        <w:spacing w:line="360" w:lineRule="auto"/>
        <w:contextualSpacing/>
        <w:jc w:val="both"/>
        <w:rPr>
          <w:rFonts w:ascii="Palatino Linotype" w:hAnsi="Palatino Linotype" w:cs="Tahoma"/>
          <w:i/>
          <w:sz w:val="23"/>
          <w:szCs w:val="23"/>
        </w:rPr>
      </w:pPr>
      <w:r w:rsidRPr="004A63C4">
        <w:rPr>
          <w:rFonts w:ascii="Palatino Linotype" w:hAnsi="Palatino Linotype" w:cs="Tahoma"/>
          <w:i/>
          <w:sz w:val="23"/>
          <w:szCs w:val="23"/>
        </w:rPr>
        <w:t>Para efectos del cambio de modalidad, vía el Sistema de Acceso a la Información Mexiquense (SAIMEX), el Sujeto Obligado deberá indicar el procedimiento que tendrá que seguir la Particular, para acceder a la documentación, es decir, los pasos para realizar el pago de derechos, en caso de proceder y la manera de obtener la información (en su caso calendarización), así como domicilio de la Unidad de Transparencia y días y horarios de atención, así como el nombre del servidor público que le atenderá.</w:t>
      </w:r>
    </w:p>
    <w:p w:rsidR="004A63C4" w:rsidRPr="004A63C4" w:rsidRDefault="004A63C4" w:rsidP="004A63C4">
      <w:pPr>
        <w:autoSpaceDE w:val="0"/>
        <w:autoSpaceDN w:val="0"/>
        <w:adjustRightInd w:val="0"/>
        <w:spacing w:line="360" w:lineRule="auto"/>
        <w:contextualSpacing/>
        <w:jc w:val="both"/>
        <w:rPr>
          <w:rFonts w:ascii="Palatino Linotype" w:hAnsi="Palatino Linotype" w:cs="Tahoma"/>
          <w:i/>
          <w:sz w:val="23"/>
          <w:szCs w:val="23"/>
        </w:rPr>
      </w:pPr>
    </w:p>
    <w:p w:rsidR="000B2A76" w:rsidRDefault="004A63C4" w:rsidP="004A63C4">
      <w:pPr>
        <w:autoSpaceDE w:val="0"/>
        <w:autoSpaceDN w:val="0"/>
        <w:adjustRightInd w:val="0"/>
        <w:spacing w:line="360" w:lineRule="auto"/>
        <w:contextualSpacing/>
        <w:jc w:val="both"/>
        <w:rPr>
          <w:rFonts w:ascii="Palatino Linotype" w:eastAsia="Calibri" w:hAnsi="Palatino Linotype" w:cs="Tahoma"/>
          <w:i/>
          <w:iCs/>
          <w:sz w:val="23"/>
          <w:szCs w:val="23"/>
          <w:lang w:eastAsia="es-ES_tradnl"/>
        </w:rPr>
      </w:pPr>
      <w:r w:rsidRPr="004A63C4">
        <w:rPr>
          <w:rFonts w:ascii="Palatino Linotype" w:hAnsi="Palatino Linotype" w:cs="Tahoma"/>
          <w:i/>
          <w:sz w:val="23"/>
          <w:szCs w:val="23"/>
        </w:rPr>
        <w:t>Junto con las versiones públicas se deberá entregar el Acuerdo de Clasificación donde el Comité de Transparencia, confirme la eliminación de los datos y documentos confidenciales eliminados, de conformidad con los artículos 49, fracciones II y VIII, 132, fracción II, 143, fracción I y 149 de la Ley de Transparencia y Acceso a la Información Pública del Estado de México y Municipios.</w:t>
      </w:r>
      <w:r w:rsidR="000B2A76">
        <w:rPr>
          <w:rFonts w:ascii="Palatino Linotype" w:eastAsia="Calibri" w:hAnsi="Palatino Linotype" w:cs="Tahoma"/>
          <w:i/>
          <w:iCs/>
          <w:sz w:val="23"/>
          <w:szCs w:val="23"/>
          <w:lang w:eastAsia="es-ES_tradnl"/>
        </w:rPr>
        <w:t>”</w:t>
      </w:r>
      <w:r w:rsidR="000B2A76" w:rsidRPr="00475038">
        <w:rPr>
          <w:rFonts w:ascii="Palatino Linotype" w:eastAsia="Calibri" w:hAnsi="Palatino Linotype" w:cs="Tahoma"/>
          <w:i/>
          <w:iCs/>
          <w:sz w:val="23"/>
          <w:szCs w:val="23"/>
          <w:lang w:eastAsia="es-ES_tradnl"/>
        </w:rPr>
        <w:t xml:space="preserve"> (SIC)</w:t>
      </w:r>
    </w:p>
    <w:p w:rsidR="000B2A76" w:rsidRPr="00475038" w:rsidRDefault="000B2A76" w:rsidP="000B2A76">
      <w:pPr>
        <w:autoSpaceDE w:val="0"/>
        <w:autoSpaceDN w:val="0"/>
        <w:adjustRightInd w:val="0"/>
        <w:contextualSpacing/>
        <w:jc w:val="both"/>
        <w:rPr>
          <w:rFonts w:ascii="Palatino Linotype" w:eastAsia="Calibri" w:hAnsi="Palatino Linotype" w:cs="Tahoma"/>
          <w:i/>
          <w:iCs/>
          <w:sz w:val="23"/>
          <w:szCs w:val="23"/>
          <w:lang w:eastAsia="es-ES_tradnl"/>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Pr>
          <w:rFonts w:ascii="Palatino Linotype" w:hAnsi="Palatino Linotype"/>
          <w:sz w:val="23"/>
          <w:szCs w:val="23"/>
        </w:rPr>
        <w:t xml:space="preserve"> debe mencionarse que, t</w:t>
      </w:r>
      <w:r w:rsidRPr="00EE051D">
        <w:rPr>
          <w:rFonts w:ascii="Palatino Linotype" w:hAnsi="Palatino Linotype"/>
          <w:sz w:val="23"/>
          <w:szCs w:val="23"/>
        </w:rPr>
        <w:t>ratándose de información reservada</w:t>
      </w:r>
      <w:r>
        <w:rPr>
          <w:rFonts w:ascii="Palatino Linotype" w:hAnsi="Palatino Linotype"/>
          <w:sz w:val="23"/>
          <w:szCs w:val="23"/>
        </w:rPr>
        <w:t xml:space="preserve"> como lo son los </w:t>
      </w:r>
      <w:r>
        <w:rPr>
          <w:rFonts w:ascii="Palatino Linotype" w:eastAsia="Calibri" w:hAnsi="Palatino Linotype" w:cs="Tahoma"/>
          <w:b/>
          <w:bCs/>
        </w:rPr>
        <w:t>nombres de los elementos operativos de la Dirección</w:t>
      </w:r>
      <w:r w:rsidRPr="00733FE8">
        <w:rPr>
          <w:rFonts w:ascii="Palatino Linotype" w:eastAsia="Calibri" w:hAnsi="Palatino Linotype" w:cs="Tahoma"/>
          <w:b/>
          <w:bCs/>
        </w:rPr>
        <w:t xml:space="preserve"> de Seguridad Pública Municipal</w:t>
      </w:r>
      <w:r w:rsidRPr="00AE3307">
        <w:rPr>
          <w:rFonts w:ascii="Palatino Linotype" w:hAnsi="Palatino Linotype"/>
          <w:b/>
          <w:sz w:val="23"/>
          <w:szCs w:val="23"/>
        </w:rPr>
        <w:t>,</w:t>
      </w:r>
      <w:r w:rsidRPr="00723296">
        <w:rPr>
          <w:rFonts w:ascii="Palatino Linotype" w:hAnsi="Palatino Linotype"/>
          <w:sz w:val="23"/>
          <w:szCs w:val="23"/>
        </w:rPr>
        <w:t xml:space="preserve"> se deberá clasificar como información reser</w:t>
      </w:r>
      <w:r>
        <w:rPr>
          <w:rFonts w:ascii="Palatino Linotype" w:hAnsi="Palatino Linotype"/>
          <w:sz w:val="23"/>
          <w:szCs w:val="23"/>
        </w:rPr>
        <w:t>vada aquella que sea relativa a los nombres de</w:t>
      </w:r>
      <w:r w:rsidRPr="003D5DCE">
        <w:rPr>
          <w:rFonts w:ascii="Palatino Linotype" w:eastAsia="Calibri" w:hAnsi="Palatino Linotype" w:cs="Tahoma"/>
          <w:bCs/>
        </w:rPr>
        <w:t xml:space="preserve"> </w:t>
      </w:r>
      <w:r w:rsidRPr="003D5DCE">
        <w:rPr>
          <w:rFonts w:ascii="Palatino Linotype" w:eastAsia="Calibri" w:hAnsi="Palatino Linotype" w:cs="Tahoma"/>
          <w:b/>
          <w:bCs/>
        </w:rPr>
        <w:t xml:space="preserve">aquellos </w:t>
      </w:r>
      <w:r>
        <w:rPr>
          <w:rFonts w:ascii="Palatino Linotype" w:eastAsia="Calibri" w:hAnsi="Palatino Linotype" w:cs="Tahoma"/>
          <w:b/>
          <w:bCs/>
        </w:rPr>
        <w:t xml:space="preserve">funcionarios púbicos </w:t>
      </w:r>
      <w:r w:rsidRPr="003D5DCE">
        <w:rPr>
          <w:rFonts w:ascii="Palatino Linotype" w:eastAsia="Calibri" w:hAnsi="Palatino Linotype" w:cs="Tahoma"/>
          <w:b/>
          <w:bCs/>
        </w:rPr>
        <w:t>que realicen actividades operativas en materia de seguridad,</w:t>
      </w:r>
      <w:r>
        <w:rPr>
          <w:rFonts w:ascii="Palatino Linotype" w:eastAsia="Calibri" w:hAnsi="Palatino Linotype" w:cs="Tahoma"/>
          <w:b/>
          <w:bCs/>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 xml:space="preserve">debiendo valorar </w:t>
      </w:r>
      <w:r w:rsidRPr="00723296">
        <w:rPr>
          <w:rFonts w:ascii="Palatino Linotype" w:hAnsi="Palatino Linotype"/>
          <w:b/>
          <w:sz w:val="23"/>
          <w:szCs w:val="23"/>
        </w:rPr>
        <w:lastRenderedPageBreak/>
        <w:t>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xml:space="preserve">, los Lineamientos Generales en Materia de Clasificación y Desclasificación de la Información, así como para la elaboración de versiones públicas, establecen en su </w:t>
      </w:r>
      <w:r w:rsidRPr="00A408AE">
        <w:rPr>
          <w:rFonts w:ascii="Palatino Linotype" w:hAnsi="Palatino Linotype"/>
          <w:sz w:val="23"/>
          <w:szCs w:val="23"/>
        </w:rPr>
        <w:lastRenderedPageBreak/>
        <w:t>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w:t>
      </w:r>
      <w:r w:rsidRPr="00AE3307">
        <w:rPr>
          <w:rFonts w:ascii="Palatino Linotype" w:hAnsi="Palatino Linotype"/>
          <w:b/>
          <w:sz w:val="23"/>
          <w:szCs w:val="23"/>
        </w:rPr>
        <w:lastRenderedPageBreak/>
        <w:t>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4A63C4">
        <w:rPr>
          <w:rFonts w:ascii="Palatino Linotype" w:hAnsi="Palatino Linotype"/>
          <w:b/>
          <w:bCs/>
          <w:sz w:val="23"/>
          <w:szCs w:val="23"/>
        </w:rPr>
        <w:t>3411</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lastRenderedPageBreak/>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0B2A76" w:rsidP="000B2A76">
      <w:pPr>
        <w:spacing w:before="240" w:after="24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3B74B7"/>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8B" w:rsidRDefault="00F7678B" w:rsidP="000B2A76">
      <w:pPr>
        <w:spacing w:after="0" w:line="240" w:lineRule="auto"/>
      </w:pPr>
      <w:r>
        <w:separator/>
      </w:r>
    </w:p>
  </w:endnote>
  <w:endnote w:type="continuationSeparator" w:id="0">
    <w:p w:rsidR="00F7678B" w:rsidRDefault="00F7678B"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74B7">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74B7">
      <w:rPr>
        <w:rFonts w:ascii="Arial" w:hAnsi="Arial" w:cs="Arial"/>
        <w:b/>
        <w:bCs/>
        <w:noProof/>
        <w:sz w:val="20"/>
        <w:szCs w:val="20"/>
      </w:rPr>
      <w:t>8</w:t>
    </w:r>
    <w:r w:rsidRPr="00986599">
      <w:rPr>
        <w:rFonts w:ascii="Arial" w:hAnsi="Arial" w:cs="Arial"/>
        <w:b/>
        <w:bCs/>
        <w:sz w:val="20"/>
        <w:szCs w:val="20"/>
      </w:rPr>
      <w:fldChar w:fldCharType="end"/>
    </w:r>
  </w:p>
  <w:p w:rsidR="00D758BE" w:rsidRDefault="003B74B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8B" w:rsidRDefault="00F7678B" w:rsidP="000B2A76">
      <w:pPr>
        <w:spacing w:after="0" w:line="240" w:lineRule="auto"/>
      </w:pPr>
      <w:r>
        <w:separator/>
      </w:r>
    </w:p>
  </w:footnote>
  <w:footnote w:type="continuationSeparator" w:id="0">
    <w:p w:rsidR="00F7678B" w:rsidRDefault="00F7678B"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B74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0B2A76">
      <w:rPr>
        <w:rFonts w:ascii="Palatino Linotype" w:hAnsi="Palatino Linotype" w:cs="Arial"/>
        <w:b/>
        <w:sz w:val="22"/>
        <w:szCs w:val="22"/>
      </w:rPr>
      <w:t>3411</w:t>
    </w:r>
    <w:r w:rsidRPr="00FB2266">
      <w:rPr>
        <w:rFonts w:ascii="Palatino Linotype" w:hAnsi="Palatino Linotype" w:cs="Arial"/>
        <w:b/>
        <w:sz w:val="22"/>
        <w:szCs w:val="22"/>
      </w:rPr>
      <w:t>/INFOEM/IP/RR/2022</w:t>
    </w:r>
  </w:p>
  <w:p w:rsidR="000B1C1F" w:rsidRPr="000D4A99" w:rsidRDefault="003B74B7"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B74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3B74B7" w:rsidP="007263BB">
    <w:pPr>
      <w:pStyle w:val="Encabezado"/>
      <w:jc w:val="right"/>
      <w:rPr>
        <w:rFonts w:ascii="Arial" w:hAnsi="Arial" w:cs="Arial"/>
        <w:sz w:val="20"/>
        <w:szCs w:val="20"/>
      </w:rPr>
    </w:pPr>
  </w:p>
  <w:p w:rsidR="00F029C2" w:rsidRPr="000D4A99" w:rsidRDefault="003B74B7" w:rsidP="007263BB">
    <w:pPr>
      <w:pStyle w:val="Encabezado"/>
      <w:jc w:val="right"/>
      <w:rPr>
        <w:rFonts w:ascii="Arial" w:hAnsi="Arial" w:cs="Arial"/>
        <w:sz w:val="20"/>
        <w:szCs w:val="20"/>
      </w:rPr>
    </w:pPr>
  </w:p>
  <w:p w:rsidR="00F029C2" w:rsidRPr="000D4A99" w:rsidRDefault="003B74B7"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3B74B7" w:rsidP="007263BB">
    <w:pPr>
      <w:pStyle w:val="Encabezado"/>
      <w:jc w:val="right"/>
      <w:rPr>
        <w:rFonts w:ascii="Palatino Linotype" w:hAnsi="Palatino Linotype" w:cs="Arial"/>
        <w:sz w:val="20"/>
        <w:szCs w:val="20"/>
      </w:rPr>
    </w:pPr>
  </w:p>
  <w:p w:rsidR="00F029C2" w:rsidRPr="000D4A99" w:rsidRDefault="003B74B7"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B2A76"/>
    <w:rsid w:val="003B74B7"/>
    <w:rsid w:val="004A63C4"/>
    <w:rsid w:val="0081741B"/>
    <w:rsid w:val="00A22313"/>
    <w:rsid w:val="00D36CD9"/>
    <w:rsid w:val="00E1501A"/>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2022-06-02T16:14:00Z</dcterms:created>
  <dcterms:modified xsi:type="dcterms:W3CDTF">2022-06-02T16:14:00Z</dcterms:modified>
</cp:coreProperties>
</file>