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E61B" w14:textId="78164B08" w:rsidR="000B2A76" w:rsidRPr="00940354" w:rsidRDefault="000B2A76" w:rsidP="000B2A76">
      <w:pPr>
        <w:spacing w:before="240" w:after="240" w:line="360" w:lineRule="auto"/>
        <w:jc w:val="both"/>
        <w:rPr>
          <w:rFonts w:ascii="Palatino Linotype" w:hAnsi="Palatino Linotype"/>
          <w:b/>
          <w:sz w:val="23"/>
          <w:szCs w:val="23"/>
        </w:rPr>
      </w:pPr>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MA</w:t>
      </w:r>
      <w:r w:rsidR="00CD0D63">
        <w:rPr>
          <w:rFonts w:ascii="Palatino Linotype" w:hAnsi="Palatino Linotype"/>
          <w:b/>
          <w:sz w:val="23"/>
          <w:szCs w:val="23"/>
        </w:rPr>
        <w:t xml:space="preserve"> SEGUNDA</w:t>
      </w:r>
      <w:r w:rsidRPr="00940354">
        <w:rPr>
          <w:rFonts w:ascii="Palatino Linotype" w:hAnsi="Palatino Linotype"/>
          <w:b/>
          <w:sz w:val="23"/>
          <w:szCs w:val="23"/>
        </w:rPr>
        <w:t xml:space="preserve"> SESIÓN ORDINARIA DEL </w:t>
      </w:r>
      <w:r w:rsidR="00093DE2">
        <w:rPr>
          <w:rFonts w:ascii="Palatino Linotype" w:hAnsi="Palatino Linotype"/>
          <w:b/>
          <w:sz w:val="23"/>
          <w:szCs w:val="23"/>
        </w:rPr>
        <w:t>QUINCE DE JUNI</w:t>
      </w:r>
      <w:r w:rsidR="00093DE2" w:rsidRPr="00940354">
        <w:rPr>
          <w:rFonts w:ascii="Palatino Linotype" w:hAnsi="Palatino Linotype"/>
          <w:b/>
          <w:sz w:val="23"/>
          <w:szCs w:val="23"/>
        </w:rPr>
        <w:t>O DE DOS MIL VEINTIDÓS, EN EL RECURSO DE REVISIÓN 0</w:t>
      </w:r>
      <w:r w:rsidR="00093DE2">
        <w:rPr>
          <w:rFonts w:ascii="Palatino Linotype" w:hAnsi="Palatino Linotype"/>
          <w:b/>
          <w:sz w:val="23"/>
          <w:szCs w:val="23"/>
        </w:rPr>
        <w:t>4626</w:t>
      </w:r>
      <w:r w:rsidR="00093DE2" w:rsidRPr="00940354">
        <w:rPr>
          <w:rFonts w:ascii="Palatino Linotype" w:hAnsi="Palatino Linotype"/>
          <w:b/>
          <w:sz w:val="23"/>
          <w:szCs w:val="23"/>
        </w:rPr>
        <w:t>/INFOEM/IP/RR/2022</w:t>
      </w:r>
      <w:r w:rsidR="002379C1">
        <w:rPr>
          <w:rFonts w:ascii="Palatino Linotype" w:hAnsi="Palatino Linotype"/>
          <w:b/>
          <w:sz w:val="23"/>
          <w:szCs w:val="23"/>
        </w:rPr>
        <w:t xml:space="preserve">, </w:t>
      </w:r>
      <w:r w:rsidR="002379C1" w:rsidRPr="00940354">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8</w:t>
      </w:r>
      <w:r w:rsidR="002379C1" w:rsidRPr="00940354">
        <w:rPr>
          <w:rFonts w:ascii="Palatino Linotype" w:hAnsi="Palatino Linotype"/>
          <w:b/>
          <w:sz w:val="23"/>
          <w:szCs w:val="23"/>
        </w:rPr>
        <w:t>/INFOEM/IP/RR/2022</w:t>
      </w:r>
      <w:r w:rsidR="002379C1">
        <w:rPr>
          <w:rFonts w:ascii="Palatino Linotype" w:hAnsi="Palatino Linotype"/>
          <w:b/>
          <w:sz w:val="23"/>
          <w:szCs w:val="23"/>
        </w:rPr>
        <w:t xml:space="preserve"> y </w:t>
      </w:r>
      <w:r w:rsidR="002379C1" w:rsidRPr="00940354">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9</w:t>
      </w:r>
      <w:r w:rsidR="002379C1" w:rsidRPr="00940354">
        <w:rPr>
          <w:rFonts w:ascii="Palatino Linotype" w:hAnsi="Palatino Linotype"/>
          <w:b/>
          <w:sz w:val="23"/>
          <w:szCs w:val="23"/>
        </w:rPr>
        <w:t>/INFOEM/IP/RR/2022</w:t>
      </w:r>
    </w:p>
    <w:p w14:paraId="7C0F78D0" w14:textId="3F2EF6D9"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D36CD9">
        <w:rPr>
          <w:rFonts w:ascii="Palatino Linotype" w:hAnsi="Palatino Linotype"/>
          <w:sz w:val="23"/>
          <w:szCs w:val="23"/>
        </w:rPr>
        <w:t xml:space="preserve">mayoría </w:t>
      </w:r>
      <w:r w:rsidRPr="00940354">
        <w:rPr>
          <w:rFonts w:ascii="Palatino Linotype" w:hAnsi="Palatino Linotype"/>
          <w:sz w:val="23"/>
          <w:szCs w:val="23"/>
        </w:rPr>
        <w:t xml:space="preserve">de votos, la resolución relativa al recurso de revisión </w:t>
      </w:r>
      <w:r w:rsidRPr="00D36CD9">
        <w:rPr>
          <w:rFonts w:ascii="Palatino Linotype" w:hAnsi="Palatino Linotype"/>
          <w:b/>
          <w:sz w:val="23"/>
          <w:szCs w:val="23"/>
        </w:rPr>
        <w:t>0</w:t>
      </w:r>
      <w:r w:rsidR="00CD0D63">
        <w:rPr>
          <w:rFonts w:ascii="Palatino Linotype" w:hAnsi="Palatino Linotype"/>
          <w:b/>
          <w:sz w:val="23"/>
          <w:szCs w:val="23"/>
        </w:rPr>
        <w:t>4626</w:t>
      </w:r>
      <w:r w:rsidRPr="00D36CD9">
        <w:rPr>
          <w:rFonts w:ascii="Palatino Linotype" w:hAnsi="Palatino Linotype"/>
          <w:b/>
          <w:sz w:val="23"/>
          <w:szCs w:val="23"/>
        </w:rPr>
        <w:t>/INFOEM/IP/RR/2022</w:t>
      </w:r>
      <w:r w:rsidR="002379C1">
        <w:rPr>
          <w:rFonts w:ascii="Palatino Linotype" w:hAnsi="Palatino Linotype"/>
          <w:b/>
          <w:sz w:val="23"/>
          <w:szCs w:val="23"/>
        </w:rPr>
        <w:t xml:space="preserve">, </w:t>
      </w:r>
      <w:r w:rsidR="002379C1" w:rsidRPr="00D36CD9">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8</w:t>
      </w:r>
      <w:r w:rsidR="002379C1" w:rsidRPr="00D36CD9">
        <w:rPr>
          <w:rFonts w:ascii="Palatino Linotype" w:hAnsi="Palatino Linotype"/>
          <w:b/>
          <w:sz w:val="23"/>
          <w:szCs w:val="23"/>
        </w:rPr>
        <w:t>/INFOEM/IP/RR/2022</w:t>
      </w:r>
      <w:r w:rsidR="002379C1">
        <w:rPr>
          <w:rFonts w:ascii="Palatino Linotype" w:hAnsi="Palatino Linotype"/>
          <w:b/>
          <w:sz w:val="23"/>
          <w:szCs w:val="23"/>
        </w:rPr>
        <w:t xml:space="preserve"> </w:t>
      </w:r>
      <w:r w:rsidR="002379C1" w:rsidRPr="002379C1">
        <w:rPr>
          <w:rFonts w:ascii="Palatino Linotype" w:hAnsi="Palatino Linotype"/>
          <w:bCs/>
          <w:sz w:val="23"/>
          <w:szCs w:val="23"/>
        </w:rPr>
        <w:t>y</w:t>
      </w:r>
      <w:r w:rsidR="002379C1">
        <w:rPr>
          <w:rFonts w:ascii="Palatino Linotype" w:hAnsi="Palatino Linotype"/>
          <w:b/>
          <w:sz w:val="23"/>
          <w:szCs w:val="23"/>
        </w:rPr>
        <w:t xml:space="preserve"> </w:t>
      </w:r>
      <w:r w:rsidR="002379C1" w:rsidRPr="00D36CD9">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9</w:t>
      </w:r>
      <w:r w:rsidR="002379C1" w:rsidRPr="00D36CD9">
        <w:rPr>
          <w:rFonts w:ascii="Palatino Linotype" w:hAnsi="Palatino Linotype"/>
          <w:b/>
          <w:sz w:val="23"/>
          <w:szCs w:val="23"/>
        </w:rPr>
        <w:t>/INFOEM/IP/RR/2022</w:t>
      </w:r>
      <w:r w:rsidR="002379C1">
        <w:rPr>
          <w:rFonts w:ascii="Palatino Linotype" w:hAnsi="Palatino Linotype"/>
          <w:b/>
          <w:sz w:val="23"/>
          <w:szCs w:val="23"/>
        </w:rPr>
        <w:t xml:space="preserve">, </w:t>
      </w:r>
      <w:r w:rsidRPr="00940354">
        <w:rPr>
          <w:rFonts w:ascii="Palatino Linotype" w:hAnsi="Palatino Linotype"/>
          <w:sz w:val="23"/>
          <w:szCs w:val="23"/>
        </w:rPr>
        <w:t xml:space="preserve">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14:paraId="789AD00D" w14:textId="4F18F73E"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La que suscribe, comparte en esencia el sentido del estudio realizado en la resolución emitida por el Comisionado Ponente; sin embargo, resulta necesario destacar que la prueba de daño que se desarrolla en el proyecto de resolución que nos ocupa, </w:t>
      </w:r>
      <w:r w:rsidR="009B0039" w:rsidRPr="00940354">
        <w:rPr>
          <w:rFonts w:ascii="Palatino Linotype" w:hAnsi="Palatino Linotype"/>
          <w:sz w:val="23"/>
          <w:szCs w:val="23"/>
        </w:rPr>
        <w:t>debió ser</w:t>
      </w:r>
      <w:r w:rsidRPr="00940354">
        <w:rPr>
          <w:rFonts w:ascii="Palatino Linotype" w:hAnsi="Palatino Linotype"/>
          <w:sz w:val="23"/>
          <w:szCs w:val="23"/>
        </w:rPr>
        <w:t xml:space="preserve"> realizada por el Sujeto Obligado.</w:t>
      </w:r>
    </w:p>
    <w:p w14:paraId="662C72BD" w14:textId="617B10F7" w:rsidR="000B2A76" w:rsidRDefault="000B2A76" w:rsidP="00CD0D63">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Ayuntamiento </w:t>
      </w:r>
      <w:r w:rsidRPr="009B0039">
        <w:rPr>
          <w:rFonts w:ascii="Palatino Linotype" w:hAnsi="Palatino Linotype"/>
          <w:sz w:val="23"/>
          <w:szCs w:val="23"/>
        </w:rPr>
        <w:t xml:space="preserve">de </w:t>
      </w:r>
      <w:r w:rsidR="00CD0D63" w:rsidRPr="009B0039">
        <w:rPr>
          <w:rFonts w:ascii="Palatino Linotype" w:hAnsi="Palatino Linotype"/>
          <w:sz w:val="23"/>
          <w:szCs w:val="23"/>
        </w:rPr>
        <w:t>Temamatla</w:t>
      </w:r>
      <w:r w:rsidRPr="00940354">
        <w:rPr>
          <w:rFonts w:ascii="Palatino Linotype" w:hAnsi="Palatino Linotype"/>
          <w:sz w:val="23"/>
          <w:szCs w:val="23"/>
        </w:rPr>
        <w:t xml:space="preserve">, que en esencia se le proporcionara </w:t>
      </w:r>
      <w:r w:rsidR="00CD0D63" w:rsidRPr="00CD0D63">
        <w:rPr>
          <w:rFonts w:ascii="Palatino Linotype" w:hAnsi="Palatino Linotype"/>
          <w:sz w:val="23"/>
          <w:szCs w:val="23"/>
        </w:rPr>
        <w:t xml:space="preserve">copia de todos </w:t>
      </w:r>
      <w:r w:rsidR="00CD0D63" w:rsidRPr="009B0039">
        <w:rPr>
          <w:rFonts w:ascii="Palatino Linotype" w:hAnsi="Palatino Linotype"/>
          <w:sz w:val="23"/>
          <w:szCs w:val="23"/>
        </w:rPr>
        <w:t xml:space="preserve">los oficios recibidos y enviados por </w:t>
      </w:r>
      <w:r w:rsidR="009B0039" w:rsidRPr="009B0039">
        <w:rPr>
          <w:rFonts w:ascii="Palatino Linotype" w:hAnsi="Palatino Linotype"/>
          <w:sz w:val="23"/>
          <w:szCs w:val="23"/>
        </w:rPr>
        <w:t>la</w:t>
      </w:r>
      <w:r w:rsidR="00CD0D63" w:rsidRPr="009B0039">
        <w:rPr>
          <w:rFonts w:ascii="Palatino Linotype" w:hAnsi="Palatino Linotype"/>
          <w:sz w:val="23"/>
          <w:szCs w:val="23"/>
        </w:rPr>
        <w:t xml:space="preserve"> </w:t>
      </w:r>
      <w:r w:rsidR="00CD0D63" w:rsidRPr="009B0039">
        <w:rPr>
          <w:rFonts w:ascii="Palatino Linotype" w:hAnsi="Palatino Linotype"/>
          <w:sz w:val="23"/>
          <w:szCs w:val="23"/>
        </w:rPr>
        <w:lastRenderedPageBreak/>
        <w:t>contraloría</w:t>
      </w:r>
      <w:r w:rsidR="00CD0D63">
        <w:rPr>
          <w:rFonts w:ascii="Palatino Linotype" w:hAnsi="Palatino Linotype"/>
          <w:sz w:val="23"/>
          <w:szCs w:val="23"/>
        </w:rPr>
        <w:t xml:space="preserve">, </w:t>
      </w:r>
      <w:r w:rsidR="00CD0D63" w:rsidRPr="00CD0D63">
        <w:rPr>
          <w:rFonts w:ascii="Palatino Linotype" w:hAnsi="Palatino Linotype"/>
          <w:sz w:val="23"/>
          <w:szCs w:val="23"/>
        </w:rPr>
        <w:t xml:space="preserve">regidores </w:t>
      </w:r>
      <w:r w:rsidR="00CD0D63">
        <w:rPr>
          <w:rFonts w:ascii="Palatino Linotype" w:hAnsi="Palatino Linotype"/>
          <w:sz w:val="23"/>
          <w:szCs w:val="23"/>
        </w:rPr>
        <w:t>y</w:t>
      </w:r>
      <w:r w:rsidR="00CD0D63" w:rsidRPr="00CD0D63">
        <w:t xml:space="preserve"> </w:t>
      </w:r>
      <w:r w:rsidR="00CD0D63" w:rsidRPr="00CD0D63">
        <w:rPr>
          <w:rFonts w:ascii="Palatino Linotype" w:hAnsi="Palatino Linotype"/>
          <w:sz w:val="23"/>
          <w:szCs w:val="23"/>
        </w:rPr>
        <w:t>área de servicios públicos</w:t>
      </w:r>
      <w:r w:rsidR="00CD0D63">
        <w:rPr>
          <w:rFonts w:ascii="Palatino Linotype" w:hAnsi="Palatino Linotype"/>
          <w:sz w:val="23"/>
          <w:szCs w:val="23"/>
        </w:rPr>
        <w:t xml:space="preserve"> </w:t>
      </w:r>
      <w:r w:rsidR="00CD0D63" w:rsidRPr="00CD0D63">
        <w:rPr>
          <w:rFonts w:ascii="Palatino Linotype" w:hAnsi="Palatino Linotype"/>
          <w:sz w:val="23"/>
          <w:szCs w:val="23"/>
        </w:rPr>
        <w:t>del 01 de enero al 18 de febrero del año 2022</w:t>
      </w:r>
      <w:r w:rsidRPr="00940354">
        <w:rPr>
          <w:rFonts w:ascii="Palatino Linotype" w:hAnsi="Palatino Linotype"/>
          <w:sz w:val="23"/>
          <w:szCs w:val="23"/>
        </w:rPr>
        <w:t>.</w:t>
      </w:r>
    </w:p>
    <w:p w14:paraId="523AABC7" w14:textId="77777777" w:rsidR="004A63C4" w:rsidRPr="007C75DF" w:rsidRDefault="000B2A76" w:rsidP="000B2A76">
      <w:pPr>
        <w:spacing w:before="240" w:after="240" w:line="360" w:lineRule="auto"/>
        <w:jc w:val="both"/>
        <w:rPr>
          <w:rFonts w:ascii="Palatino Linotype" w:hAnsi="Palatino Linotype" w:cs="Tahoma"/>
          <w:sz w:val="24"/>
          <w:szCs w:val="24"/>
        </w:rPr>
      </w:pPr>
      <w:r w:rsidRPr="007C75DF">
        <w:rPr>
          <w:rFonts w:ascii="Palatino Linotype" w:hAnsi="Palatino Linotype"/>
          <w:sz w:val="24"/>
          <w:szCs w:val="24"/>
        </w:rPr>
        <w:t xml:space="preserve">El Sujeto Obligado, </w:t>
      </w:r>
      <w:r w:rsidR="00CD0D63" w:rsidRPr="007C75DF">
        <w:rPr>
          <w:rFonts w:ascii="Palatino Linotype" w:hAnsi="Palatino Linotype"/>
          <w:sz w:val="24"/>
          <w:szCs w:val="24"/>
        </w:rPr>
        <w:t>respecto a la información solicitada del área de contraloría, menciona que</w:t>
      </w:r>
      <w:r w:rsidRPr="007C75DF">
        <w:rPr>
          <w:rFonts w:ascii="Palatino Linotype" w:hAnsi="Palatino Linotype"/>
          <w:sz w:val="24"/>
          <w:szCs w:val="24"/>
        </w:rPr>
        <w:t xml:space="preserve"> </w:t>
      </w:r>
      <w:r w:rsidR="00CD0D63" w:rsidRPr="007C75DF">
        <w:rPr>
          <w:rFonts w:ascii="Palatino Linotype" w:hAnsi="Palatino Linotype"/>
          <w:sz w:val="24"/>
          <w:szCs w:val="24"/>
        </w:rPr>
        <w:t>se encuentra como reservada</w:t>
      </w:r>
      <w:r w:rsidR="00CD0D63" w:rsidRPr="007C75DF">
        <w:rPr>
          <w:rFonts w:ascii="Palatino Linotype" w:hAnsi="Palatino Linotype" w:cs="Tahoma"/>
          <w:sz w:val="24"/>
          <w:szCs w:val="24"/>
        </w:rPr>
        <w:t xml:space="preserve">, de las regidurías refirió que el Comité de Transparencia no había sesionado y por ello no había señalado la información que es reservada, por lo que una vez que se sesione, se entregará la información correspondiente, y del área de servicios públicos </w:t>
      </w:r>
      <w:r w:rsidR="00AA0931" w:rsidRPr="007C75DF">
        <w:rPr>
          <w:rFonts w:ascii="Palatino Linotype" w:hAnsi="Palatino Linotype" w:cs="Tahoma"/>
          <w:sz w:val="24"/>
          <w:szCs w:val="24"/>
        </w:rPr>
        <w:t>menciona que el Comité de Transparencia no había sesionado ni determinado si la documentación debe ser reservada, por lo que una vez que se determine la condición de la información se remitiría, también, que si se requiere copias de la información, se requiere del pago previo.</w:t>
      </w:r>
    </w:p>
    <w:p w14:paraId="2FDCD972" w14:textId="08CB0F1B" w:rsidR="004A63C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Ante la respuesta proporcionada por el Sujeto Obligado, el particular se inconforma, </w:t>
      </w:r>
      <w:r w:rsidR="004A63C4" w:rsidRPr="00940354">
        <w:rPr>
          <w:rFonts w:ascii="Palatino Linotype" w:hAnsi="Palatino Linotype"/>
          <w:sz w:val="23"/>
          <w:szCs w:val="23"/>
        </w:rPr>
        <w:t>por</w:t>
      </w:r>
      <w:r w:rsidR="007C75DF">
        <w:rPr>
          <w:rFonts w:ascii="Palatino Linotype" w:hAnsi="Palatino Linotype"/>
          <w:sz w:val="23"/>
          <w:szCs w:val="23"/>
        </w:rPr>
        <w:t xml:space="preserve"> </w:t>
      </w:r>
      <w:r w:rsidR="009B0039" w:rsidRPr="009B0039">
        <w:rPr>
          <w:rFonts w:ascii="Palatino Linotype" w:hAnsi="Palatino Linotype"/>
          <w:sz w:val="23"/>
          <w:szCs w:val="23"/>
        </w:rPr>
        <w:t>considerar que le</w:t>
      </w:r>
      <w:r w:rsidR="009B0039">
        <w:rPr>
          <w:rFonts w:ascii="Palatino Linotype" w:hAnsi="Palatino Linotype"/>
          <w:sz w:val="23"/>
          <w:szCs w:val="23"/>
        </w:rPr>
        <w:t xml:space="preserve"> niegan</w:t>
      </w:r>
      <w:r w:rsidR="007C75DF" w:rsidRPr="007C75DF">
        <w:rPr>
          <w:rFonts w:ascii="Palatino Linotype" w:hAnsi="Palatino Linotype"/>
          <w:sz w:val="23"/>
          <w:szCs w:val="23"/>
        </w:rPr>
        <w:t xml:space="preserve"> la información solicitada</w:t>
      </w:r>
      <w:r w:rsidR="004A63C4">
        <w:rPr>
          <w:rFonts w:ascii="Palatino Linotype" w:hAnsi="Palatino Linotype"/>
          <w:sz w:val="23"/>
          <w:szCs w:val="23"/>
        </w:rPr>
        <w:t>.</w:t>
      </w:r>
    </w:p>
    <w:p w14:paraId="468EB052" w14:textId="77777777" w:rsidR="000B2A76" w:rsidRPr="00D36CD9" w:rsidRDefault="000B2A76" w:rsidP="00D36CD9">
      <w:pPr>
        <w:spacing w:before="240" w:after="240" w:line="360" w:lineRule="auto"/>
        <w:jc w:val="both"/>
        <w:rPr>
          <w:rFonts w:ascii="Palatino Linotype" w:hAnsi="Palatino Linotype"/>
          <w:sz w:val="24"/>
          <w:lang w:val="es-ES_tradnl"/>
        </w:rPr>
      </w:pPr>
      <w:r w:rsidRPr="00940354">
        <w:rPr>
          <w:rFonts w:ascii="Palatino Linotype" w:hAnsi="Palatino Linotype"/>
          <w:sz w:val="24"/>
        </w:rPr>
        <w:t xml:space="preserve">Por lo que el Sujeto Obligado mediante Informe Justificado, </w:t>
      </w:r>
      <w:r w:rsidR="004A63C4" w:rsidRPr="004A63C4">
        <w:rPr>
          <w:rFonts w:ascii="Palatino Linotype" w:hAnsi="Palatino Linotype"/>
          <w:sz w:val="24"/>
        </w:rPr>
        <w:t xml:space="preserve">ratifica su respuesta inicial </w:t>
      </w:r>
      <w:r w:rsidR="004A63C4">
        <w:rPr>
          <w:rFonts w:ascii="Palatino Linotype" w:hAnsi="Palatino Linotype"/>
          <w:sz w:val="24"/>
        </w:rPr>
        <w:t xml:space="preserve">en </w:t>
      </w:r>
      <w:r w:rsidR="004A63C4" w:rsidRPr="004A63C4">
        <w:rPr>
          <w:rFonts w:ascii="Palatino Linotype" w:hAnsi="Palatino Linotype"/>
          <w:sz w:val="24"/>
        </w:rPr>
        <w:t>términos generales</w:t>
      </w:r>
      <w:r>
        <w:rPr>
          <w:rFonts w:ascii="Palatino Linotype" w:eastAsia="Arial Unicode MS" w:hAnsi="Palatino Linotype" w:cs="Arial Unicode MS"/>
          <w:iCs/>
          <w:sz w:val="24"/>
          <w:lang w:val="es-ES"/>
        </w:rPr>
        <w:t xml:space="preserve">. </w:t>
      </w:r>
    </w:p>
    <w:p w14:paraId="6B0F25AF" w14:textId="77777777" w:rsidR="007C75DF" w:rsidRPr="007C75DF" w:rsidRDefault="000B2A76" w:rsidP="007C75DF">
      <w:pPr>
        <w:autoSpaceDE w:val="0"/>
        <w:autoSpaceDN w:val="0"/>
        <w:adjustRightInd w:val="0"/>
        <w:spacing w:line="360" w:lineRule="auto"/>
        <w:contextualSpacing/>
        <w:jc w:val="both"/>
        <w:rPr>
          <w:rFonts w:ascii="Palatino Linotype" w:hAnsi="Palatino Linotype" w:cs="Tahoma"/>
          <w:i/>
          <w:sz w:val="23"/>
          <w:szCs w:val="23"/>
        </w:rPr>
      </w:pPr>
      <w:r>
        <w:rPr>
          <w:rFonts w:ascii="Palatino Linotype" w:hAnsi="Palatino Linotype"/>
          <w:sz w:val="23"/>
          <w:szCs w:val="23"/>
        </w:rPr>
        <w:t>Por lo que, previo análisis de las constancias y de la naturaleza de la información, la Ponencia Resolutora determinó en su resolutivo SEGUNDO o</w:t>
      </w:r>
      <w:r w:rsidRPr="00C1580A">
        <w:rPr>
          <w:rFonts w:ascii="Palatino Linotype" w:hAnsi="Palatino Linotype"/>
          <w:sz w:val="23"/>
          <w:szCs w:val="23"/>
        </w:rPr>
        <w:t xml:space="preserve">rdenar </w:t>
      </w:r>
      <w:r>
        <w:rPr>
          <w:rFonts w:ascii="Palatino Linotype" w:hAnsi="Palatino Linotype"/>
          <w:sz w:val="23"/>
          <w:szCs w:val="23"/>
        </w:rPr>
        <w:t>“</w:t>
      </w:r>
      <w:r w:rsidR="007C75DF" w:rsidRPr="007C75DF">
        <w:rPr>
          <w:rFonts w:ascii="Palatino Linotype" w:hAnsi="Palatino Linotype" w:cs="Tahoma"/>
          <w:i/>
          <w:sz w:val="23"/>
          <w:szCs w:val="23"/>
        </w:rPr>
        <w:t>a efecto de que, remita a través del Sistema de Acceso a la Información Mexiquense (SAIMEX), en su caso en versión pública, los documentos donde conste lo siguiente:</w:t>
      </w:r>
    </w:p>
    <w:p w14:paraId="3F2599FE"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p>
    <w:p w14:paraId="20918303"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r w:rsidRPr="007C75DF">
        <w:rPr>
          <w:rFonts w:ascii="Palatino Linotype" w:hAnsi="Palatino Linotype" w:cs="Tahoma"/>
          <w:i/>
          <w:sz w:val="23"/>
          <w:szCs w:val="23"/>
        </w:rPr>
        <w:lastRenderedPageBreak/>
        <w:t>Los oficios recibidos y enviados del periodo del 1° de enero al 18 de febrero de 2022, de los siguientes:</w:t>
      </w:r>
    </w:p>
    <w:p w14:paraId="095BC67C"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r w:rsidRPr="007C75DF">
        <w:rPr>
          <w:rFonts w:ascii="Palatino Linotype" w:hAnsi="Palatino Linotype" w:cs="Tahoma"/>
          <w:i/>
          <w:sz w:val="23"/>
          <w:szCs w:val="23"/>
        </w:rPr>
        <w:t>1.</w:t>
      </w:r>
      <w:r w:rsidRPr="007C75DF">
        <w:rPr>
          <w:rFonts w:ascii="Palatino Linotype" w:hAnsi="Palatino Linotype" w:cs="Tahoma"/>
          <w:i/>
          <w:sz w:val="23"/>
          <w:szCs w:val="23"/>
        </w:rPr>
        <w:tab/>
        <w:t>Contraloría Interna Municipal</w:t>
      </w:r>
    </w:p>
    <w:p w14:paraId="20DA45F6"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r w:rsidRPr="007C75DF">
        <w:rPr>
          <w:rFonts w:ascii="Palatino Linotype" w:hAnsi="Palatino Linotype" w:cs="Tahoma"/>
          <w:i/>
          <w:sz w:val="23"/>
          <w:szCs w:val="23"/>
        </w:rPr>
        <w:t>2.</w:t>
      </w:r>
      <w:r w:rsidRPr="007C75DF">
        <w:rPr>
          <w:rFonts w:ascii="Palatino Linotype" w:hAnsi="Palatino Linotype" w:cs="Tahoma"/>
          <w:i/>
          <w:sz w:val="23"/>
          <w:szCs w:val="23"/>
        </w:rPr>
        <w:tab/>
        <w:t>Regidores</w:t>
      </w:r>
    </w:p>
    <w:p w14:paraId="70BAA9B5"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r w:rsidRPr="007C75DF">
        <w:rPr>
          <w:rFonts w:ascii="Palatino Linotype" w:hAnsi="Palatino Linotype" w:cs="Tahoma"/>
          <w:i/>
          <w:sz w:val="23"/>
          <w:szCs w:val="23"/>
        </w:rPr>
        <w:t>3.</w:t>
      </w:r>
      <w:r w:rsidRPr="007C75DF">
        <w:rPr>
          <w:rFonts w:ascii="Palatino Linotype" w:hAnsi="Palatino Linotype" w:cs="Tahoma"/>
          <w:i/>
          <w:sz w:val="23"/>
          <w:szCs w:val="23"/>
        </w:rPr>
        <w:tab/>
        <w:t xml:space="preserve">Dirección de Servicios Públicos. </w:t>
      </w:r>
    </w:p>
    <w:p w14:paraId="440D7F90" w14:textId="77777777" w:rsidR="007C75DF" w:rsidRPr="007C75DF" w:rsidRDefault="007C75DF" w:rsidP="007C75DF">
      <w:pPr>
        <w:autoSpaceDE w:val="0"/>
        <w:autoSpaceDN w:val="0"/>
        <w:adjustRightInd w:val="0"/>
        <w:spacing w:line="360" w:lineRule="auto"/>
        <w:contextualSpacing/>
        <w:jc w:val="both"/>
        <w:rPr>
          <w:rFonts w:ascii="Palatino Linotype" w:hAnsi="Palatino Linotype" w:cs="Tahoma"/>
          <w:i/>
          <w:sz w:val="23"/>
          <w:szCs w:val="23"/>
        </w:rPr>
      </w:pPr>
    </w:p>
    <w:p w14:paraId="54E38610" w14:textId="77777777" w:rsidR="000B2A76" w:rsidRDefault="007C75DF" w:rsidP="007C75DF">
      <w:pPr>
        <w:autoSpaceDE w:val="0"/>
        <w:autoSpaceDN w:val="0"/>
        <w:adjustRightInd w:val="0"/>
        <w:spacing w:line="360" w:lineRule="auto"/>
        <w:contextualSpacing/>
        <w:jc w:val="both"/>
        <w:rPr>
          <w:rFonts w:ascii="Palatino Linotype" w:eastAsia="Calibri" w:hAnsi="Palatino Linotype" w:cs="Tahoma"/>
          <w:i/>
          <w:iCs/>
          <w:sz w:val="23"/>
          <w:szCs w:val="23"/>
          <w:lang w:eastAsia="es-ES_tradnl"/>
        </w:rPr>
      </w:pPr>
      <w:r w:rsidRPr="007C75DF">
        <w:rPr>
          <w:rFonts w:ascii="Palatino Linotype" w:hAnsi="Palatino Linotype" w:cs="Tahoma"/>
          <w:i/>
          <w:sz w:val="23"/>
          <w:szCs w:val="23"/>
        </w:rPr>
        <w:t>Junto con la documentación se deberá entregar el Acuerdo del Comité de Transparencia mediante el cual se funde y motive la eliminación de la información, ya sean datos confidenciales o para el caso de la Contraloría Interna Municipal, datos o documentos clasificados en su totalidad como reservados, en términos de los artículos 49, fracciones II y VII y 132 de la Ley de Transparencia y Acceso a la Información Pública del Estado de México y Municipios.</w:t>
      </w:r>
      <w:r w:rsidR="000B2A76">
        <w:rPr>
          <w:rFonts w:ascii="Palatino Linotype" w:eastAsia="Calibri" w:hAnsi="Palatino Linotype" w:cs="Tahoma"/>
          <w:i/>
          <w:iCs/>
          <w:sz w:val="23"/>
          <w:szCs w:val="23"/>
          <w:lang w:eastAsia="es-ES_tradnl"/>
        </w:rPr>
        <w:t>”</w:t>
      </w:r>
      <w:r w:rsidR="000B2A76" w:rsidRPr="00475038">
        <w:rPr>
          <w:rFonts w:ascii="Palatino Linotype" w:eastAsia="Calibri" w:hAnsi="Palatino Linotype" w:cs="Tahoma"/>
          <w:i/>
          <w:iCs/>
          <w:sz w:val="23"/>
          <w:szCs w:val="23"/>
          <w:lang w:eastAsia="es-ES_tradnl"/>
        </w:rPr>
        <w:t xml:space="preserve"> (SIC)</w:t>
      </w:r>
    </w:p>
    <w:p w14:paraId="379AE9FB" w14:textId="77777777" w:rsidR="000B2A76" w:rsidRPr="00475038" w:rsidRDefault="000B2A76" w:rsidP="000B2A76">
      <w:pPr>
        <w:autoSpaceDE w:val="0"/>
        <w:autoSpaceDN w:val="0"/>
        <w:adjustRightInd w:val="0"/>
        <w:contextualSpacing/>
        <w:jc w:val="both"/>
        <w:rPr>
          <w:rFonts w:ascii="Palatino Linotype" w:eastAsia="Calibri" w:hAnsi="Palatino Linotype" w:cs="Tahoma"/>
          <w:i/>
          <w:iCs/>
          <w:sz w:val="23"/>
          <w:szCs w:val="23"/>
          <w:lang w:eastAsia="es-ES_tradnl"/>
        </w:rPr>
      </w:pPr>
    </w:p>
    <w:p w14:paraId="4D0F17AD" w14:textId="77777777"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Pr>
          <w:rFonts w:ascii="Palatino Linotype" w:hAnsi="Palatino Linotype"/>
          <w:sz w:val="23"/>
          <w:szCs w:val="23"/>
        </w:rPr>
        <w:t xml:space="preserve"> debe mencionarse que, t</w:t>
      </w:r>
      <w:r w:rsidRPr="00EE051D">
        <w:rPr>
          <w:rFonts w:ascii="Palatino Linotype" w:hAnsi="Palatino Linotype"/>
          <w:sz w:val="23"/>
          <w:szCs w:val="23"/>
        </w:rPr>
        <w:t>ratándose de información reservada</w:t>
      </w:r>
      <w:r>
        <w:rPr>
          <w:rFonts w:ascii="Palatino Linotype" w:hAnsi="Palatino Linotype"/>
          <w:sz w:val="23"/>
          <w:szCs w:val="23"/>
        </w:rPr>
        <w:t xml:space="preserve"> como lo son </w:t>
      </w:r>
      <w:r w:rsidR="007C75DF" w:rsidRPr="007C75DF">
        <w:rPr>
          <w:rFonts w:ascii="Palatino Linotype" w:hAnsi="Palatino Linotype"/>
          <w:sz w:val="23"/>
          <w:szCs w:val="23"/>
        </w:rPr>
        <w:t>las funciones que realiza Contraloría es posible que los oficios generados por esta, contengan partes o secciones que deban ser clasificadas como reservados por tratarse de asuntos directamente vinculados con procedimientos en trámite, así como oficios que sean clasificados en su totalidad porque su contenido forme parte de los expedientes administrativos</w:t>
      </w:r>
      <w:r w:rsidRPr="003D5DCE">
        <w:rPr>
          <w:rFonts w:ascii="Palatino Linotype" w:eastAsia="Calibri" w:hAnsi="Palatino Linotype" w:cs="Tahoma"/>
          <w:b/>
          <w:bCs/>
        </w:rPr>
        <w:t>,</w:t>
      </w:r>
      <w:r>
        <w:rPr>
          <w:rFonts w:ascii="Palatino Linotype" w:eastAsia="Calibri" w:hAnsi="Palatino Linotype" w:cs="Tahoma"/>
          <w:b/>
          <w:bCs/>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w:t>
      </w:r>
      <w:r w:rsidRPr="00A408AE">
        <w:rPr>
          <w:rFonts w:ascii="Palatino Linotype" w:hAnsi="Palatino Linotype"/>
          <w:sz w:val="23"/>
          <w:szCs w:val="23"/>
        </w:rPr>
        <w:lastRenderedPageBreak/>
        <w:t>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570C2B5A" w14:textId="77777777"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08E7FDEE" w14:textId="77777777"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47054BF5"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313FCE32"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 Se deberá citar la fracción y, en su caso, la causal aplicable del artículo 113 de la Ley General, vinculándola con el Lineamiento </w:t>
      </w:r>
      <w:proofErr w:type="gramStart"/>
      <w:r w:rsidRPr="00B770CB">
        <w:rPr>
          <w:rFonts w:ascii="Palatino Linotype" w:hAnsi="Palatino Linotype" w:cstheme="minorHAnsi"/>
          <w:i/>
          <w:sz w:val="22"/>
          <w:szCs w:val="22"/>
        </w:rPr>
        <w:t>especifico</w:t>
      </w:r>
      <w:proofErr w:type="gramEnd"/>
      <w:r w:rsidRPr="00B770CB">
        <w:rPr>
          <w:rFonts w:ascii="Palatino Linotype" w:hAnsi="Palatino Linotype" w:cstheme="minorHAnsi"/>
          <w:i/>
          <w:sz w:val="22"/>
          <w:szCs w:val="22"/>
        </w:rPr>
        <w:t xml:space="preserve"> del presente ordenamiento </w:t>
      </w:r>
      <w:r w:rsidRPr="00B770CB">
        <w:rPr>
          <w:rFonts w:ascii="Palatino Linotype" w:hAnsi="Palatino Linotype" w:cstheme="minorHAnsi"/>
          <w:i/>
          <w:sz w:val="22"/>
          <w:szCs w:val="22"/>
        </w:rPr>
        <w:lastRenderedPageBreak/>
        <w:t>y, cuando corresponda, el supuesto normativo que expresamente le otorga el carácter de información reservada;</w:t>
      </w:r>
    </w:p>
    <w:p w14:paraId="77D625FC"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 xml:space="preserve">deberán demostrar que la publicidad de la información solicitada generaría un riesgo de perjuicio </w:t>
      </w:r>
      <w:proofErr w:type="gramStart"/>
      <w:r w:rsidRPr="00244751">
        <w:rPr>
          <w:rFonts w:ascii="Palatino Linotype" w:hAnsi="Palatino Linotype" w:cstheme="minorHAnsi"/>
          <w:b/>
          <w:i/>
          <w:sz w:val="22"/>
          <w:szCs w:val="22"/>
        </w:rPr>
        <w:t>y</w:t>
      </w:r>
      <w:proofErr w:type="gramEnd"/>
      <w:r w:rsidRPr="00244751">
        <w:rPr>
          <w:rFonts w:ascii="Palatino Linotype" w:hAnsi="Palatino Linotype" w:cstheme="minorHAnsi"/>
          <w:b/>
          <w:i/>
          <w:sz w:val="22"/>
          <w:szCs w:val="22"/>
        </w:rPr>
        <w:t xml:space="preserve"> por lo tanto, tendrán que acreditar que este último rebasa el interés público protegido por la reserva</w:t>
      </w:r>
      <w:r w:rsidRPr="00B770CB">
        <w:rPr>
          <w:rFonts w:ascii="Palatino Linotype" w:hAnsi="Palatino Linotype" w:cstheme="minorHAnsi"/>
          <w:i/>
          <w:sz w:val="22"/>
          <w:szCs w:val="22"/>
        </w:rPr>
        <w:t>;</w:t>
      </w:r>
    </w:p>
    <w:p w14:paraId="6D7C1BDF"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4D46266F"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173D43DF" w14:textId="77777777"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246189CC" w14:textId="77777777"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4CF00B09" w14:textId="77777777"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14:paraId="2FE42D64" w14:textId="77777777"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5FAE15FD" w14:textId="70AC1F98"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2379C1">
        <w:rPr>
          <w:rFonts w:ascii="Palatino Linotype" w:hAnsi="Palatino Linotype"/>
          <w:b/>
          <w:bCs/>
          <w:sz w:val="23"/>
          <w:szCs w:val="23"/>
        </w:rPr>
        <w:t>0</w:t>
      </w:r>
      <w:r w:rsidR="00093DE2" w:rsidRPr="002379C1">
        <w:rPr>
          <w:rFonts w:ascii="Palatino Linotype" w:hAnsi="Palatino Linotype"/>
          <w:b/>
          <w:bCs/>
          <w:sz w:val="23"/>
          <w:szCs w:val="23"/>
        </w:rPr>
        <w:t>4626</w:t>
      </w:r>
      <w:r w:rsidRPr="002379C1">
        <w:rPr>
          <w:rFonts w:ascii="Palatino Linotype" w:hAnsi="Palatino Linotype"/>
          <w:b/>
          <w:bCs/>
          <w:sz w:val="23"/>
          <w:szCs w:val="23"/>
        </w:rPr>
        <w:t>/INFOEM/IP/RR/</w:t>
      </w:r>
      <w:r w:rsidR="002379C1">
        <w:rPr>
          <w:rFonts w:ascii="Palatino Linotype" w:hAnsi="Palatino Linotype"/>
          <w:b/>
          <w:bCs/>
          <w:color w:val="000000" w:themeColor="text1"/>
          <w:sz w:val="23"/>
          <w:szCs w:val="23"/>
        </w:rPr>
        <w:t xml:space="preserve">2022, </w:t>
      </w:r>
      <w:r w:rsidR="002379C1" w:rsidRPr="00D36CD9">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8</w:t>
      </w:r>
      <w:r w:rsidR="002379C1" w:rsidRPr="00D36CD9">
        <w:rPr>
          <w:rFonts w:ascii="Palatino Linotype" w:hAnsi="Palatino Linotype"/>
          <w:b/>
          <w:sz w:val="23"/>
          <w:szCs w:val="23"/>
        </w:rPr>
        <w:t>/INFOEM/IP/RR/2022</w:t>
      </w:r>
      <w:r w:rsidR="002379C1">
        <w:rPr>
          <w:rFonts w:ascii="Palatino Linotype" w:hAnsi="Palatino Linotype"/>
          <w:b/>
          <w:sz w:val="23"/>
          <w:szCs w:val="23"/>
        </w:rPr>
        <w:t xml:space="preserve"> </w:t>
      </w:r>
      <w:r w:rsidR="002379C1">
        <w:rPr>
          <w:rFonts w:ascii="Palatino Linotype" w:hAnsi="Palatino Linotype"/>
          <w:bCs/>
          <w:sz w:val="23"/>
          <w:szCs w:val="23"/>
        </w:rPr>
        <w:t xml:space="preserve">y </w:t>
      </w:r>
      <w:r w:rsidR="002379C1" w:rsidRPr="00D36CD9">
        <w:rPr>
          <w:rFonts w:ascii="Palatino Linotype" w:hAnsi="Palatino Linotype"/>
          <w:b/>
          <w:sz w:val="23"/>
          <w:szCs w:val="23"/>
        </w:rPr>
        <w:t>0</w:t>
      </w:r>
      <w:r w:rsidR="002379C1">
        <w:rPr>
          <w:rFonts w:ascii="Palatino Linotype" w:hAnsi="Palatino Linotype"/>
          <w:b/>
          <w:sz w:val="23"/>
          <w:szCs w:val="23"/>
        </w:rPr>
        <w:t>462</w:t>
      </w:r>
      <w:r w:rsidR="002379C1">
        <w:rPr>
          <w:rFonts w:ascii="Palatino Linotype" w:hAnsi="Palatino Linotype"/>
          <w:b/>
          <w:sz w:val="23"/>
          <w:szCs w:val="23"/>
        </w:rPr>
        <w:t>9</w:t>
      </w:r>
      <w:r w:rsidR="002379C1" w:rsidRPr="00D36CD9">
        <w:rPr>
          <w:rFonts w:ascii="Palatino Linotype" w:hAnsi="Palatino Linotype"/>
          <w:b/>
          <w:sz w:val="23"/>
          <w:szCs w:val="23"/>
        </w:rPr>
        <w:t>/INFOEM/IP/RR/2022</w:t>
      </w:r>
      <w:r w:rsidR="002379C1">
        <w:rPr>
          <w:rFonts w:ascii="Palatino Linotype" w:hAnsi="Palatino Linotype"/>
          <w:b/>
          <w:sz w:val="23"/>
          <w:szCs w:val="23"/>
        </w:rPr>
        <w:t xml:space="preserve"> </w:t>
      </w:r>
      <w:r>
        <w:rPr>
          <w:rFonts w:ascii="Palatino Linotype" w:hAnsi="Palatino Linotype"/>
          <w:sz w:val="23"/>
          <w:szCs w:val="23"/>
        </w:rPr>
        <w:t>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w:t>
      </w:r>
      <w:r>
        <w:rPr>
          <w:rFonts w:ascii="Palatino Linotype" w:hAnsi="Palatino Linotype"/>
          <w:sz w:val="23"/>
          <w:szCs w:val="23"/>
        </w:rPr>
        <w:lastRenderedPageBreak/>
        <w:t xml:space="preserve">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348E81BF" w14:textId="77777777"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5A14595F" w14:textId="77777777" w:rsidR="000B2A76" w:rsidRDefault="000B2A76" w:rsidP="000B2A76">
      <w:pPr>
        <w:jc w:val="both"/>
        <w:rPr>
          <w:rStyle w:val="normaltextrun"/>
          <w:rFonts w:ascii="Palatino Linotype" w:hAnsi="Palatino Linotype" w:cs="Segoe UI"/>
        </w:rPr>
      </w:pPr>
    </w:p>
    <w:p w14:paraId="59B57B4F" w14:textId="77777777"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24871D3" w14:textId="77777777"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14:paraId="50436340" w14:textId="77777777" w:rsidR="00093DE2" w:rsidRDefault="00093DE2" w:rsidP="000B2A76">
      <w:pPr>
        <w:spacing w:before="240" w:after="240" w:line="360" w:lineRule="auto"/>
        <w:jc w:val="both"/>
        <w:rPr>
          <w:rFonts w:ascii="Palatino Linotype" w:hAnsi="Palatino Linotype"/>
          <w:sz w:val="23"/>
          <w:szCs w:val="23"/>
        </w:rPr>
      </w:pPr>
    </w:p>
    <w:p w14:paraId="44435F8C" w14:textId="77777777" w:rsidR="00D36CD9" w:rsidRDefault="00F76F85"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w:t>
      </w:r>
      <w:r w:rsidR="000B2A76">
        <w:rPr>
          <w:rFonts w:ascii="Palatino Linotype" w:hAnsi="Palatino Linotype"/>
          <w:sz w:val="23"/>
          <w:szCs w:val="23"/>
        </w:rPr>
        <w:t>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14:paraId="67B55AC5" w14:textId="77777777" w:rsidR="000B2A76" w:rsidRDefault="000B2A76" w:rsidP="000B2A76">
      <w:pPr>
        <w:spacing w:before="240" w:after="24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14:paraId="33681A66" w14:textId="77777777" w:rsidR="000B2A76" w:rsidRDefault="000B2A76" w:rsidP="000B2A76">
      <w:pPr>
        <w:spacing w:before="240" w:after="240" w:line="360" w:lineRule="auto"/>
        <w:jc w:val="both"/>
        <w:rPr>
          <w:rFonts w:ascii="Palatino Linotype" w:hAnsi="Palatino Linotype"/>
          <w:sz w:val="23"/>
          <w:szCs w:val="23"/>
        </w:rPr>
      </w:pPr>
    </w:p>
    <w:p w14:paraId="3BC984EF" w14:textId="77777777"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3CFDA269" w14:textId="77777777" w:rsidR="000B2A76" w:rsidRPr="000D7039" w:rsidRDefault="000B2A76" w:rsidP="000B2A76">
      <w:pPr>
        <w:spacing w:before="240" w:after="240" w:line="360" w:lineRule="auto"/>
        <w:jc w:val="both"/>
        <w:rPr>
          <w:rFonts w:ascii="Palatino Linotype" w:hAnsi="Palatino Linotype"/>
          <w:sz w:val="23"/>
          <w:szCs w:val="23"/>
        </w:rPr>
      </w:pPr>
    </w:p>
    <w:p w14:paraId="694C6AF6" w14:textId="77777777" w:rsidR="000B2A76" w:rsidRPr="000D7039" w:rsidRDefault="000B2A76" w:rsidP="000B2A76">
      <w:pPr>
        <w:spacing w:before="240" w:after="240" w:line="360" w:lineRule="auto"/>
        <w:jc w:val="center"/>
        <w:rPr>
          <w:rFonts w:ascii="Palatino Linotype" w:hAnsi="Palatino Linotype"/>
          <w:b/>
          <w:sz w:val="23"/>
          <w:szCs w:val="23"/>
        </w:rPr>
      </w:pPr>
    </w:p>
    <w:p w14:paraId="33B050E2" w14:textId="77777777" w:rsidR="000B2A76" w:rsidRPr="000D7039" w:rsidRDefault="000B2A76" w:rsidP="000B2A76">
      <w:pPr>
        <w:spacing w:after="0" w:line="240" w:lineRule="auto"/>
        <w:jc w:val="center"/>
        <w:rPr>
          <w:rFonts w:ascii="Palatino Linotype" w:hAnsi="Palatino Linotype"/>
          <w:sz w:val="23"/>
          <w:szCs w:val="23"/>
        </w:rPr>
      </w:pPr>
    </w:p>
    <w:p w14:paraId="0E1BCF10" w14:textId="77777777" w:rsidR="000B2A76" w:rsidRPr="000D7039" w:rsidRDefault="000B2A76" w:rsidP="000B2A76">
      <w:pPr>
        <w:spacing w:before="240" w:after="240" w:line="360" w:lineRule="auto"/>
        <w:rPr>
          <w:rFonts w:ascii="Palatino Linotype" w:hAnsi="Palatino Linotype"/>
          <w:sz w:val="24"/>
          <w:szCs w:val="24"/>
        </w:rPr>
      </w:pPr>
    </w:p>
    <w:p w14:paraId="5BE34DEF" w14:textId="77777777" w:rsidR="000B2A76" w:rsidRDefault="000B2A76" w:rsidP="000B2A76"/>
    <w:p w14:paraId="3A31C1B6" w14:textId="77777777" w:rsidR="000B2A76" w:rsidRDefault="000B2A76" w:rsidP="000B2A76"/>
    <w:p w14:paraId="21E12E92" w14:textId="77777777" w:rsidR="00A1078F" w:rsidRDefault="002379C1"/>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21C8" w14:textId="77777777" w:rsidR="00E577B7" w:rsidRDefault="00E577B7" w:rsidP="000B2A76">
      <w:pPr>
        <w:spacing w:after="0" w:line="240" w:lineRule="auto"/>
      </w:pPr>
      <w:r>
        <w:separator/>
      </w:r>
    </w:p>
  </w:endnote>
  <w:endnote w:type="continuationSeparator" w:id="0">
    <w:p w14:paraId="0EF822E3" w14:textId="77777777" w:rsidR="00E577B7" w:rsidRDefault="00E577B7"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3C2D"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6F85">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6F85">
      <w:rPr>
        <w:rFonts w:ascii="Arial" w:hAnsi="Arial" w:cs="Arial"/>
        <w:b/>
        <w:bCs/>
        <w:noProof/>
        <w:sz w:val="20"/>
        <w:szCs w:val="20"/>
      </w:rPr>
      <w:t>8</w:t>
    </w:r>
    <w:r w:rsidRPr="00986599">
      <w:rPr>
        <w:rFonts w:ascii="Arial" w:hAnsi="Arial" w:cs="Arial"/>
        <w:b/>
        <w:bCs/>
        <w:sz w:val="20"/>
        <w:szCs w:val="20"/>
      </w:rPr>
      <w:fldChar w:fldCharType="end"/>
    </w:r>
  </w:p>
  <w:p w14:paraId="23778036" w14:textId="77777777" w:rsidR="00D758BE" w:rsidRDefault="002379C1"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6D81" w14:textId="77777777" w:rsidR="00E577B7" w:rsidRDefault="00E577B7" w:rsidP="000B2A76">
      <w:pPr>
        <w:spacing w:after="0" w:line="240" w:lineRule="auto"/>
      </w:pPr>
      <w:r>
        <w:separator/>
      </w:r>
    </w:p>
  </w:footnote>
  <w:footnote w:type="continuationSeparator" w:id="0">
    <w:p w14:paraId="37E5AD74" w14:textId="77777777" w:rsidR="00E577B7" w:rsidRDefault="00E577B7" w:rsidP="000B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5214" w14:textId="77777777" w:rsidR="00D758BE" w:rsidRDefault="002379C1">
    <w:pPr>
      <w:pStyle w:val="Encabezado"/>
    </w:pPr>
    <w:r>
      <w:rPr>
        <w:noProof/>
      </w:rPr>
      <w:pict w14:anchorId="1F4D4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7320CBD7" wp14:editId="4C38F5BC">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DF4DA"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EB0A"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4038063D" wp14:editId="40541CF0">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9BBE2A" w14:textId="77777777"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14:paraId="7DDB41CC" w14:textId="778B67D9"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CD0D63">
      <w:rPr>
        <w:rFonts w:ascii="Palatino Linotype" w:hAnsi="Palatino Linotype" w:cs="Arial"/>
        <w:b/>
        <w:sz w:val="22"/>
        <w:szCs w:val="22"/>
      </w:rPr>
      <w:t>4626</w:t>
    </w:r>
    <w:r w:rsidRPr="00FB2266">
      <w:rPr>
        <w:rFonts w:ascii="Palatino Linotype" w:hAnsi="Palatino Linotype" w:cs="Arial"/>
        <w:b/>
        <w:sz w:val="22"/>
        <w:szCs w:val="22"/>
      </w:rPr>
      <w:t>/INFOEM/IP/RR/</w:t>
    </w:r>
    <w:r w:rsidRPr="002379C1">
      <w:rPr>
        <w:rFonts w:ascii="Palatino Linotype" w:hAnsi="Palatino Linotype" w:cs="Arial"/>
        <w:b/>
        <w:sz w:val="22"/>
        <w:szCs w:val="22"/>
      </w:rPr>
      <w:t>2022</w:t>
    </w:r>
    <w:r w:rsidR="002379C1" w:rsidRPr="002379C1">
      <w:rPr>
        <w:rFonts w:ascii="Palatino Linotype" w:hAnsi="Palatino Linotype" w:cs="Arial"/>
        <w:b/>
        <w:sz w:val="22"/>
        <w:szCs w:val="22"/>
      </w:rPr>
      <w:t xml:space="preserve"> y </w:t>
    </w:r>
    <w:r w:rsidR="00F76F85" w:rsidRPr="002379C1">
      <w:rPr>
        <w:rFonts w:ascii="Palatino Linotype" w:hAnsi="Palatino Linotype" w:cs="Arial"/>
        <w:b/>
        <w:sz w:val="22"/>
        <w:szCs w:val="22"/>
      </w:rPr>
      <w:t>acum</w:t>
    </w:r>
    <w:r w:rsidR="002379C1" w:rsidRPr="002379C1">
      <w:rPr>
        <w:rFonts w:ascii="Palatino Linotype" w:hAnsi="Palatino Linotype" w:cs="Arial"/>
        <w:b/>
        <w:sz w:val="22"/>
        <w:szCs w:val="22"/>
      </w:rPr>
      <w:t>ulados</w:t>
    </w:r>
    <w:r w:rsidR="002379C1">
      <w:rPr>
        <w:rFonts w:ascii="Palatino Linotype" w:hAnsi="Palatino Linotype" w:cs="Arial"/>
        <w:b/>
        <w:sz w:val="22"/>
        <w:szCs w:val="22"/>
      </w:rPr>
      <w:t>.</w:t>
    </w:r>
  </w:p>
  <w:p w14:paraId="5F7828B7" w14:textId="77777777" w:rsidR="000B1C1F" w:rsidRPr="000D4A99" w:rsidRDefault="002379C1"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398B" w14:textId="77777777" w:rsidR="00D758BE" w:rsidRDefault="002379C1">
    <w:pPr>
      <w:pStyle w:val="Encabezado"/>
    </w:pPr>
    <w:r>
      <w:rPr>
        <w:noProof/>
      </w:rPr>
      <w:pict w14:anchorId="75E70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5E17" w14:textId="77777777" w:rsidR="00F029C2" w:rsidRPr="000D4A99" w:rsidRDefault="002379C1" w:rsidP="007263BB">
    <w:pPr>
      <w:pStyle w:val="Encabezado"/>
      <w:jc w:val="right"/>
      <w:rPr>
        <w:rFonts w:ascii="Arial" w:hAnsi="Arial" w:cs="Arial"/>
        <w:sz w:val="20"/>
        <w:szCs w:val="20"/>
      </w:rPr>
    </w:pPr>
  </w:p>
  <w:p w14:paraId="751D8BD1" w14:textId="77777777" w:rsidR="00F029C2" w:rsidRPr="000D4A99" w:rsidRDefault="002379C1" w:rsidP="007263BB">
    <w:pPr>
      <w:pStyle w:val="Encabezado"/>
      <w:jc w:val="right"/>
      <w:rPr>
        <w:rFonts w:ascii="Arial" w:hAnsi="Arial" w:cs="Arial"/>
        <w:sz w:val="20"/>
        <w:szCs w:val="20"/>
      </w:rPr>
    </w:pPr>
  </w:p>
  <w:p w14:paraId="0989CDAF" w14:textId="77777777" w:rsidR="00F029C2" w:rsidRPr="000D4A99" w:rsidRDefault="002379C1" w:rsidP="007263BB">
    <w:pPr>
      <w:pStyle w:val="Encabezado"/>
      <w:jc w:val="right"/>
      <w:rPr>
        <w:rFonts w:ascii="Arial" w:hAnsi="Arial" w:cs="Arial"/>
        <w:sz w:val="20"/>
        <w:szCs w:val="20"/>
      </w:rPr>
    </w:pPr>
  </w:p>
  <w:p w14:paraId="06A476B0"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6E69F5AF" w14:textId="77777777" w:rsidR="00F029C2" w:rsidRPr="000D4A99" w:rsidRDefault="002379C1" w:rsidP="007263BB">
    <w:pPr>
      <w:pStyle w:val="Encabezado"/>
      <w:jc w:val="right"/>
      <w:rPr>
        <w:rFonts w:ascii="Palatino Linotype" w:hAnsi="Palatino Linotype" w:cs="Arial"/>
        <w:sz w:val="20"/>
        <w:szCs w:val="20"/>
      </w:rPr>
    </w:pPr>
  </w:p>
  <w:p w14:paraId="720319CE" w14:textId="77777777" w:rsidR="00F029C2" w:rsidRPr="000D4A99" w:rsidRDefault="002379C1"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3115854">
    <w:abstractNumId w:val="1"/>
  </w:num>
  <w:num w:numId="2" w16cid:durableId="199630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76"/>
    <w:rsid w:val="00093DE2"/>
    <w:rsid w:val="000B2A76"/>
    <w:rsid w:val="002379C1"/>
    <w:rsid w:val="004A63C4"/>
    <w:rsid w:val="007C75DF"/>
    <w:rsid w:val="0081741B"/>
    <w:rsid w:val="009B0039"/>
    <w:rsid w:val="00A22313"/>
    <w:rsid w:val="00AA0931"/>
    <w:rsid w:val="00CD0D63"/>
    <w:rsid w:val="00D36CD9"/>
    <w:rsid w:val="00E1501A"/>
    <w:rsid w:val="00E577B7"/>
    <w:rsid w:val="00F7678B"/>
    <w:rsid w:val="00F76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807534"/>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1599</Words>
  <Characters>8796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LAURA RENDON GARCIA</cp:lastModifiedBy>
  <cp:revision>2</cp:revision>
  <dcterms:created xsi:type="dcterms:W3CDTF">2022-06-18T04:35:00Z</dcterms:created>
  <dcterms:modified xsi:type="dcterms:W3CDTF">2022-06-18T04:35:00Z</dcterms:modified>
</cp:coreProperties>
</file>