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m102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o:lock v:ext="edit" shapetype="t" text="t"/>
          </v:shapetype>
          <v:shapetype id="_x0000_m102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o:lock v:ext="edit" shapetype="t" text="t"/>
          </v:shapetype>
          <v:shapetype id="_x0000_m102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6" name=""/>
                <a:graphic>
                  <a:graphicData uri="http://schemas.microsoft.com/office/word/2010/wordprocessingShape">
                    <wps:wsp>
                      <wps:cNvSpPr/>
                      <wps:cNvPr id="3" name="Shape 3"/>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3">
      <w:pPr>
        <w:spacing w:after="240" w:before="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CUADRAGÉSIMA QUINTA SESIÓN ORDINARIA DEL CATORCE DE DICIEMBRE DE DOS MIL VEINTIDÓS, EN EL RECURSO DE REVISIÓN 2471/INFOEM/IP/RR/2022.</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sz w:val="24"/>
          <w:szCs w:val="24"/>
        </w:rPr>
      </w:pPr>
      <w:bookmarkStart w:colFirst="0" w:colLast="0" w:name="_heading=h.1fob9te" w:id="0"/>
      <w:bookmarkEnd w:id="0"/>
      <w:r w:rsidDel="00000000" w:rsidR="00000000" w:rsidRPr="00000000">
        <w:rPr>
          <w:rFonts w:ascii="Palatino Linotype" w:cs="Palatino Linotype" w:eastAsia="Palatino Linotype" w:hAnsi="Palatino Linotype"/>
          <w:sz w:val="24"/>
          <w:szCs w:val="24"/>
          <w:rtl w:val="0"/>
        </w:rPr>
        <w:t xml:space="preserve">El pleno del Instituto de Transparencia, Acceso a la Información Pública y Protección de Datos Personales del Estado de México y Municipios, aprobó por unanimidad de votos, la resolución relativa al recurso de revisión </w:t>
      </w:r>
      <w:r w:rsidDel="00000000" w:rsidR="00000000" w:rsidRPr="00000000">
        <w:rPr>
          <w:rFonts w:ascii="Palatino Linotype" w:cs="Palatino Linotype" w:eastAsia="Palatino Linotype" w:hAnsi="Palatino Linotype"/>
          <w:b w:val="1"/>
          <w:sz w:val="24"/>
          <w:szCs w:val="24"/>
          <w:rtl w:val="0"/>
        </w:rPr>
        <w:t xml:space="preserve">12471/INFOEM/IP/RR/2022</w:t>
      </w:r>
      <w:r w:rsidDel="00000000" w:rsidR="00000000" w:rsidRPr="00000000">
        <w:rPr>
          <w:rFonts w:ascii="Palatino Linotype" w:cs="Palatino Linotype" w:eastAsia="Palatino Linotype" w:hAnsi="Palatino Linotype"/>
          <w:sz w:val="24"/>
          <w:szCs w:val="24"/>
          <w:rtl w:val="0"/>
        </w:rPr>
        <w:t xml:space="preserve">, presentada por el Comisionado Luis Gustavo Parra Noriega, respecto de la cual, la suscrita formula </w:t>
      </w:r>
      <w:r w:rsidDel="00000000" w:rsidR="00000000" w:rsidRPr="00000000">
        <w:rPr>
          <w:rFonts w:ascii="Palatino Linotype" w:cs="Palatino Linotype" w:eastAsia="Palatino Linotype" w:hAnsi="Palatino Linotype"/>
          <w:b w:val="1"/>
          <w:sz w:val="24"/>
          <w:szCs w:val="24"/>
          <w:rtl w:val="0"/>
        </w:rPr>
        <w:t xml:space="preserve">OPINIÓN PARTICULAR</w:t>
      </w:r>
      <w:r w:rsidDel="00000000" w:rsidR="00000000" w:rsidRPr="00000000">
        <w:rPr>
          <w:rFonts w:ascii="Palatino Linotype" w:cs="Palatino Linotype" w:eastAsia="Palatino Linotype" w:hAnsi="Palatino Linotype"/>
          <w:sz w:val="24"/>
          <w:szCs w:val="24"/>
          <w:rtl w:val="0"/>
        </w:rPr>
        <w:t xml:space="preserve">, con fundamento en el artículo 14 fracción XI del Reglamento Interior del Instituto de Transparencia, Acceso a la Información Pública y Protección de Datos Personales del Estado de México y Municipios.</w:t>
      </w:r>
    </w:p>
    <w:p w:rsidR="00000000" w:rsidDel="00000000" w:rsidP="00000000" w:rsidRDefault="00000000" w:rsidRPr="00000000" w14:paraId="00000005">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06">
      <w:pPr>
        <w:spacing w:after="120" w:before="120" w:line="360" w:lineRule="auto"/>
        <w:jc w:val="both"/>
        <w:rPr>
          <w:rFonts w:ascii="Palatino Linotype" w:cs="Palatino Linotype" w:eastAsia="Palatino Linotype" w:hAnsi="Palatino Linotype"/>
          <w:sz w:val="24"/>
          <w:szCs w:val="24"/>
        </w:rPr>
      </w:pPr>
      <w:bookmarkStart w:colFirst="0" w:colLast="0" w:name="_heading=h.gjdgxs" w:id="1"/>
      <w:bookmarkEnd w:id="1"/>
      <w:r w:rsidDel="00000000" w:rsidR="00000000" w:rsidRPr="00000000">
        <w:rPr>
          <w:rFonts w:ascii="Palatino Linotype" w:cs="Palatino Linotype" w:eastAsia="Palatino Linotype" w:hAnsi="Palatino Linotype"/>
          <w:sz w:val="24"/>
          <w:szCs w:val="24"/>
          <w:rtl w:val="0"/>
        </w:rPr>
        <w:t xml:space="preserve">En el caso concreto la parte Recurrente requirió al Centro de Conciliación Laboral del Estado de México que en esencia se le proporcionara la siguiente información:</w:t>
      </w:r>
    </w:p>
    <w:p w:rsidR="00000000" w:rsidDel="00000000" w:rsidP="00000000" w:rsidRDefault="00000000" w:rsidRPr="00000000" w14:paraId="00000007">
      <w:pPr>
        <w:spacing w:after="120" w:before="120" w:line="240" w:lineRule="auto"/>
        <w:ind w:left="851" w:right="990"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i w:val="1"/>
          <w:rtl w:val="0"/>
        </w:rPr>
        <w:t xml:space="preserve">“Es un hecho notorio que el 13 de junio del año 2022, que el órgano interno de control llevo a cabo una visita extraordinaria en la Subdirección de Conflictos Individuales Ecatepec de la Dirección Regional de Conciliación Laboral Valle de México Zona Ecatepec; en razón de lo anterior, solicito en versión publica me proporcione lo siguiente:</w:t>
      </w:r>
      <w:r w:rsidDel="00000000" w:rsidR="00000000" w:rsidRPr="00000000">
        <w:rPr>
          <w:rtl w:val="0"/>
        </w:rPr>
        <w:t xml:space="preserve"> </w:t>
      </w:r>
      <w:r w:rsidDel="00000000" w:rsidR="00000000" w:rsidRPr="00000000">
        <w:rPr>
          <w:rFonts w:ascii="Palatino Linotype" w:cs="Palatino Linotype" w:eastAsia="Palatino Linotype" w:hAnsi="Palatino Linotype"/>
          <w:i w:val="1"/>
          <w:rtl w:val="0"/>
        </w:rPr>
        <w:t xml:space="preserve">1.- Los lineamientos o protocolo de actuación que habrán o deben de seguir los servidores públicos del órgano de control interno durante sus visitas. 2.- Solicito en versión pública las actas que se levantaron durante su visita. 3.- Solicito en versión publica las observaciones que se realizaron de ser el caso a dicha dirección regional. 4.- Solicito en versión pública la curricula (curriculum vitae) de los servidores públicos que acudieron a dicha visita. 5.- Solicito en versión pública los oficios comisión que se generaron a los servidores públicos que realizaron dicha visita. 6.- Solicito en versión pública las conclusiones, recomendaciones o señalamiento que obtuvieron o realizaron los servidores públicos durante dicha visita. 7.- Solicito me proporcione en versión pública los videos o audiograbaciones que se hayan realizado en dicha subdirección durante el tiempo que se encontró el personal del órgano de control interno durante su visita. Asimismo, la que suscribe, solicita la misma información tanto para la Dirección Regional de Conciliación Laboral Valle de Toluca; Subdirección de Conflictos Individuales Valle de Toluca; Subdirección de Conflictos Colectivos Valle de Toluca; así como para la Dirección Regional de Conciliación Laboral Valle de México Zona Tlalnepantla; la Subdirección de Conflictos Individuales Tlalnepantla; la Subdirección de Conflictos Colectivos Tlalnepantla; la Subdirección de Conflictos Individuales Texcoco, de haberse realizado en dichas Unidades la visita.” </w:t>
      </w:r>
      <w:r w:rsidDel="00000000" w:rsidR="00000000" w:rsidRPr="00000000">
        <w:rPr>
          <w:rFonts w:ascii="Palatino Linotype" w:cs="Palatino Linotype" w:eastAsia="Palatino Linotype" w:hAnsi="Palatino Linotype"/>
          <w:sz w:val="24"/>
          <w:szCs w:val="24"/>
          <w:rtl w:val="0"/>
        </w:rPr>
        <w:t xml:space="preserve">(Sic)</w:t>
      </w:r>
    </w:p>
    <w:p w:rsidR="00000000" w:rsidDel="00000000" w:rsidP="00000000" w:rsidRDefault="00000000" w:rsidRPr="00000000" w14:paraId="00000008">
      <w:pPr>
        <w:spacing w:after="240" w:before="240" w:line="360" w:lineRule="auto"/>
        <w:ind w:right="-3"/>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notificó a través del Sistema de Acceso a la Información Mexiquense (SAIMEX), la respuesta correspondiente, en la que, con fundamento en los artículos 12, 24 último párrafo, 53 fracción III y 167 de la Ley de Transparencia y Acceso a la Información Pública del Estado de México y Municipios, hizo del conocimiento del particular que quien podría ser competente para conocer de la solicitud sería la Secretaría de la Contraloría del Gobierno del Estado de México, por lo que le sugirió dirigirse al área correspondiente de la misma.</w:t>
      </w:r>
    </w:p>
    <w:p w:rsidR="00000000" w:rsidDel="00000000" w:rsidP="00000000" w:rsidRDefault="00000000" w:rsidRPr="00000000" w14:paraId="00000009">
      <w:pPr>
        <w:spacing w:after="240" w:before="240" w:line="360" w:lineRule="auto"/>
        <w:ind w:right="-3"/>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Ante este acto del Sujeto Obligado, el particular se inconformó, de manera medular arguyendo lo siguiente:</w:t>
      </w:r>
    </w:p>
    <w:p w:rsidR="00000000" w:rsidDel="00000000" w:rsidP="00000000" w:rsidRDefault="00000000" w:rsidRPr="00000000" w14:paraId="0000000A">
      <w:pPr>
        <w:spacing w:after="120" w:before="120" w:line="240" w:lineRule="auto"/>
        <w:ind w:left="851"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en mi carácter de solicitante de información pública con numero de folio 00118/CCLEM/IP/2022, de fecha 14 de junio del 2022, con fundamento en los artículos 176, 178, 179 y 180 de la Ley de Transparencia y Acceso a la Información Pública del Estado de México y sus Municipios, vengo a interponer por medio de este escrito, recurso de revisión en contra del oficio número 209C0201000200S-0127/2022, de fecha 16 de junio de 2022, emitido por el Lic. Marco Antonio Hernández Reyes, quien es Titular de la Unidad de Transparencia del Centro de Conciliación Laboral del Estado de México, solicitando desde este momento que las notificaciones o cualquier información que se genere por este recurso me sean realizadas o proporcionada mediante el Sistema SAIMEX, de este H. Instituto, por lo que comparezco y expongo las razones o motivos de inconformidad, siguientes: Por el Sistema de Acceso a la información Mexiquense (SAIMEX), presente una solicitud de información pública, a la que se le asignó el número de folio 00118/CCLEM/IP/2022, en donde solicite: Es un hecho notorio que el 13 de junio del año 2022, que el órgano interno de control llevo a cabo una visita extraordinaria en la Subdirección de Conflictos Individuales Ecatepec de la Dirección Regional de Conciliación Laboral Valle de México Zona Ecatepec; en razón de lo anterior, solicito en versión publica me proporcione lo siguiente: 1.- Los lineamientos o protocolo de actuación que habrán o deben de seguir los servidores públicos del órgano de control interno durante sus visitas. 2.- Solicito en versión pública las actas que se levantaron durante su visita. 3.- Solicito en versión publica las observaciones que se realizaron de ser el caso a dicha dirección regional. 4.- Solicito en versión pública la curricula (curriculum vitae) de los servidores públicos que acudieron a dicha visita. 5.- Solicito en versión pública los oficios comisión que se generaron a los servidores públicos que realizaron dicha visita. 6.- Solicito en versión pública las conclusiones, recomendaciones o señalamiento que obtuvieron o realizaron los servidores públicos durante dicha visita. 7.- Solicito me proporcione en versión pública los videos o audiograbaciones que se hayan realizado en dicha subdirección durante el tiempo que se encontró el personal del órgano de control interno durante su visita. Asimismo, la que suscribe, solicita la misma información tanto para la Dirección Regional de Conciliación Laboral Valle de Toluca; Subdirección de Conflictos Individuales Valle de Toluca; Subdirección de Conflictos Colectivos Valle de Toluca; así como para la Dirección Regional de Conciliación Laboral Valle de México Zona Tlalnepantla; la Subdirección de Conflictos Individuales Tlalnepantla; la Subdirección de Conflictos Colectivos Tlalnepantla; la Subdirección de Conflictos Individuales Texcoco, de haberse realizado en dichas Unidades la visita. En respuesta a lo anterior el sujeto obligado, señalo en la respuesta que por este medio se impugna lo siguiente: Me permito informar a Usted que, concluido el análisis a su solicitud, con fundamento en lo dispuesto por los artículos 1, 2 fracción II, 12 segundo párrafo, 15, 24 fracción XI y último párrafo, 151 y 157 de la Ley de Transparencia y Acceso a la Información Pública del Estado de México y Municipios, se tiene por recibida la petición de información referida; comentándole que de acuerdo con el artículo 21 de la Ley del Centro de Conciliación Laboral del Estado de México, que a la letra señala: "Existirá un Órgano Interno de Control, adscrito orgánica y presupuestalmente al Centro de Conciliación; unidad administrativa que dependerá funcionalmente de la Secretaría de la Contraloría, con las atribuciones que se establecen en las disposiciones jurídicas aplicables"; por lo que no es competencia de esta instancia proporcionar la información solicitada. Atendiendo a los artículos 12, 24 último párrafo, 53 fracción III y 167 de la Ley de Transparencia y Acceso a la Información Pública del Estado de México y Municipios, se hace de su conocimiento que quien podría ser competente para Conocer de su solicitud sería la Secretaría de la Contraloría del Gobierno del Estado de México, por lo que se sugiere dirigirse al área correspondiente de la misma. Pero considero que la respuesta del sujeto obligado va en contra de mi derecho de acceso a la información publica, ya que no proporciona la información solicitada y al declararse incompetente para proporcionar la información me deja en estado de indefensión ya que no remite mi solicitud a la autoridad competente o no y los fundamentos que señala en su respuesta no implican que no tenga la obligación de proporcionarme la información solicitada ya que los ordenamientos internos que rigen a la sujeto obligado establecen lo siguiente: LEY DEL CENTRO DE CONCILIACIÓN LABORAL DEL ESTADO DE MÉXICO CAPÍTULO CUARTO DE LA VIGILANCIA Y CONTROL DEL CENTRO DE CONCILIACIÓN Artículo 20. El Centro de Conciliación contará con un órgano de vigilancia que estará integrado por un Comisario, designado por la Secretaría de la Contraloría. Sus acciones tendrán por objeto apoyar la función directiva y promover el mejoramiento de la gestión del organismo, de acuerdo con lo establecido en la Ley para la Coordinación y otras disposiciones aplicables. Artículo 21. Existirá un Órgano Interno de Control, adscrito orgánica y presupuestalmente al Centro de Conciliación; unidad administrativa que dependerá funcionalmente de la Secretaría de la Contraloría, con las atribuciones que se establecen en las disposiciones jurídicas aplicables. Por su parte, el REGLAMENTO INTERIOR DEL CENTRO DE CONCILIACIÓN LABORAL DEL ESTADO DE MÉXICO, señala que: ARTÍCULO 11. Para el estudio, planeación y despacho de los asuntos de su competencia, el Director General se auxiliará de las unidades administrativas siguientes: […] El Centro de Conciliación Laboral contará con un Órgano Interno de Control y se auxiliará de las demás unidades administrativas que le sean autorizadas en su estructura de organización, cuyas funciones y líneas de autoridad se establecerán en el Manual General de Organización. Asimismo, se auxiliará de los órganos técnicos y administrativos, y de las personas servidoras públicas necesarias para el cumplimiento de sus atribuciones, en términos de la normatividad aplicable, estructura orgánica y del presupuesto autorizado. CAPÍTULO QUINTO DEL ÓRGANO INTERNO DE CONTROL ARTÍCULO 20. Está adscrito orgánica y presupuestalmente al Centro de Conciliación, un órgano interno de control, cuyo titular depende funcionalmente de la Secretaría de la Contraloría, con las atribuciones que se establecen en el reglamento Interior de ésta y los demás ordenamientos legales y administrativos aplicables. Siendo así que el Manual General de Organización del Centro de Conciliación Laboral del Estado de México, establece: 209C0201000300S ÓRGANO INTERNO DE CONTROL OBJETIVO: Llevar a cabo las acciones de vigilancia, fiscalización, control, substanciación, responsabilidades y evaluación, tendientes a verificar la operación, el manejo y ejercicio de los recursos humanos, materiales y financieros del Centro de Conciliación Laboral, y determinar las presuntas responsabilidades administrativas en cumplimiento con la normatividad establecida. FUNCIONES:  Planear, elaborar, dirigir y controlar el Programa Anual de Auditorías, así como llevar a cabo las acciones y actividades no programadas, que se deriven de denuncias recibidas o de las solicitadas por la Secretaría de la Contraloría.  Realizar auditorías, evaluaciones, supervisiones y otras acciones de control a las unidades administrativas del Centro de Conciliación, tendientes a verificar el cumplimiento de los objetivos, metas y a las normas y disposiciones relacionadas con la operación, sistemas de registro, contabilidad, ejecución del presupuesto, la captación y ejercicio de los ingresos, control y pago de personal, contratación de servicios, adquisiciones, arrendamientos, conservación, uso, destino, afectación, enajenación y baja de bienes, y demás recursos asignados al organismo.  Supervisar, programar, organizar y coordinar el sistema de control y evaluación del Centro de Conciliación Laboral.  Vigilar y supervisar el cumplimiento de las normas de control y fiscalización.  Elaborar y ejecutar el Programa de Trabajo del Órgano Interno de Control, conforme a los criterios y lineamientos establecidos por la Secretaría de la Contraloría y la Ley de Responsabilidades Administrativas del Estado de México y Municipios.  Analizar y evaluar los sistemas y procedimientos de control interno, investigación, substanciación, quejas y denuncias, de conformidad con la Ley de Responsabilidades Administrativas del Estado de México y Municipios.  Emitir los informes y dictámenes que resulten de las acciones de control y evaluación y, en su caso, proponer y acordar las acciones tendientes a fortalecer el control interno y la gestión del Centro de Conciliación.  Participar como representante del Órgano Interno de Control, de acuerdo a las formalidades y disposiciones de los ordenamientos vigentes.  Llevar a cabo acciones que permitan vigilar el seguimiento en el cumplimiento de la instrumentación de las medidas de control convenidas con las unidades administrativas del Centro de Conciliación Laboral, como resultado de su actuación, así como las emitidas por la Secretaría de la Contraloría del Gobierno del Estado y las derivadas por las instancias fiscalizadoras externas.  Actuar conforme a la Ley de Responsabilidades Administrativas del Estado de México y Municipios, en correlación con el Reglamento Interior de la Secretaría de la Contraloría.  Hacer del conocimiento a la Unidad Jurídica y de Igualdad de Género, los hechos que tenga en su poder y que puedan ser constitutivos de delitos, e instar a dicha unidad administrativa a formular, cuando así se requiera, las querellas a las que hubiere lugar.  Vigilar, en la esfera de su competencia, el cumplimiento de las obligaciones de proveedoras, proveedores y contratistas adquiridas por el Centro de Conciliación Laboral, solicitándoles información relacionada con las operaciones que realicen y fincar las deductivas y responsabilidades que procedan.  Recibir y dar seguimiento a las quejas y denuncias que se presenten en contra de las servidoras y los servidores públicos del organismo y, en su caso, la instauración del procedimiento administrativo, e imponer las sanciones correspondientes conforme a la Ley de Responsabilidades Administrativas del Estado de México y Municipios.  Planear y coordinar la instrumentación de acciones preventivas que contribuyan a lograr que las servidoras y los servidores públicos del Centro de Conciliación, cumplan con la presentación de su Declaración Patrimonial y de Intereses, conforme a la Ley de Responsabilidades Administrativas del Estado de México y Municipios.  Instrumentar los procedimientos administrativos disciplinarios al personal del organismo e imponer, en su caso, las sanciones que correspondan en los términos de la Ley de Responsabilidades Administrativas del Estado de México y Municipios, cuando se trate de faltas administrativas calificadas como no graves.  Remitir al Tribunal de Justicia Administrativa del Estado de México, los expedientes de responsabilidad administrativa cuando se trate de faltas administrativas calificadas como graves, en términos de la Ley de Responsabilidades Administrativas del Estado de México y Municipios.  Participar en los actos de entrega-recepción de las unidades administrativas del Centro de Conciliación, en términos de las disposiciones legales establecidas en la materia.  Informar a la Secretaría de la Contraloría el resultado de las acciones, comisiones o funciones de su competencia y sobre aquellas que le encomiende, así como sugerir al organismo la instrumentación de normas complementarias en materia de control e investigación.  Participar en los Comités de Adquisiciones y Servicios del Organismo, de Arrendamientos, Adquisiciones de Inmuebles y Enajenaciones; de Control y Evaluación; de Mejora Regulatoria y de Transparencia y Acceso a la Información Pública del Estado de México y Municipios, y demás Comités que en la materia se señalen.  Verificar la aplicación de las políticas, planes, programas, normas, lineamientos y procedimientos, de acuerdo con las disposiciones que para tal efecto expidan las instancias normativas del Gobierno del Estado de México.  Desarrollar las demás funciones inherentes al área de su competencia. En principio es importante señalar que la solicitud y los puntos que comprende la misma no son dirigidos únicamente al órgano de control interno, sino también para el centro de conciliación laboral del estado de México, como por ejemplo las observaciones que realizo el órgano de control interno a dicho centro de conciliación, dicha información en su caso es competencia del sujeto obligado, quien debía de responder y proporcionar la información solicitada, al ser las observaciones formuladas o dirigidas a esa institución, otro ejemplo es que la curricula de los servidores públicos que también al estar adscritos orgánica y presupuestalmente al sujeto obligado, fueron contratados por él y por tanto debía contar con su curriculum, por lo que no es posible que la secretaria de la contraloría sea la que debiera proporcionar esa información, asimismo, los videos y audiograbaciones que se generaron dentro del sujeto obligado el día de la visita del órgano de control interno también deben estar en posesión del sujeto obligado, y por tanto no podía declararse incompetente respecto a todos los puntos de la solicitud y no responder a ninguno, como lo hizo, por lo que este instituto corresponde determinar, en su caso cuales son los puntos de la solicitud que debía haber respondido el sujeto obligado y sobre los cuales debía haber proporcionado la información publica solicitada. Ahora, respecto a la declaración de incompetencia del sujeto obligados a la solicitud de información en relación a la información solicitada y que genero el órgano interno de control debo señala, que no es procedente tal declaración de incompetencia sin turnar al solicitud al supuesto obligado competente, aunado a ello, el órgano de control interno es quien posee la información solicitada y como las mismas disposiciones legales antes transcritas lo señalan es a dicho órgano interno de control a quien corresponde poseer la información pues aunque esa unidad administrativa funcionalmente a la secretaria de la contraloría, no significa que no poseyera la información solicitada pues como las disposiciones lo señalan el organo interno de control está adscrito al sujeto obligado, y al estar adscrito a dicho sujeto obligado tiene la obligación de poseer la información solicitada, por lo que debia proporciónamela en los términos en que la peticione, y si no responder el motivo por el que no la poseía pero al no generar respuesta alguna y declararse incompetente me dejan en estado de indefensión y hacen nugatorio mi derecho de acceso a la información pública. Entonces, lo procedente es que este instituto condene al sujeto obligado a responder mi solicitud de transparencia y proporcionar la informacion correspondiente.” (Sic.)</w:t>
      </w:r>
    </w:p>
    <w:p w:rsidR="00000000" w:rsidDel="00000000" w:rsidP="00000000" w:rsidRDefault="00000000" w:rsidRPr="00000000" w14:paraId="0000000B">
      <w:pPr>
        <w:spacing w:after="240" w:before="240" w:line="360" w:lineRule="auto"/>
        <w:ind w:right="-3"/>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 previo análisis de las constancias y de la naturaleza de la información, la Ponencia determinó </w:t>
      </w:r>
      <w:r w:rsidDel="00000000" w:rsidR="00000000" w:rsidRPr="00000000">
        <w:rPr>
          <w:rFonts w:ascii="Palatino Linotype" w:cs="Palatino Linotype" w:eastAsia="Palatino Linotype" w:hAnsi="Palatino Linotype"/>
          <w:b w:val="1"/>
          <w:sz w:val="24"/>
          <w:szCs w:val="24"/>
          <w:rtl w:val="0"/>
        </w:rPr>
        <w:t xml:space="preserve">REVOCAR</w:t>
      </w:r>
      <w:r w:rsidDel="00000000" w:rsidR="00000000" w:rsidRPr="00000000">
        <w:rPr>
          <w:rFonts w:ascii="Palatino Linotype" w:cs="Palatino Linotype" w:eastAsia="Palatino Linotype" w:hAnsi="Palatino Linotype"/>
          <w:sz w:val="24"/>
          <w:szCs w:val="24"/>
          <w:rtl w:val="0"/>
        </w:rPr>
        <w:t xml:space="preserve"> la respuesta y ordenar la entrega de información, posteriormente en su resolutivo </w:t>
      </w:r>
      <w:r w:rsidDel="00000000" w:rsidR="00000000" w:rsidRPr="00000000">
        <w:rPr>
          <w:rFonts w:ascii="Palatino Linotype" w:cs="Palatino Linotype" w:eastAsia="Palatino Linotype" w:hAnsi="Palatino Linotype"/>
          <w:b w:val="1"/>
          <w:sz w:val="24"/>
          <w:szCs w:val="24"/>
          <w:rtl w:val="0"/>
        </w:rPr>
        <w:t xml:space="preserve">SEGUNDO</w:t>
      </w:r>
      <w:r w:rsidDel="00000000" w:rsidR="00000000" w:rsidRPr="00000000">
        <w:rPr>
          <w:rFonts w:ascii="Palatino Linotype" w:cs="Palatino Linotype" w:eastAsia="Palatino Linotype" w:hAnsi="Palatino Linotype"/>
          <w:sz w:val="24"/>
          <w:szCs w:val="24"/>
          <w:rtl w:val="0"/>
        </w:rPr>
        <w:t xml:space="preserve">, precisa al Sujeto Obligado que deberá remitir al particular, lo siguiente: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720" w:right="-3"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las auditorías realizada el trece de junio de dos mil veintidós en la Subdirección de Conflictos Individuales Ecatepec, Subdirección de Conflictos Individuales Texcoco ambas de la Dirección Regional de Conciliación Laboral Valle de México Zona Ecatepec, así como en la Dirección Regional de Conciliación Laboral Valle de Toluca; Subdirección de Conflictos Individuales Valle de Toluca; Subdirección de Conflictos Colectivos Valle de Toluca y en la Dirección Regional de Conciliación Laboral Valle de México Zona Tlalnepantla; Subdirección de Conflictos Individuales Tlalnepantla; Subdirección de Conflictos Colectivos Tlalnepantla, el Acuerdo del Comité de Transparencia, donde clasifique como información reservada de manera fundada y motivada los expedientes de auditoría integrados al catorce de junio de dos mil veintidós, en términos de los artículos 49, fracciones II y VIII, 140, fracción V, numeral 1 y 141 de la Ley de Transparencia y Acceso a la Información Pública del Estado de México y Municipios.</w:t>
      </w:r>
    </w:p>
    <w:p w:rsidR="00000000" w:rsidDel="00000000" w:rsidP="00000000" w:rsidRDefault="00000000" w:rsidRPr="00000000" w14:paraId="0000000D">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ese sentido debe mencionarse que, toda vez que la persona solicitante requirió información que de conformidad con el estudio realizado se encontraba aún en trámite a la fecha de presentación de la solicitud, </w:t>
      </w:r>
      <w:r w:rsidDel="00000000" w:rsidR="00000000" w:rsidRPr="00000000">
        <w:rPr>
          <w:rFonts w:ascii="Palatino Linotype" w:cs="Palatino Linotype" w:eastAsia="Palatino Linotype" w:hAnsi="Palatino Linotype"/>
          <w:b w:val="1"/>
          <w:sz w:val="24"/>
          <w:szCs w:val="24"/>
          <w:rtl w:val="0"/>
        </w:rPr>
        <w:t xml:space="preserve">para este Instituto resultaba pertinente la reserva de dicha información</w:t>
      </w:r>
      <w:r w:rsidDel="00000000" w:rsidR="00000000" w:rsidRPr="00000000">
        <w:rPr>
          <w:rFonts w:ascii="Palatino Linotype" w:cs="Palatino Linotype" w:eastAsia="Palatino Linotype" w:hAnsi="Palatino Linotype"/>
          <w:sz w:val="24"/>
          <w:szCs w:val="24"/>
          <w:rtl w:val="0"/>
        </w:rPr>
        <w:t xml:space="preserve">, para lo que es necesario el desarrollo de la prueba de daño, </w:t>
      </w:r>
      <w:r w:rsidDel="00000000" w:rsidR="00000000" w:rsidRPr="00000000">
        <w:rPr>
          <w:rFonts w:ascii="Palatino Linotype" w:cs="Palatino Linotype" w:eastAsia="Palatino Linotype" w:hAnsi="Palatino Linotype"/>
          <w:b w:val="1"/>
          <w:sz w:val="24"/>
          <w:szCs w:val="24"/>
          <w:rtl w:val="0"/>
        </w:rPr>
        <w:t xml:space="preserve">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Del="00000000" w:rsidR="00000000" w:rsidRPr="00000000">
        <w:rPr>
          <w:rtl w:val="0"/>
        </w:rPr>
      </w:r>
    </w:p>
    <w:p w:rsidR="00000000" w:rsidDel="00000000" w:rsidP="00000000" w:rsidRDefault="00000000" w:rsidRPr="00000000" w14:paraId="0000000E">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otras palabras, la determinación que confirme una clasificación debe contener un análisis exhaustivo de los elementos de forma y fondo que establecen los artículos 122, 125, 128, 129, 130, 131, 132 fracción II, 134 de la Ley de Transparencia y Acceso a la Información Pública del Estado de México y Municipios y los Lineamientos Generales en Materia de Clasificación y Desclasificación de la Información, así como para la elaboración de Versiones Públicas.</w:t>
      </w:r>
    </w:p>
    <w:p w:rsidR="00000000" w:rsidDel="00000000" w:rsidP="00000000" w:rsidRDefault="00000000" w:rsidRPr="00000000" w14:paraId="0000000F">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esta perspectiva, el Acuerdo de Clasificación de Información tiene como propósito primordial </w:t>
      </w:r>
      <w:r w:rsidDel="00000000" w:rsidR="00000000" w:rsidRPr="00000000">
        <w:rPr>
          <w:rFonts w:ascii="Palatino Linotype" w:cs="Palatino Linotype" w:eastAsia="Palatino Linotype" w:hAnsi="Palatino Linotype"/>
          <w:b w:val="1"/>
          <w:sz w:val="24"/>
          <w:szCs w:val="24"/>
          <w:rtl w:val="0"/>
        </w:rPr>
        <w:t xml:space="preserve">que los particulares conozcan de manera completa las condiciones y circunstancias que determinaron negar el acceso a la información</w:t>
      </w:r>
      <w:r w:rsidDel="00000000" w:rsidR="00000000" w:rsidRPr="00000000">
        <w:rPr>
          <w:rFonts w:ascii="Palatino Linotype" w:cs="Palatino Linotype" w:eastAsia="Palatino Linotype" w:hAnsi="Palatino Linotype"/>
          <w:sz w:val="24"/>
          <w:szCs w:val="24"/>
          <w:rtl w:val="0"/>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000000" w:rsidDel="00000000" w:rsidP="00000000" w:rsidRDefault="00000000" w:rsidRPr="00000000" w14:paraId="00000010">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before="120" w:line="240" w:lineRule="auto"/>
        <w:ind w:left="851" w:right="902"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w:t>
      </w:r>
      <w:r w:rsidDel="00000000" w:rsidR="00000000" w:rsidRPr="00000000">
        <w:rPr>
          <w:rFonts w:ascii="Palatino Linotype" w:cs="Palatino Linotype" w:eastAsia="Palatino Linotype" w:hAnsi="Palatino Linotype"/>
          <w:b w:val="1"/>
          <w:i w:val="1"/>
          <w:color w:val="000000"/>
          <w:rtl w:val="0"/>
        </w:rPr>
        <w:t xml:space="preserve">Trigésimo tercero</w:t>
      </w:r>
      <w:r w:rsidDel="00000000" w:rsidR="00000000" w:rsidRPr="00000000">
        <w:rPr>
          <w:rFonts w:ascii="Palatino Linotype" w:cs="Palatino Linotype" w:eastAsia="Palatino Linotype" w:hAnsi="Palatino Linotype"/>
          <w:i w:val="1"/>
          <w:color w:val="000000"/>
          <w:rtl w:val="0"/>
        </w:rPr>
        <w:t xml:space="preserve">. Para la aplicación de la prueba de daño a la que hace referencia el artículo 104 de la Ley General, los sujetos obligados atenderán lo siguiente: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before="120" w:line="240" w:lineRule="auto"/>
        <w:ind w:left="1134" w:right="902"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20" w:line="240" w:lineRule="auto"/>
        <w:ind w:left="1134" w:right="902"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II. Mediante la ponderación de los intereses en conflicto, los sujetos obligados </w:t>
      </w:r>
      <w:r w:rsidDel="00000000" w:rsidR="00000000" w:rsidRPr="00000000">
        <w:rPr>
          <w:rFonts w:ascii="Palatino Linotype" w:cs="Palatino Linotype" w:eastAsia="Palatino Linotype" w:hAnsi="Palatino Linotype"/>
          <w:b w:val="1"/>
          <w:i w:val="1"/>
          <w:color w:val="000000"/>
          <w:rtl w:val="0"/>
        </w:rPr>
        <w:t xml:space="preserve">deberán demostrar que la publicidad de la información solicitada generaría un riesgo de perjuicio y por lo tanto, tendrán que acreditar que este último rebasa el interés público protegido por la reserva</w:t>
      </w:r>
      <w:r w:rsidDel="00000000" w:rsidR="00000000" w:rsidRPr="00000000">
        <w:rPr>
          <w:rFonts w:ascii="Palatino Linotype" w:cs="Palatino Linotype" w:eastAsia="Palatino Linotype" w:hAnsi="Palatino Linotype"/>
          <w:i w:val="1"/>
          <w:color w:val="000000"/>
          <w:rtl w:val="0"/>
        </w:rPr>
        <w:t xml:space="preserv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20" w:line="240" w:lineRule="auto"/>
        <w:ind w:left="1134" w:right="902"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III.</w:t>
        <w:tab/>
        <w:t xml:space="preserve">Se debe de acreditar el vínculo entre la difusión de la información y la afectación del interés jurídico tutelado de que se trate;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120" w:line="240" w:lineRule="auto"/>
        <w:ind w:left="1134" w:right="902"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IV.</w:t>
        <w:tab/>
        <w:t xml:space="preserve">Precisar las razones objetivas por las que la apertura de la información generaría una afectación, a través de los elementos de un riesgo real, demostrable e identificable;</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240" w:lineRule="auto"/>
        <w:ind w:left="1134" w:right="902"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w:t>
        <w:tab/>
        <w:t xml:space="preserve">En la motivación de la clasificación, </w:t>
      </w:r>
      <w:r w:rsidDel="00000000" w:rsidR="00000000" w:rsidRPr="00000000">
        <w:rPr>
          <w:rFonts w:ascii="Palatino Linotype" w:cs="Palatino Linotype" w:eastAsia="Palatino Linotype" w:hAnsi="Palatino Linotype"/>
          <w:b w:val="1"/>
          <w:i w:val="1"/>
          <w:color w:val="000000"/>
          <w:rtl w:val="0"/>
        </w:rPr>
        <w:t xml:space="preserve">el sujeto obligado deberá acreditar las circunstancias de modo, tiempo y lugar del daño</w:t>
      </w:r>
      <w:r w:rsidDel="00000000" w:rsidR="00000000" w:rsidRPr="00000000">
        <w:rPr>
          <w:rFonts w:ascii="Palatino Linotype" w:cs="Palatino Linotype" w:eastAsia="Palatino Linotype" w:hAnsi="Palatino Linotype"/>
          <w:i w:val="1"/>
          <w:color w:val="000000"/>
          <w:rtl w:val="0"/>
        </w:rPr>
        <w:t xml:space="preserve">, y</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240" w:lineRule="auto"/>
        <w:ind w:left="1134" w:right="902"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VI.</w:t>
        <w:tab/>
        <w:t xml:space="preserve">Deberán elegir la opción de excepción al acceso a la información que menos lo restrinja, la cual será adecuada y proporcional para la protección del interés público, y deberá inte1ferir lo menos posible en el ejercicio efectivo del derecho de acceso a la información."(Sic)</w:t>
      </w:r>
    </w:p>
    <w:p w:rsidR="00000000" w:rsidDel="00000000" w:rsidP="00000000" w:rsidRDefault="00000000" w:rsidRPr="00000000" w14:paraId="00000018">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conclusión, para convalidar la clasificación como información reservada, </w:t>
      </w:r>
      <w:r w:rsidDel="00000000" w:rsidR="00000000" w:rsidRPr="00000000">
        <w:rPr>
          <w:rFonts w:ascii="Palatino Linotype" w:cs="Palatino Linotype" w:eastAsia="Palatino Linotype" w:hAnsi="Palatino Linotype"/>
          <w:b w:val="1"/>
          <w:sz w:val="24"/>
          <w:szCs w:val="24"/>
          <w:rtl w:val="0"/>
        </w:rPr>
        <w:t xml:space="preserve">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Del="00000000" w:rsidR="00000000" w:rsidRPr="00000000">
        <w:rPr>
          <w:rFonts w:ascii="Palatino Linotype" w:cs="Palatino Linotype" w:eastAsia="Palatino Linotype" w:hAnsi="Palatino Linotype"/>
          <w:sz w:val="24"/>
          <w:szCs w:val="24"/>
          <w:rtl w:val="0"/>
        </w:rPr>
        <w:t xml:space="preserve">, como es la figura de la clasificación de la información para verificar que se acredita la prueba de daño.</w:t>
      </w:r>
    </w:p>
    <w:p w:rsidR="00000000" w:rsidDel="00000000" w:rsidP="00000000" w:rsidRDefault="00000000" w:rsidRPr="00000000" w14:paraId="00000019">
      <w:pPr>
        <w:spacing w:line="360" w:lineRule="auto"/>
        <w:jc w:val="both"/>
        <w:rPr>
          <w:rFonts w:ascii="Palatino Linotype" w:cs="Palatino Linotype" w:eastAsia="Palatino Linotype" w:hAnsi="Palatino Linotype"/>
          <w:sz w:val="24"/>
          <w:szCs w:val="24"/>
        </w:rPr>
      </w:pPr>
      <w:bookmarkStart w:colFirst="0" w:colLast="0" w:name="_heading=h.30j0zll" w:id="2"/>
      <w:bookmarkEnd w:id="2"/>
      <w:r w:rsidDel="00000000" w:rsidR="00000000" w:rsidRPr="00000000">
        <w:rPr>
          <w:rFonts w:ascii="Palatino Linotype" w:cs="Palatino Linotype" w:eastAsia="Palatino Linotype" w:hAnsi="Palatino Linotype"/>
          <w:sz w:val="24"/>
          <w:szCs w:val="24"/>
          <w:rtl w:val="0"/>
        </w:rPr>
        <w:t xml:space="preserve">Bajo este contexto, se analizó la resolución del recurso de revisión </w:t>
      </w:r>
      <w:r w:rsidDel="00000000" w:rsidR="00000000" w:rsidRPr="00000000">
        <w:rPr>
          <w:rFonts w:ascii="Palatino Linotype" w:cs="Palatino Linotype" w:eastAsia="Palatino Linotype" w:hAnsi="Palatino Linotype"/>
          <w:b w:val="1"/>
          <w:sz w:val="24"/>
          <w:szCs w:val="24"/>
          <w:rtl w:val="0"/>
        </w:rPr>
        <w:t xml:space="preserve">12471/INFOEM/IP/RR/2022,</w:t>
      </w:r>
      <w:r w:rsidDel="00000000" w:rsidR="00000000" w:rsidRPr="00000000">
        <w:rPr>
          <w:rFonts w:ascii="Palatino Linotype" w:cs="Palatino Linotype" w:eastAsia="Palatino Linotype" w:hAnsi="Palatino Linotype"/>
          <w:sz w:val="24"/>
          <w:szCs w:val="24"/>
          <w:rtl w:val="0"/>
        </w:rPr>
        <w:t xml:space="preserve"> en la cual, el Comisionado Ponente, desarrolla la prueba de daño, circunstancia que a consideración de la suscrita y derivado de lo antes señalado, </w:t>
      </w:r>
      <w:r w:rsidDel="00000000" w:rsidR="00000000" w:rsidRPr="00000000">
        <w:rPr>
          <w:rFonts w:ascii="Palatino Linotype" w:cs="Palatino Linotype" w:eastAsia="Palatino Linotype" w:hAnsi="Palatino Linotype"/>
          <w:b w:val="1"/>
          <w:sz w:val="24"/>
          <w:szCs w:val="24"/>
          <w:rtl w:val="0"/>
        </w:rPr>
        <w:t xml:space="preserve">les corresponde comprobar y desarrollar a los Sujetos Obligados</w:t>
      </w:r>
      <w:r w:rsidDel="00000000" w:rsidR="00000000" w:rsidRPr="00000000">
        <w:rPr>
          <w:rFonts w:ascii="Palatino Linotype" w:cs="Palatino Linotype" w:eastAsia="Palatino Linotype" w:hAnsi="Palatino Linotype"/>
          <w:sz w:val="24"/>
          <w:szCs w:val="24"/>
          <w:rtl w:val="0"/>
        </w:rPr>
        <w:t xml:space="preserve">,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240" w:lineRule="auto"/>
        <w:ind w:left="851" w:right="902"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w:t>
      </w:r>
      <w:r w:rsidDel="00000000" w:rsidR="00000000" w:rsidRPr="00000000">
        <w:rPr>
          <w:rFonts w:ascii="Palatino Linotype" w:cs="Palatino Linotype" w:eastAsia="Palatino Linotype" w:hAnsi="Palatino Linotype"/>
          <w:b w:val="1"/>
          <w:i w:val="1"/>
          <w:color w:val="000000"/>
          <w:rtl w:val="0"/>
        </w:rPr>
        <w:t xml:space="preserve">XXXIII</w:t>
      </w:r>
      <w:r w:rsidDel="00000000" w:rsidR="00000000" w:rsidRPr="00000000">
        <w:rPr>
          <w:rFonts w:ascii="Palatino Linotype" w:cs="Palatino Linotype" w:eastAsia="Palatino Linotype" w:hAnsi="Palatino Linotype"/>
          <w:i w:val="1"/>
          <w:color w:val="000000"/>
          <w:rtl w:val="0"/>
        </w:rPr>
        <w:t xml:space="preserve">. Prueba de Daño: </w:t>
      </w:r>
      <w:r w:rsidDel="00000000" w:rsidR="00000000" w:rsidRPr="00000000">
        <w:rPr>
          <w:rFonts w:ascii="Palatino Linotype" w:cs="Palatino Linotype" w:eastAsia="Palatino Linotype" w:hAnsi="Palatino Linotype"/>
          <w:b w:val="1"/>
          <w:i w:val="1"/>
          <w:color w:val="000000"/>
          <w:u w:val="single"/>
          <w:rtl w:val="0"/>
        </w:rPr>
        <w:t xml:space="preserve">Responsabilidad de los sujetos obligados de demostrar de manera fundada y motivada que la divulgación de información lesiona el interés jurídicamente protegido por la Ley,</w:t>
      </w:r>
      <w:r w:rsidDel="00000000" w:rsidR="00000000" w:rsidRPr="00000000">
        <w:rPr>
          <w:rFonts w:ascii="Palatino Linotype" w:cs="Palatino Linotype" w:eastAsia="Palatino Linotype" w:hAnsi="Palatino Linotype"/>
          <w:i w:val="1"/>
          <w:color w:val="000000"/>
          <w:rtl w:val="0"/>
        </w:rPr>
        <w:t xml:space="preserve"> y que el menoscabo o daño que puede producirse con la publicidad de la información es mayor que el interés de conocerla y por consiguiente debe clasificarse como reservada…” (Sic)</w:t>
      </w:r>
    </w:p>
    <w:p w:rsidR="00000000" w:rsidDel="00000000" w:rsidP="00000000" w:rsidRDefault="00000000" w:rsidRPr="00000000" w14:paraId="0000001B">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Precepto legal en donde establece que </w:t>
      </w:r>
      <w:r w:rsidDel="00000000" w:rsidR="00000000" w:rsidRPr="00000000">
        <w:rPr>
          <w:rFonts w:ascii="Palatino Linotype" w:cs="Palatino Linotype" w:eastAsia="Palatino Linotype" w:hAnsi="Palatino Linotype"/>
          <w:b w:val="1"/>
          <w:sz w:val="24"/>
          <w:szCs w:val="24"/>
          <w:rtl w:val="0"/>
        </w:rPr>
        <w:t xml:space="preserve">es obligación de los Sujeto Obligados, realizar la prueba de daño;</w:t>
      </w:r>
      <w:r w:rsidDel="00000000" w:rsidR="00000000" w:rsidRPr="00000000">
        <w:rPr>
          <w:rFonts w:ascii="Palatino Linotype" w:cs="Palatino Linotype" w:eastAsia="Palatino Linotype" w:hAnsi="Palatino Linotype"/>
          <w:sz w:val="24"/>
          <w:szCs w:val="24"/>
          <w:rtl w:val="0"/>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000000" w:rsidDel="00000000" w:rsidP="00000000" w:rsidRDefault="00000000" w:rsidRPr="00000000" w14:paraId="0000001C">
      <w:pPr>
        <w:spacing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Esto es, que, a través de la prueba de daño, </w:t>
      </w:r>
      <w:r w:rsidDel="00000000" w:rsidR="00000000" w:rsidRPr="00000000">
        <w:rPr>
          <w:rFonts w:ascii="Palatino Linotype" w:cs="Palatino Linotype" w:eastAsia="Palatino Linotype" w:hAnsi="Palatino Linotype"/>
          <w:b w:val="1"/>
          <w:sz w:val="24"/>
          <w:szCs w:val="24"/>
          <w:rtl w:val="0"/>
        </w:rPr>
        <w:t xml:space="preserve">los sujetos obligados expongan las razones, motivos o circunstancias especiales que los lleven a concluir que la información adquiere el carácter de reservada, y se ajusta a los supuestos previstos en la normatividad como fundamento. </w:t>
      </w:r>
    </w:p>
    <w:p w:rsidR="00000000" w:rsidDel="00000000" w:rsidP="00000000" w:rsidRDefault="00000000" w:rsidRPr="00000000" w14:paraId="0000001D">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necesarios para su clasificación.</w:t>
      </w:r>
    </w:p>
    <w:p w:rsidR="00000000" w:rsidDel="00000000" w:rsidP="00000000" w:rsidRDefault="00000000" w:rsidRPr="00000000" w14:paraId="0000001E">
      <w:pPr>
        <w:spacing w:after="240" w:before="240" w:line="360" w:lineRule="auto"/>
        <w:jc w:val="both"/>
        <w:rPr>
          <w:rFonts w:ascii="Palatino Linotype" w:cs="Palatino Linotype" w:eastAsia="Palatino Linotype" w:hAnsi="Palatino Linotype"/>
          <w:sz w:val="24"/>
          <w:szCs w:val="24"/>
        </w:rPr>
        <w:sectPr>
          <w:headerReference r:id="rId8" w:type="default"/>
          <w:headerReference r:id="rId9" w:type="first"/>
          <w:headerReference r:id="rId10" w:type="even"/>
          <w:footerReference r:id="rId11" w:type="default"/>
          <w:pgSz w:h="15840" w:w="12240" w:orient="portrait"/>
          <w:pgMar w:bottom="2836" w:top="1983" w:left="1985" w:right="1327" w:header="709" w:footer="586"/>
          <w:pgNumType w:start="1"/>
        </w:sectPr>
      </w:pPr>
      <w:r w:rsidDel="00000000" w:rsidR="00000000" w:rsidRPr="00000000">
        <w:rPr>
          <w:rFonts w:ascii="Palatino Linotype" w:cs="Palatino Linotype" w:eastAsia="Palatino Linotype" w:hAnsi="Palatino Linotype"/>
          <w:sz w:val="24"/>
          <w:szCs w:val="24"/>
          <w:rtl w:val="0"/>
        </w:rPr>
        <w:t xml:space="preserve">Lo expuesto, constituyen las razones y fundamentos que me llevan a emitir la opinión particular que se ha expresado. </w:t>
      </w:r>
    </w:p>
    <w:p w:rsidR="00000000" w:rsidDel="00000000" w:rsidP="00000000" w:rsidRDefault="00000000" w:rsidRPr="00000000" w14:paraId="0000001F">
      <w:pPr>
        <w:spacing w:after="240" w:before="240" w:line="360" w:lineRule="auto"/>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20">
      <w:pPr>
        <w:spacing w:after="240" w:before="240" w:line="360" w:lineRule="auto"/>
        <w:jc w:val="center"/>
        <w:rPr>
          <w:rFonts w:ascii="Palatino Linotype" w:cs="Palatino Linotype" w:eastAsia="Palatino Linotype" w:hAnsi="Palatino Linotype"/>
          <w:b w:val="1"/>
          <w:sz w:val="23"/>
          <w:szCs w:val="23"/>
        </w:rPr>
      </w:pPr>
      <w:r w:rsidDel="00000000" w:rsidR="00000000" w:rsidRPr="00000000">
        <w:rPr>
          <w:rtl w:val="0"/>
        </w:rPr>
      </w:r>
    </w:p>
    <w:p w:rsidR="00000000" w:rsidDel="00000000" w:rsidP="00000000" w:rsidRDefault="00000000" w:rsidRPr="00000000" w14:paraId="00000021">
      <w:pPr>
        <w:spacing w:after="0" w:line="240" w:lineRule="auto"/>
        <w:jc w:val="center"/>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22">
      <w:pPr>
        <w:spacing w:after="240" w:before="240" w:line="36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3">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4">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5">
      <w:pPr>
        <w:rPr>
          <w:rFonts w:ascii="Palatino Linotype" w:cs="Palatino Linotype" w:eastAsia="Palatino Linotype" w:hAnsi="Palatino Linotype"/>
        </w:rPr>
      </w:pPr>
      <w:r w:rsidDel="00000000" w:rsidR="00000000" w:rsidRPr="00000000">
        <w:rPr>
          <w:rtl w:val="0"/>
        </w:rPr>
      </w:r>
    </w:p>
    <w:sectPr>
      <w:headerReference r:id="rId12" w:type="default"/>
      <w:type w:val="nextPage"/>
      <w:pgSz w:h="15840" w:w="12240" w:orient="portrait"/>
      <w:pgMar w:bottom="2836" w:top="1871" w:left="1985" w:right="1327" w:header="709" w:footer="58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Times New Roman" w:cs="Times New Roman" w:eastAsia="Times New Roman" w:hAnsi="Times New Roman"/>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left="1843" w:firstLine="0"/>
      <w:jc w:val="right"/>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-1114012</wp:posOffset>
          </wp:positionH>
          <wp:positionV relativeFrom="paragraph">
            <wp:posOffset>-449578</wp:posOffset>
          </wp:positionV>
          <wp:extent cx="7510628" cy="9883775"/>
          <wp:effectExtent b="0" l="0" r="0" t="0"/>
          <wp:wrapNone/>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10628" cy="9883775"/>
                  </a:xfrm>
                  <a:prstGeom prst="rect"/>
                  <a:ln/>
                </pic:spPr>
              </pic:pic>
            </a:graphicData>
          </a:graphic>
        </wp:anchor>
      </w:drawing>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419"/>
        <w:tab w:val="right" w:leader="none" w:pos="8838"/>
        <w:tab w:val="left" w:leader="none" w:pos="5685"/>
        <w:tab w:val="right" w:leader="none" w:pos="8928"/>
      </w:tabs>
      <w:spacing w:after="0" w:line="240" w:lineRule="auto"/>
      <w:jc w:val="right"/>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sz w:val="20"/>
        <w:szCs w:val="20"/>
        <w:rtl w:val="0"/>
      </w:rPr>
      <w:tab/>
      <w:tab/>
      <w:tab/>
    </w:r>
    <w:r w:rsidDel="00000000" w:rsidR="00000000" w:rsidRPr="00000000">
      <w:rPr>
        <w:rFonts w:ascii="Palatino Linotype" w:cs="Palatino Linotype" w:eastAsia="Palatino Linotype" w:hAnsi="Palatino Linotype"/>
        <w:b w:val="1"/>
        <w:color w:val="000000"/>
        <w:rtl w:val="0"/>
      </w:rPr>
      <w:t xml:space="preserve">OPINIÓN PARTICULAR </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left="1134" w:firstLine="0"/>
      <w:jc w:val="right"/>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RECURSO DE REVISIÓN 12471/INFOEM/IP/RR/2022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pict>
        <v:shape id="PowerPlusWaterMarkObject2" style="position:absolute;width:518.25pt;height:111.05pt;rotation:315;z-index:-503316481;mso-position-horizontal-relative:margin;mso-position-horizontal:center;mso-position-vertical-relative:margin;mso-position-vertical:center;" fillcolor="#c45911" stroked="f" type="#_x0000_t136">
          <v:fill angle="0" opacity="32768f"/>
          <v:textpath fitshape="t" string="VOTO PARTICULAR " style="font-family:&amp;quot;&quot;&amp;quot&quot;&amp;quot;;font-size:1pt;"/>
        </v:shape>
      </w:pict>
    </w:r>
    <w:r w:rsidDel="00000000" w:rsidR="00000000" w:rsidRPr="00000000">
      <w:rPr>
        <w:rFonts w:ascii="Times New Roman" w:cs="Times New Roman" w:eastAsia="Times New Roman" w:hAnsi="Times New Roman"/>
        <w:color w:val="000000"/>
        <w:sz w:val="24"/>
        <w:szCs w:val="24"/>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11550" cy="7511550"/>
              <wp:effectExtent b="0" l="0" r="0" t="0"/>
              <wp:wrapNone/>
              <wp:docPr id="5" name=""/>
              <a:graphic>
                <a:graphicData uri="http://schemas.microsoft.com/office/word/2010/wordprocessingShape">
                  <wps:wsp>
                    <wps:cNvSpPr/>
                    <wps:cNvPr id="2" name="Shape 2"/>
                    <wps:spPr>
                      <a:xfrm rot="-2700000">
                        <a:off x="2440875" y="2945610"/>
                        <a:ext cx="5810250" cy="166878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ed7d31"/>
                              <w:sz w:val="144"/>
                              <w:vertAlign w:val="baseline"/>
                            </w:rPr>
                            <w:t xml:space="preserve">VOTO DISIDENTE</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11550" cy="7511550"/>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11550" cy="751155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pict>
        <v:shape id="PowerPlusWaterMarkObject1" style="position:absolute;width:518.25pt;height:111.05pt;rotation:315;z-index:-503316481;mso-position-horizontal-relative:margin;mso-position-horizontal:center;mso-position-vertical-relative:margin;mso-position-vertical:center;" fillcolor="#c45911" stroked="f" type="#_x0000_t136">
          <v:fill angle="0" opacity="32768f"/>
          <v:textpath fitshape="t" string="VOTO PARTICULAR " style="font-family:&amp;quot;&quot;&amp;quot&quot;&amp;quot;;font-size:1pt;"/>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419"/>
        <w:tab w:val="right" w:leader="none" w:pos="8838"/>
        <w:tab w:val="left" w:leader="none" w:pos="5685"/>
        <w:tab w:val="right" w:leader="none" w:pos="8928"/>
      </w:tabs>
      <w:spacing w:after="0" w:line="240" w:lineRule="auto"/>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ab/>
      <w:tab/>
      <w:tab/>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B2A76"/>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0B2A76"/>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EncabezadoCar" w:customStyle="1">
    <w:name w:val="Encabezado Car"/>
    <w:basedOn w:val="Fuentedeprrafopredeter"/>
    <w:link w:val="Encabezado"/>
    <w:uiPriority w:val="99"/>
    <w:rsid w:val="000B2A76"/>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0B2A76"/>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PiedepginaCar" w:customStyle="1">
    <w:name w:val="Pie de página Car"/>
    <w:basedOn w:val="Fuentedeprrafopredeter"/>
    <w:link w:val="Piedepgina"/>
    <w:uiPriority w:val="99"/>
    <w:rsid w:val="000B2A76"/>
    <w:rPr>
      <w:rFonts w:ascii="Times New Roman" w:cs="Times New Roman" w:eastAsia="Times New Roman" w:hAnsi="Times New Roman"/>
      <w:sz w:val="24"/>
      <w:szCs w:val="24"/>
      <w:lang w:eastAsia="es-ES" w:val="es-ES"/>
    </w:rPr>
  </w:style>
  <w:style w:type="paragraph" w:styleId="NormalWeb">
    <w:name w:val="Normal (Web)"/>
    <w:basedOn w:val="Normal"/>
    <w:uiPriority w:val="99"/>
    <w:rsid w:val="000B2A76"/>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character" w:styleId="normaltextrun" w:customStyle="1">
    <w:name w:val="normaltextrun"/>
    <w:basedOn w:val="Fuentedeprrafopredeter"/>
    <w:rsid w:val="000B2A76"/>
  </w:style>
  <w:style w:type="paragraph" w:styleId="Sinespaciado">
    <w:name w:val="No Spacing"/>
    <w:aliases w:val="Francesa"/>
    <w:link w:val="SinespaciadoCar"/>
    <w:uiPriority w:val="1"/>
    <w:qFormat w:val="1"/>
    <w:rsid w:val="000B2A76"/>
    <w:pPr>
      <w:spacing w:after="0" w:line="240" w:lineRule="auto"/>
    </w:pPr>
    <w:rPr>
      <w:rFonts w:ascii="Times New Roman" w:cs="Times New Roman" w:eastAsia="Times New Roman" w:hAnsi="Times New Roman"/>
      <w:sz w:val="24"/>
      <w:szCs w:val="24"/>
      <w:lang w:eastAsia="es-ES"/>
    </w:rPr>
  </w:style>
  <w:style w:type="character" w:styleId="SinespaciadoCar" w:customStyle="1">
    <w:name w:val="Sin espaciado Car"/>
    <w:aliases w:val="Francesa Car"/>
    <w:link w:val="Sinespaciado"/>
    <w:uiPriority w:val="1"/>
    <w:locked w:val="1"/>
    <w:rsid w:val="000B2A76"/>
    <w:rPr>
      <w:rFonts w:ascii="Times New Roman" w:cs="Times New Roman" w:eastAsia="Times New Roman" w:hAnsi="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0B2A76"/>
    <w:pPr>
      <w:spacing w:after="0" w:line="240" w:lineRule="auto"/>
      <w:ind w:left="720"/>
      <w:contextualSpacing w:val="1"/>
    </w:pPr>
    <w:rPr>
      <w:rFonts w:ascii="Century Gothic" w:cs="Times New Roman" w:eastAsia="Times New Roman" w:hAnsi="Century Gothic"/>
      <w:szCs w:val="24"/>
      <w:lang w:eastAsia="es-ES"/>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val="1"/>
    <w:rsid w:val="000B2A76"/>
    <w:rPr>
      <w:rFonts w:ascii="Century Gothic" w:cs="Times New Roman" w:eastAsia="Times New Roman" w:hAnsi="Century Gothic"/>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val="1"/>
    <w:qFormat w:val="1"/>
    <w:rsid w:val="009F0FA7"/>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header" Target="header4.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KGOX7anSrD4wQ5lcoukb5UXeQw==">CgMxLjAyCWguMWZvYjl0ZTIIaC5namRneHMyCWguMzBqMHpsbDgAciExNVJ1YnBlZWU0MUJGNW9CVUxmU0tYSkp0c05mblNmWHk=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2023-10-19T20:22:00Z</dcterms:created>
  <dc:creator>USUARIO</dc:creator>
</cp:coreProperties>
</file>