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6E3CE" w14:textId="07909475" w:rsidR="000B2A76" w:rsidRDefault="000B2A76" w:rsidP="00AF3372">
      <w:pPr>
        <w:spacing w:after="0" w:line="360" w:lineRule="auto"/>
        <w:jc w:val="both"/>
        <w:rPr>
          <w:rFonts w:ascii="Palatino Linotype" w:hAnsi="Palatino Linotype"/>
          <w:b/>
          <w:sz w:val="23"/>
          <w:szCs w:val="23"/>
        </w:rPr>
      </w:pPr>
      <w:r w:rsidRPr="008243FF">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VIGÉSIMA </w:t>
      </w:r>
      <w:r w:rsidR="0034171C" w:rsidRPr="008243FF">
        <w:rPr>
          <w:rFonts w:ascii="Palatino Linotype" w:hAnsi="Palatino Linotype"/>
          <w:b/>
          <w:sz w:val="23"/>
          <w:szCs w:val="23"/>
        </w:rPr>
        <w:t>SÉPTIMA</w:t>
      </w:r>
      <w:r w:rsidR="00AF1499" w:rsidRPr="008243FF">
        <w:rPr>
          <w:rFonts w:ascii="Palatino Linotype" w:hAnsi="Palatino Linotype"/>
          <w:b/>
          <w:sz w:val="23"/>
          <w:szCs w:val="23"/>
        </w:rPr>
        <w:t xml:space="preserve"> </w:t>
      </w:r>
      <w:r w:rsidRPr="008243FF">
        <w:rPr>
          <w:rFonts w:ascii="Palatino Linotype" w:hAnsi="Palatino Linotype"/>
          <w:b/>
          <w:sz w:val="23"/>
          <w:szCs w:val="23"/>
        </w:rPr>
        <w:t xml:space="preserve">SESIÓN ORDINARIA DEL </w:t>
      </w:r>
      <w:r w:rsidR="0034171C" w:rsidRPr="008243FF">
        <w:rPr>
          <w:rFonts w:ascii="Palatino Linotype" w:hAnsi="Palatino Linotype"/>
          <w:b/>
          <w:sz w:val="23"/>
          <w:szCs w:val="23"/>
        </w:rPr>
        <w:t>TRES DE AGOSTO</w:t>
      </w:r>
      <w:r w:rsidRPr="008243FF">
        <w:rPr>
          <w:rFonts w:ascii="Palatino Linotype" w:hAnsi="Palatino Linotype"/>
          <w:b/>
          <w:sz w:val="23"/>
          <w:szCs w:val="23"/>
        </w:rPr>
        <w:t xml:space="preserve"> DE DOS MIL VEINTIDÓS, EN EL </w:t>
      </w:r>
      <w:bookmarkStart w:id="0" w:name="_GoBack"/>
      <w:bookmarkEnd w:id="0"/>
      <w:r w:rsidRPr="008243FF">
        <w:rPr>
          <w:rFonts w:ascii="Palatino Linotype" w:hAnsi="Palatino Linotype"/>
          <w:b/>
          <w:sz w:val="23"/>
          <w:szCs w:val="23"/>
        </w:rPr>
        <w:t>RECURSO DE REVISIÓN 0</w:t>
      </w:r>
      <w:r w:rsidR="0034171C" w:rsidRPr="008243FF">
        <w:rPr>
          <w:rFonts w:ascii="Palatino Linotype" w:hAnsi="Palatino Linotype"/>
          <w:b/>
          <w:sz w:val="23"/>
          <w:szCs w:val="23"/>
        </w:rPr>
        <w:t>3641</w:t>
      </w:r>
      <w:r w:rsidRPr="008243FF">
        <w:rPr>
          <w:rFonts w:ascii="Palatino Linotype" w:hAnsi="Palatino Linotype"/>
          <w:b/>
          <w:sz w:val="23"/>
          <w:szCs w:val="23"/>
        </w:rPr>
        <w:t>/INFOEM/IP/RR/2022.</w:t>
      </w:r>
    </w:p>
    <w:p w14:paraId="509BF45D" w14:textId="77777777" w:rsidR="00AF3372" w:rsidRPr="008243FF" w:rsidRDefault="00AF3372" w:rsidP="00AF3372">
      <w:pPr>
        <w:spacing w:after="0" w:line="276" w:lineRule="auto"/>
        <w:jc w:val="both"/>
        <w:rPr>
          <w:rFonts w:ascii="Palatino Linotype" w:hAnsi="Palatino Linotype"/>
          <w:b/>
          <w:sz w:val="23"/>
          <w:szCs w:val="23"/>
        </w:rPr>
      </w:pPr>
    </w:p>
    <w:p w14:paraId="03EE15FB" w14:textId="09FA85E8" w:rsidR="000B2A76"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El pleno del Instituto de Transparencia, Acceso a la Información Pública y Protección de Datos Personales del Estado de México y Municipios, aprobó po</w:t>
      </w:r>
      <w:r w:rsidR="003D73C0">
        <w:rPr>
          <w:rFonts w:ascii="Palatino Linotype" w:hAnsi="Palatino Linotype"/>
          <w:sz w:val="23"/>
          <w:szCs w:val="23"/>
        </w:rPr>
        <w:t xml:space="preserve">r </w:t>
      </w:r>
      <w:r w:rsidR="00AF3372">
        <w:rPr>
          <w:rFonts w:ascii="Palatino Linotype" w:hAnsi="Palatino Linotype"/>
          <w:sz w:val="23"/>
          <w:szCs w:val="23"/>
        </w:rPr>
        <w:t>mayoría</w:t>
      </w:r>
      <w:r w:rsidR="00D36CD9" w:rsidRPr="008243FF">
        <w:rPr>
          <w:rFonts w:ascii="Palatino Linotype" w:hAnsi="Palatino Linotype"/>
          <w:sz w:val="23"/>
          <w:szCs w:val="23"/>
        </w:rPr>
        <w:t xml:space="preserve"> </w:t>
      </w:r>
      <w:r w:rsidRPr="008243FF">
        <w:rPr>
          <w:rFonts w:ascii="Palatino Linotype" w:hAnsi="Palatino Linotype"/>
          <w:sz w:val="23"/>
          <w:szCs w:val="23"/>
        </w:rPr>
        <w:t xml:space="preserve">de votos, la resolución relativa al recurso de revisión </w:t>
      </w:r>
      <w:r w:rsidR="008C438F" w:rsidRPr="008243FF">
        <w:rPr>
          <w:rFonts w:ascii="Palatino Linotype" w:hAnsi="Palatino Linotype"/>
          <w:b/>
          <w:sz w:val="23"/>
          <w:szCs w:val="23"/>
        </w:rPr>
        <w:t>0</w:t>
      </w:r>
      <w:r w:rsidR="0034171C" w:rsidRPr="008243FF">
        <w:rPr>
          <w:rFonts w:ascii="Palatino Linotype" w:hAnsi="Palatino Linotype"/>
          <w:b/>
          <w:sz w:val="23"/>
          <w:szCs w:val="23"/>
        </w:rPr>
        <w:t>3641</w:t>
      </w:r>
      <w:r w:rsidRPr="008243FF">
        <w:rPr>
          <w:rFonts w:ascii="Palatino Linotype" w:hAnsi="Palatino Linotype"/>
          <w:b/>
          <w:sz w:val="23"/>
          <w:szCs w:val="23"/>
        </w:rPr>
        <w:t>/INFOEM/IP/RR/2022,</w:t>
      </w:r>
      <w:r w:rsidRPr="008243FF">
        <w:rPr>
          <w:rFonts w:ascii="Palatino Linotype" w:hAnsi="Palatino Linotype"/>
          <w:sz w:val="23"/>
          <w:szCs w:val="23"/>
        </w:rPr>
        <w:t xml:space="preserve"> presentada por el Comisionado Luis Gustavo Parra Noriega, respecto de la cual, la suscrita formula </w:t>
      </w:r>
      <w:r w:rsidRPr="008243FF">
        <w:rPr>
          <w:rFonts w:ascii="Palatino Linotype" w:hAnsi="Palatino Linotype"/>
          <w:b/>
          <w:sz w:val="23"/>
          <w:szCs w:val="23"/>
        </w:rPr>
        <w:t>OPINIÓN  PARTICULAR</w:t>
      </w:r>
      <w:r w:rsidRPr="008243FF">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14:paraId="6AEFBAE5" w14:textId="77777777" w:rsidR="00AF3372" w:rsidRPr="008243FF" w:rsidRDefault="00AF3372" w:rsidP="00AF3372">
      <w:pPr>
        <w:spacing w:after="0" w:line="276" w:lineRule="auto"/>
        <w:jc w:val="both"/>
        <w:rPr>
          <w:rFonts w:ascii="Palatino Linotype" w:hAnsi="Palatino Linotype"/>
          <w:sz w:val="23"/>
          <w:szCs w:val="23"/>
        </w:rPr>
      </w:pPr>
    </w:p>
    <w:p w14:paraId="5FCDDDE0" w14:textId="09E1C414" w:rsidR="000B2A76"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14:paraId="352BE17F" w14:textId="77777777" w:rsidR="00AF3372" w:rsidRPr="008243FF" w:rsidRDefault="00AF3372" w:rsidP="00AF3372">
      <w:pPr>
        <w:spacing w:after="0" w:line="360" w:lineRule="auto"/>
        <w:jc w:val="both"/>
        <w:rPr>
          <w:rFonts w:ascii="Palatino Linotype" w:hAnsi="Palatino Linotype"/>
          <w:sz w:val="23"/>
          <w:szCs w:val="23"/>
        </w:rPr>
      </w:pPr>
    </w:p>
    <w:p w14:paraId="77C5D435" w14:textId="091B12CC" w:rsidR="008E58A8" w:rsidRPr="008243FF"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En el caso concreto el hoy Recurrente requirió al </w:t>
      </w:r>
      <w:bookmarkStart w:id="1" w:name="_Hlk106220231"/>
      <w:r w:rsidR="00081965" w:rsidRPr="008243FF">
        <w:rPr>
          <w:rFonts w:ascii="Palatino Linotype" w:hAnsi="Palatino Linotype"/>
          <w:bCs/>
          <w:sz w:val="23"/>
          <w:szCs w:val="23"/>
        </w:rPr>
        <w:t xml:space="preserve">Ayuntamiento de </w:t>
      </w:r>
      <w:bookmarkEnd w:id="1"/>
      <w:r w:rsidR="0034171C" w:rsidRPr="008243FF">
        <w:rPr>
          <w:rFonts w:ascii="Palatino Linotype" w:hAnsi="Palatino Linotype"/>
          <w:bCs/>
          <w:sz w:val="23"/>
          <w:szCs w:val="23"/>
        </w:rPr>
        <w:t>Cuautitlán</w:t>
      </w:r>
      <w:r w:rsidRPr="008243FF">
        <w:rPr>
          <w:rFonts w:ascii="Palatino Linotype" w:hAnsi="Palatino Linotype"/>
          <w:sz w:val="23"/>
          <w:szCs w:val="23"/>
        </w:rPr>
        <w:t xml:space="preserve"> </w:t>
      </w:r>
      <w:r w:rsidR="008243FF" w:rsidRPr="00AF3372">
        <w:rPr>
          <w:rFonts w:ascii="Palatino Linotype" w:hAnsi="Palatino Linotype"/>
          <w:sz w:val="23"/>
          <w:szCs w:val="23"/>
        </w:rPr>
        <w:t>Izcalli</w:t>
      </w:r>
      <w:r w:rsidR="008243FF" w:rsidRPr="008243FF">
        <w:rPr>
          <w:rFonts w:ascii="Palatino Linotype" w:hAnsi="Palatino Linotype"/>
          <w:sz w:val="23"/>
          <w:szCs w:val="23"/>
        </w:rPr>
        <w:t xml:space="preserve"> </w:t>
      </w:r>
      <w:r w:rsidRPr="008243FF">
        <w:rPr>
          <w:rFonts w:ascii="Palatino Linotype" w:hAnsi="Palatino Linotype"/>
          <w:sz w:val="23"/>
          <w:szCs w:val="23"/>
        </w:rPr>
        <w:t>que en esencia se le proporcionara</w:t>
      </w:r>
      <w:bookmarkStart w:id="2" w:name="_Hlk105611386"/>
      <w:r w:rsidR="0034171C" w:rsidRPr="008243FF">
        <w:rPr>
          <w:rFonts w:ascii="Palatino Linotype" w:hAnsi="Palatino Linotype"/>
          <w:sz w:val="23"/>
          <w:szCs w:val="23"/>
        </w:rPr>
        <w:t xml:space="preserve"> la nómina de la primera quincena de dos mil veintidós. </w:t>
      </w:r>
    </w:p>
    <w:p w14:paraId="7B6ADC6D" w14:textId="6F76A1BF" w:rsidR="008C438F" w:rsidRDefault="00081965" w:rsidP="00AF3372">
      <w:pPr>
        <w:spacing w:after="0" w:line="360" w:lineRule="auto"/>
        <w:jc w:val="both"/>
        <w:rPr>
          <w:rFonts w:ascii="Palatino Linotype" w:eastAsia="Calibri" w:hAnsi="Palatino Linotype" w:cs="Times New Roman"/>
          <w:color w:val="000000"/>
          <w:sz w:val="23"/>
          <w:szCs w:val="23"/>
        </w:rPr>
      </w:pPr>
      <w:r w:rsidRPr="008243FF">
        <w:rPr>
          <w:rFonts w:ascii="Palatino Linotype" w:hAnsi="Palatino Linotype"/>
          <w:sz w:val="23"/>
          <w:szCs w:val="23"/>
        </w:rPr>
        <w:lastRenderedPageBreak/>
        <w:t xml:space="preserve">El Sujeto Obligado </w:t>
      </w:r>
      <w:bookmarkEnd w:id="2"/>
      <w:r w:rsidR="00D07D24" w:rsidRPr="008243FF">
        <w:rPr>
          <w:rFonts w:ascii="Palatino Linotype" w:eastAsia="Calibri" w:hAnsi="Palatino Linotype" w:cs="Times New Roman"/>
          <w:color w:val="000000"/>
          <w:sz w:val="23"/>
          <w:szCs w:val="23"/>
        </w:rPr>
        <w:t xml:space="preserve">notificó, a través del Sistema de Acceso a la Información Mexiquense (SAIMEX), la respuesta a la solicitud de acceso a la información pública, </w:t>
      </w:r>
      <w:r w:rsidR="008C438F" w:rsidRPr="008243FF">
        <w:rPr>
          <w:rFonts w:ascii="Palatino Linotype" w:eastAsia="Calibri" w:hAnsi="Palatino Linotype" w:cs="Times New Roman"/>
          <w:color w:val="000000"/>
          <w:sz w:val="23"/>
          <w:szCs w:val="23"/>
        </w:rPr>
        <w:t xml:space="preserve">mediante el oficio número </w:t>
      </w:r>
      <w:r w:rsidR="0034171C" w:rsidRPr="008243FF">
        <w:rPr>
          <w:rFonts w:ascii="Palatino Linotype" w:eastAsia="Calibri" w:hAnsi="Palatino Linotype" w:cs="Times New Roman"/>
          <w:color w:val="000000"/>
          <w:sz w:val="23"/>
          <w:szCs w:val="23"/>
        </w:rPr>
        <w:t>DA/1527/2022</w:t>
      </w:r>
      <w:r w:rsidR="008C438F" w:rsidRPr="008243FF">
        <w:rPr>
          <w:rFonts w:ascii="Palatino Linotype" w:eastAsia="Calibri" w:hAnsi="Palatino Linotype" w:cs="Times New Roman"/>
          <w:color w:val="000000"/>
          <w:sz w:val="23"/>
          <w:szCs w:val="23"/>
        </w:rPr>
        <w:t>, de</w:t>
      </w:r>
      <w:r w:rsidR="0034171C" w:rsidRPr="008243FF">
        <w:rPr>
          <w:rFonts w:ascii="Palatino Linotype" w:eastAsia="Calibri" w:hAnsi="Palatino Linotype" w:cs="Times New Roman"/>
          <w:color w:val="000000"/>
          <w:sz w:val="23"/>
          <w:szCs w:val="23"/>
        </w:rPr>
        <w:t xml:space="preserve"> fecha nueve de marzo de</w:t>
      </w:r>
      <w:r w:rsidR="008C438F" w:rsidRPr="008243FF">
        <w:rPr>
          <w:rFonts w:ascii="Palatino Linotype" w:eastAsia="Calibri" w:hAnsi="Palatino Linotype" w:cs="Times New Roman"/>
          <w:color w:val="000000"/>
          <w:sz w:val="23"/>
          <w:szCs w:val="23"/>
        </w:rPr>
        <w:t xml:space="preserve"> dos mil veintidós, rubricado </w:t>
      </w:r>
      <w:r w:rsidR="0034171C" w:rsidRPr="008243FF">
        <w:rPr>
          <w:rFonts w:ascii="Palatino Linotype" w:eastAsia="Calibri" w:hAnsi="Palatino Linotype" w:cs="Times New Roman"/>
          <w:color w:val="000000"/>
          <w:sz w:val="23"/>
          <w:szCs w:val="23"/>
        </w:rPr>
        <w:t>por el Director de Administración</w:t>
      </w:r>
      <w:r w:rsidR="008C438F" w:rsidRPr="008243FF">
        <w:rPr>
          <w:rFonts w:ascii="Palatino Linotype" w:eastAsia="Calibri" w:hAnsi="Palatino Linotype" w:cs="Times New Roman"/>
          <w:color w:val="000000"/>
          <w:sz w:val="23"/>
          <w:szCs w:val="23"/>
        </w:rPr>
        <w:t xml:space="preserve"> y dirigido a la Titular de la Unidad de Transparencia, </w:t>
      </w:r>
      <w:r w:rsidR="008243FF">
        <w:rPr>
          <w:rFonts w:ascii="Palatino Linotype" w:eastAsia="Calibri" w:hAnsi="Palatino Linotype" w:cs="Times New Roman"/>
          <w:color w:val="000000"/>
          <w:sz w:val="23"/>
          <w:szCs w:val="23"/>
        </w:rPr>
        <w:t xml:space="preserve">por medio del cual </w:t>
      </w:r>
      <w:r w:rsidR="008243FF" w:rsidRPr="00AF3372">
        <w:rPr>
          <w:rFonts w:ascii="Palatino Linotype" w:eastAsia="Calibri" w:hAnsi="Palatino Linotype" w:cs="Times New Roman"/>
          <w:color w:val="000000"/>
          <w:sz w:val="23"/>
          <w:szCs w:val="23"/>
        </w:rPr>
        <w:t>manifiesta y expone</w:t>
      </w:r>
      <w:r w:rsidR="008C438F" w:rsidRPr="00AF3372">
        <w:rPr>
          <w:rFonts w:ascii="Palatino Linotype" w:eastAsia="Calibri" w:hAnsi="Palatino Linotype" w:cs="Times New Roman"/>
          <w:color w:val="000000"/>
          <w:sz w:val="23"/>
          <w:szCs w:val="23"/>
        </w:rPr>
        <w:t xml:space="preserve">: </w:t>
      </w:r>
    </w:p>
    <w:p w14:paraId="4D974672" w14:textId="77777777" w:rsidR="008C438F" w:rsidRPr="00AF3372" w:rsidRDefault="008C438F" w:rsidP="00AF3372">
      <w:pPr>
        <w:spacing w:after="0" w:line="360" w:lineRule="auto"/>
        <w:rPr>
          <w:rFonts w:ascii="Palatino Linotype" w:eastAsia="Calibri" w:hAnsi="Palatino Linotype" w:cs="Times New Roman"/>
          <w:color w:val="000000"/>
        </w:rPr>
      </w:pPr>
    </w:p>
    <w:p w14:paraId="3F765F34" w14:textId="77777777" w:rsidR="008C438F" w:rsidRPr="00AF3372" w:rsidRDefault="008C438F" w:rsidP="00AF3372">
      <w:pPr>
        <w:spacing w:after="0" w:line="276" w:lineRule="auto"/>
        <w:ind w:left="567" w:right="990"/>
        <w:rPr>
          <w:rFonts w:ascii="Palatino Linotype" w:eastAsia="Calibri" w:hAnsi="Palatino Linotype" w:cs="Times New Roman"/>
          <w:i/>
          <w:iCs/>
          <w:color w:val="000000"/>
        </w:rPr>
      </w:pPr>
      <w:r w:rsidRPr="00AF3372">
        <w:rPr>
          <w:rFonts w:ascii="Palatino Linotype" w:eastAsia="Calibri" w:hAnsi="Palatino Linotype" w:cs="Times New Roman"/>
          <w:i/>
          <w:iCs/>
          <w:color w:val="000000"/>
        </w:rPr>
        <w:t>“…</w:t>
      </w:r>
    </w:p>
    <w:p w14:paraId="3A60D2FF" w14:textId="0198B515" w:rsidR="008C438F" w:rsidRPr="008C438F" w:rsidRDefault="008243FF" w:rsidP="00AF3372">
      <w:pPr>
        <w:spacing w:after="0" w:line="276" w:lineRule="auto"/>
        <w:ind w:left="567" w:right="990"/>
        <w:jc w:val="both"/>
        <w:rPr>
          <w:rFonts w:ascii="Palatino Linotype" w:eastAsia="Calibri" w:hAnsi="Palatino Linotype" w:cs="Times New Roman"/>
          <w:i/>
          <w:iCs/>
          <w:color w:val="000000"/>
        </w:rPr>
      </w:pPr>
      <w:r w:rsidRPr="00AF3372">
        <w:rPr>
          <w:rFonts w:ascii="Palatino Linotype" w:eastAsia="Calibri" w:hAnsi="Palatino Linotype" w:cs="Times New Roman"/>
          <w:i/>
          <w:iCs/>
          <w:color w:val="000000"/>
        </w:rPr>
        <w:t xml:space="preserve">Al </w:t>
      </w:r>
      <w:r w:rsidR="0034171C" w:rsidRPr="00AF3372">
        <w:rPr>
          <w:rFonts w:ascii="Palatino Linotype" w:eastAsia="Calibri" w:hAnsi="Palatino Linotype" w:cs="Times New Roman"/>
          <w:i/>
          <w:iCs/>
          <w:color w:val="000000"/>
        </w:rPr>
        <w:t>respecto,</w:t>
      </w:r>
      <w:r w:rsidR="0034171C" w:rsidRPr="0034171C">
        <w:rPr>
          <w:rFonts w:ascii="Palatino Linotype" w:eastAsia="Calibri" w:hAnsi="Palatino Linotype" w:cs="Times New Roman"/>
          <w:i/>
          <w:iCs/>
          <w:color w:val="000000"/>
        </w:rPr>
        <w:t xml:space="preserve"> se adjunta oficio emitido por la persona Encarada del Despacho de la</w:t>
      </w:r>
      <w:r w:rsidR="0034171C">
        <w:rPr>
          <w:rFonts w:ascii="Palatino Linotype" w:eastAsia="Calibri" w:hAnsi="Palatino Linotype" w:cs="Times New Roman"/>
          <w:i/>
          <w:iCs/>
          <w:color w:val="000000"/>
        </w:rPr>
        <w:t xml:space="preserve"> </w:t>
      </w:r>
      <w:r w:rsidR="0034171C" w:rsidRPr="0034171C">
        <w:rPr>
          <w:rFonts w:ascii="Palatino Linotype" w:eastAsia="Calibri" w:hAnsi="Palatino Linotype" w:cs="Times New Roman"/>
          <w:i/>
          <w:iCs/>
          <w:color w:val="000000"/>
        </w:rPr>
        <w:t>Subdirección de Recursos Humanos, a través del cual remite archivo electrónico con la</w:t>
      </w:r>
      <w:r w:rsidR="0034171C">
        <w:rPr>
          <w:rFonts w:ascii="Palatino Linotype" w:eastAsia="Calibri" w:hAnsi="Palatino Linotype" w:cs="Times New Roman"/>
          <w:i/>
          <w:iCs/>
          <w:color w:val="000000"/>
        </w:rPr>
        <w:t xml:space="preserve"> </w:t>
      </w:r>
      <w:r w:rsidR="0034171C" w:rsidRPr="0034171C">
        <w:rPr>
          <w:rFonts w:ascii="Palatino Linotype" w:eastAsia="Calibri" w:hAnsi="Palatino Linotype" w:cs="Times New Roman"/>
          <w:i/>
          <w:iCs/>
          <w:color w:val="000000"/>
        </w:rPr>
        <w:t>información solicitada por el peticionario</w:t>
      </w:r>
      <w:r w:rsidR="008C438F" w:rsidRPr="008C438F">
        <w:rPr>
          <w:rFonts w:ascii="Palatino Linotype" w:eastAsia="Calibri" w:hAnsi="Palatino Linotype" w:cs="Times New Roman"/>
          <w:i/>
          <w:iCs/>
          <w:color w:val="000000"/>
        </w:rPr>
        <w:t xml:space="preserve">. </w:t>
      </w:r>
    </w:p>
    <w:p w14:paraId="2F8B5EBF" w14:textId="77777777" w:rsidR="008C438F" w:rsidRPr="008C438F" w:rsidRDefault="008C438F" w:rsidP="00AF3372">
      <w:pPr>
        <w:spacing w:after="0" w:line="276" w:lineRule="auto"/>
        <w:ind w:left="567" w:right="1131"/>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 xml:space="preserve">…” (Sic) </w:t>
      </w:r>
    </w:p>
    <w:p w14:paraId="4A534F90" w14:textId="77777777" w:rsidR="0034171C" w:rsidRPr="008C438F" w:rsidRDefault="0034171C" w:rsidP="00AF3372">
      <w:pPr>
        <w:spacing w:after="0" w:line="276" w:lineRule="auto"/>
        <w:rPr>
          <w:rFonts w:ascii="Palatino Linotype" w:eastAsia="Calibri" w:hAnsi="Palatino Linotype" w:cs="Times New Roman"/>
          <w:color w:val="000000"/>
        </w:rPr>
      </w:pPr>
    </w:p>
    <w:p w14:paraId="72C62FF2" w14:textId="77777777" w:rsidR="00AD50AB" w:rsidRPr="008243FF" w:rsidRDefault="008C438F" w:rsidP="00AF3372">
      <w:pPr>
        <w:spacing w:after="0" w:line="360" w:lineRule="auto"/>
        <w:jc w:val="both"/>
        <w:rPr>
          <w:rFonts w:ascii="Palatino Linotype" w:eastAsia="Calibri" w:hAnsi="Palatino Linotype" w:cs="Times New Roman"/>
          <w:color w:val="000000"/>
          <w:sz w:val="23"/>
          <w:szCs w:val="23"/>
        </w:rPr>
      </w:pPr>
      <w:r w:rsidRPr="008243FF">
        <w:rPr>
          <w:rFonts w:ascii="Palatino Linotype" w:eastAsia="Calibri" w:hAnsi="Palatino Linotype" w:cs="Times New Roman"/>
          <w:color w:val="000000"/>
          <w:sz w:val="23"/>
          <w:szCs w:val="23"/>
        </w:rPr>
        <w:t xml:space="preserve">El Sujeto Obligado </w:t>
      </w:r>
      <w:r w:rsidR="00AD50AB" w:rsidRPr="008243FF">
        <w:rPr>
          <w:rFonts w:ascii="Palatino Linotype" w:eastAsia="Calibri" w:hAnsi="Palatino Linotype" w:cs="Times New Roman"/>
          <w:color w:val="000000"/>
          <w:sz w:val="23"/>
          <w:szCs w:val="23"/>
        </w:rPr>
        <w:t xml:space="preserve">señaló que adjunta la información solicitada, sin embargo, de su acceso se advierte lo siguiente: </w:t>
      </w:r>
    </w:p>
    <w:p w14:paraId="4B236E3B" w14:textId="41787A02" w:rsidR="00AD50AB" w:rsidRDefault="00AD50AB" w:rsidP="00AF3372">
      <w:pPr>
        <w:spacing w:after="0" w:line="276" w:lineRule="auto"/>
        <w:jc w:val="both"/>
        <w:rPr>
          <w:rFonts w:ascii="Palatino Linotype" w:eastAsia="Calibri" w:hAnsi="Palatino Linotype" w:cs="Times New Roman"/>
          <w:color w:val="000000"/>
        </w:rPr>
      </w:pPr>
    </w:p>
    <w:p w14:paraId="45ED7AAA" w14:textId="4287A0BA" w:rsidR="00AD50AB" w:rsidRDefault="00AD50AB" w:rsidP="00AF3372">
      <w:pPr>
        <w:spacing w:after="0" w:line="276" w:lineRule="auto"/>
        <w:jc w:val="center"/>
        <w:rPr>
          <w:rFonts w:ascii="Palatino Linotype" w:eastAsia="Calibri" w:hAnsi="Palatino Linotype" w:cs="Times New Roman"/>
          <w:color w:val="000000"/>
        </w:rPr>
      </w:pPr>
      <w:r w:rsidRPr="004A03CC">
        <w:rPr>
          <w:noProof/>
          <w:lang w:eastAsia="es-MX"/>
        </w:rPr>
        <w:drawing>
          <wp:inline distT="0" distB="0" distL="0" distR="0" wp14:anchorId="682DD8A8" wp14:editId="41DDA41C">
            <wp:extent cx="5305245" cy="803261"/>
            <wp:effectExtent l="0" t="0" r="0" b="0"/>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326409" cy="806465"/>
                    </a:xfrm>
                    <a:prstGeom prst="rect">
                      <a:avLst/>
                    </a:prstGeom>
                  </pic:spPr>
                </pic:pic>
              </a:graphicData>
            </a:graphic>
          </wp:inline>
        </w:drawing>
      </w:r>
    </w:p>
    <w:p w14:paraId="29212B8B" w14:textId="77777777" w:rsidR="008C438F" w:rsidRPr="008C438F" w:rsidRDefault="008C438F" w:rsidP="00AF3372">
      <w:pPr>
        <w:spacing w:after="0" w:line="276" w:lineRule="auto"/>
        <w:rPr>
          <w:rFonts w:ascii="Palatino Linotype" w:eastAsia="Calibri" w:hAnsi="Palatino Linotype" w:cs="Times New Roman"/>
          <w:color w:val="000000"/>
        </w:rPr>
      </w:pPr>
    </w:p>
    <w:p w14:paraId="21FCDE1F" w14:textId="138F7184" w:rsidR="00AD50AB" w:rsidRPr="008243FF"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Ante </w:t>
      </w:r>
      <w:r w:rsidR="00081965" w:rsidRPr="008243FF">
        <w:rPr>
          <w:rFonts w:ascii="Palatino Linotype" w:hAnsi="Palatino Linotype"/>
          <w:sz w:val="23"/>
          <w:szCs w:val="23"/>
        </w:rPr>
        <w:t>este acto d</w:t>
      </w:r>
      <w:r w:rsidRPr="008243FF">
        <w:rPr>
          <w:rFonts w:ascii="Palatino Linotype" w:hAnsi="Palatino Linotype"/>
          <w:sz w:val="23"/>
          <w:szCs w:val="23"/>
        </w:rPr>
        <w:t>el Sujeto Obliga</w:t>
      </w:r>
      <w:r w:rsidR="00275288" w:rsidRPr="008243FF">
        <w:rPr>
          <w:rFonts w:ascii="Palatino Linotype" w:hAnsi="Palatino Linotype"/>
          <w:sz w:val="23"/>
          <w:szCs w:val="23"/>
        </w:rPr>
        <w:t>do, el particular se inconfor</w:t>
      </w:r>
      <w:r w:rsidR="00D07D24" w:rsidRPr="008243FF">
        <w:rPr>
          <w:rFonts w:ascii="Palatino Linotype" w:hAnsi="Palatino Linotype"/>
          <w:sz w:val="23"/>
          <w:szCs w:val="23"/>
        </w:rPr>
        <w:t xml:space="preserve">ma, </w:t>
      </w:r>
      <w:r w:rsidR="00AD50AB" w:rsidRPr="008243FF">
        <w:rPr>
          <w:rFonts w:ascii="Palatino Linotype" w:hAnsi="Palatino Linotype"/>
          <w:sz w:val="23"/>
          <w:szCs w:val="23"/>
        </w:rPr>
        <w:t xml:space="preserve">de manera medular porque no se le proporcionó la información solicitada. </w:t>
      </w:r>
    </w:p>
    <w:p w14:paraId="01028DFA" w14:textId="77777777" w:rsidR="00AD50AB" w:rsidRPr="008243FF" w:rsidRDefault="00AD50AB" w:rsidP="00AF3372">
      <w:pPr>
        <w:spacing w:after="0" w:line="360" w:lineRule="auto"/>
        <w:jc w:val="both"/>
        <w:rPr>
          <w:rFonts w:ascii="Palatino Linotype" w:hAnsi="Palatino Linotype"/>
          <w:sz w:val="23"/>
          <w:szCs w:val="23"/>
        </w:rPr>
      </w:pPr>
    </w:p>
    <w:p w14:paraId="4697ACCB" w14:textId="63556901" w:rsidR="00744782" w:rsidRDefault="00AF1499" w:rsidP="00AF3372">
      <w:pPr>
        <w:spacing w:after="0" w:line="360" w:lineRule="auto"/>
        <w:jc w:val="both"/>
        <w:rPr>
          <w:rFonts w:ascii="Palatino Linotype" w:eastAsia="Calibri" w:hAnsi="Palatino Linotype" w:cs="Times New Roman"/>
          <w:bCs/>
          <w:color w:val="000000"/>
          <w:sz w:val="23"/>
          <w:szCs w:val="23"/>
        </w:rPr>
      </w:pPr>
      <w:r w:rsidRPr="008243FF">
        <w:rPr>
          <w:rFonts w:ascii="Palatino Linotype" w:hAnsi="Palatino Linotype"/>
          <w:sz w:val="23"/>
          <w:szCs w:val="23"/>
        </w:rPr>
        <w:t xml:space="preserve">Es de señalar que el Sujeto Obligado </w:t>
      </w:r>
      <w:r w:rsidR="00275288" w:rsidRPr="008243FF">
        <w:rPr>
          <w:rFonts w:ascii="Palatino Linotype" w:hAnsi="Palatino Linotype"/>
          <w:sz w:val="23"/>
          <w:szCs w:val="23"/>
        </w:rPr>
        <w:t xml:space="preserve">rindió </w:t>
      </w:r>
      <w:r w:rsidR="000B2A76" w:rsidRPr="008243FF">
        <w:rPr>
          <w:rFonts w:ascii="Palatino Linotype" w:hAnsi="Palatino Linotype"/>
          <w:sz w:val="23"/>
          <w:szCs w:val="23"/>
        </w:rPr>
        <w:t>Informe Justificado</w:t>
      </w:r>
      <w:r w:rsidR="00275288" w:rsidRPr="008243FF">
        <w:rPr>
          <w:rFonts w:ascii="Palatino Linotype" w:hAnsi="Palatino Linotype"/>
          <w:sz w:val="23"/>
          <w:szCs w:val="23"/>
        </w:rPr>
        <w:t xml:space="preserve"> </w:t>
      </w:r>
      <w:r w:rsidR="008C438F" w:rsidRPr="008243FF">
        <w:rPr>
          <w:rFonts w:ascii="Palatino Linotype" w:eastAsia="Calibri" w:hAnsi="Palatino Linotype" w:cs="Times New Roman"/>
          <w:bCs/>
          <w:color w:val="000000"/>
          <w:sz w:val="23"/>
          <w:szCs w:val="23"/>
        </w:rPr>
        <w:t>a través de</w:t>
      </w:r>
      <w:r w:rsidR="00744782">
        <w:rPr>
          <w:rFonts w:ascii="Palatino Linotype" w:eastAsia="Calibri" w:hAnsi="Palatino Linotype" w:cs="Times New Roman"/>
          <w:bCs/>
          <w:color w:val="000000"/>
          <w:sz w:val="23"/>
          <w:szCs w:val="23"/>
        </w:rPr>
        <w:t xml:space="preserve"> los </w:t>
      </w:r>
      <w:r w:rsidR="008C438F" w:rsidRPr="008243FF">
        <w:rPr>
          <w:rFonts w:ascii="Palatino Linotype" w:eastAsia="Calibri" w:hAnsi="Palatino Linotype" w:cs="Times New Roman"/>
          <w:bCs/>
          <w:color w:val="000000"/>
          <w:sz w:val="23"/>
          <w:szCs w:val="23"/>
        </w:rPr>
        <w:t>oficio</w:t>
      </w:r>
      <w:r w:rsidR="00744782">
        <w:rPr>
          <w:rFonts w:ascii="Palatino Linotype" w:eastAsia="Calibri" w:hAnsi="Palatino Linotype" w:cs="Times New Roman"/>
          <w:bCs/>
          <w:color w:val="000000"/>
          <w:sz w:val="23"/>
          <w:szCs w:val="23"/>
        </w:rPr>
        <w:t>s</w:t>
      </w:r>
      <w:r w:rsidR="008C438F" w:rsidRPr="008243FF">
        <w:rPr>
          <w:rFonts w:ascii="Palatino Linotype" w:eastAsia="Calibri" w:hAnsi="Palatino Linotype" w:cs="Times New Roman"/>
          <w:bCs/>
          <w:color w:val="000000"/>
          <w:sz w:val="23"/>
          <w:szCs w:val="23"/>
        </w:rPr>
        <w:t xml:space="preserve"> número: </w:t>
      </w:r>
    </w:p>
    <w:p w14:paraId="5EAA3C94" w14:textId="43E2E536" w:rsidR="003D73C0" w:rsidRDefault="003D73C0" w:rsidP="00AF3372">
      <w:pPr>
        <w:spacing w:after="0" w:line="276" w:lineRule="auto"/>
        <w:jc w:val="both"/>
        <w:rPr>
          <w:rFonts w:ascii="Palatino Linotype" w:eastAsia="Calibri" w:hAnsi="Palatino Linotype" w:cs="Times New Roman"/>
          <w:bCs/>
          <w:color w:val="000000"/>
          <w:sz w:val="23"/>
          <w:szCs w:val="23"/>
        </w:rPr>
      </w:pPr>
    </w:p>
    <w:p w14:paraId="44FE912E" w14:textId="77777777" w:rsidR="003D73C0" w:rsidRDefault="003D73C0" w:rsidP="00AF3372">
      <w:pPr>
        <w:pStyle w:val="Prrafodelista"/>
        <w:numPr>
          <w:ilvl w:val="0"/>
          <w:numId w:val="9"/>
        </w:numPr>
        <w:spacing w:line="360" w:lineRule="auto"/>
        <w:ind w:left="567"/>
        <w:jc w:val="both"/>
        <w:rPr>
          <w:rFonts w:ascii="Palatino Linotype" w:eastAsia="Calibri" w:hAnsi="Palatino Linotype"/>
          <w:bCs/>
          <w:color w:val="000000"/>
          <w:sz w:val="23"/>
          <w:szCs w:val="23"/>
        </w:rPr>
      </w:pPr>
      <w:r w:rsidRPr="003D73C0">
        <w:rPr>
          <w:rFonts w:ascii="Palatino Linotype" w:eastAsia="Calibri" w:hAnsi="Palatino Linotype"/>
          <w:bCs/>
          <w:color w:val="000000"/>
          <w:sz w:val="23"/>
          <w:szCs w:val="23"/>
        </w:rPr>
        <w:lastRenderedPageBreak/>
        <w:t>Oficio número: PM/CUT/0524/2022 de fecha quince de marzo de dos mil veintidós, suscrito</w:t>
      </w:r>
      <w:r>
        <w:rPr>
          <w:rFonts w:ascii="Palatino Linotype" w:eastAsia="Calibri" w:hAnsi="Palatino Linotype"/>
          <w:bCs/>
          <w:color w:val="000000"/>
          <w:sz w:val="23"/>
          <w:szCs w:val="23"/>
        </w:rPr>
        <w:t xml:space="preserve"> </w:t>
      </w:r>
      <w:r w:rsidRPr="003D73C0">
        <w:rPr>
          <w:rFonts w:ascii="Palatino Linotype" w:eastAsia="Calibri" w:hAnsi="Palatino Linotype"/>
          <w:bCs/>
          <w:color w:val="000000"/>
          <w:sz w:val="23"/>
          <w:szCs w:val="23"/>
        </w:rPr>
        <w:t xml:space="preserve">por la Titular de la Unidad de Transparencia y dirigido al Director de Administración, por medio del cual manifiesta y expone: </w:t>
      </w:r>
    </w:p>
    <w:p w14:paraId="561628B0" w14:textId="77777777" w:rsidR="003D73C0" w:rsidRDefault="003D73C0" w:rsidP="00AF3372">
      <w:pPr>
        <w:pStyle w:val="Prrafodelista"/>
        <w:spacing w:line="276" w:lineRule="auto"/>
        <w:jc w:val="both"/>
        <w:rPr>
          <w:rFonts w:ascii="Palatino Linotype" w:eastAsia="Calibri" w:hAnsi="Palatino Linotype"/>
          <w:bCs/>
          <w:i/>
          <w:iCs/>
          <w:color w:val="000000"/>
          <w:sz w:val="23"/>
          <w:szCs w:val="23"/>
        </w:rPr>
      </w:pPr>
    </w:p>
    <w:p w14:paraId="72803496" w14:textId="187831AB" w:rsidR="003D73C0" w:rsidRPr="003D73C0" w:rsidRDefault="003D73C0" w:rsidP="00AF3372">
      <w:pPr>
        <w:pStyle w:val="Prrafodelista"/>
        <w:spacing w:line="276" w:lineRule="auto"/>
        <w:ind w:left="567"/>
        <w:jc w:val="both"/>
        <w:rPr>
          <w:rFonts w:ascii="Palatino Linotype" w:eastAsia="Calibri" w:hAnsi="Palatino Linotype"/>
          <w:bCs/>
          <w:color w:val="000000"/>
          <w:sz w:val="23"/>
          <w:szCs w:val="23"/>
        </w:rPr>
      </w:pPr>
      <w:r w:rsidRPr="003D73C0">
        <w:rPr>
          <w:rFonts w:ascii="Palatino Linotype" w:eastAsia="Calibri" w:hAnsi="Palatino Linotype"/>
          <w:bCs/>
          <w:i/>
          <w:iCs/>
          <w:color w:val="000000"/>
          <w:sz w:val="23"/>
          <w:szCs w:val="23"/>
        </w:rPr>
        <w:t>“…Por lo que solicito gire sus apreciables instrucciones al Servidor Público Habilitado o a quien corresponda, para que a más tardar el próximo Viernes 18 de marzo del año de dos mil veintidós, antes de las 17:00 horas, conforme sus alegatos o manifieste a que Coordinación de Transparencia, lo que a sus intereses convenga y anexe su INFORME JUSTIFICADO, para que este Coordinación lo pueda enviar para su valoración que realice LUIS GUSTAVO PARRA NORIEGA COMISIONADO DEL INFOEM, y emita su resolución correspondiente…” (Sic)</w:t>
      </w:r>
    </w:p>
    <w:p w14:paraId="20EF0BE2" w14:textId="77777777" w:rsidR="00744782" w:rsidRDefault="00744782" w:rsidP="00AF3372">
      <w:pPr>
        <w:spacing w:after="0" w:line="276" w:lineRule="auto"/>
        <w:jc w:val="both"/>
        <w:rPr>
          <w:rFonts w:ascii="Palatino Linotype" w:eastAsia="Calibri" w:hAnsi="Palatino Linotype" w:cs="Times New Roman"/>
          <w:bCs/>
          <w:color w:val="000000"/>
          <w:sz w:val="23"/>
          <w:szCs w:val="23"/>
        </w:rPr>
      </w:pPr>
    </w:p>
    <w:p w14:paraId="275B90BC" w14:textId="53FEA219" w:rsidR="00744782" w:rsidRPr="00744782" w:rsidRDefault="00744782" w:rsidP="00AF3372">
      <w:pPr>
        <w:pStyle w:val="Prrafodelista"/>
        <w:numPr>
          <w:ilvl w:val="0"/>
          <w:numId w:val="8"/>
        </w:numPr>
        <w:spacing w:line="360" w:lineRule="auto"/>
        <w:ind w:left="567"/>
        <w:jc w:val="both"/>
        <w:rPr>
          <w:rFonts w:ascii="Palatino Linotype" w:eastAsia="Calibri" w:hAnsi="Palatino Linotype"/>
          <w:bCs/>
          <w:color w:val="000000"/>
          <w:sz w:val="23"/>
          <w:szCs w:val="23"/>
        </w:rPr>
      </w:pPr>
      <w:r w:rsidRPr="00744782">
        <w:rPr>
          <w:rFonts w:ascii="Palatino Linotype" w:eastAsia="Calibri" w:hAnsi="Palatino Linotype"/>
          <w:bCs/>
          <w:sz w:val="23"/>
          <w:szCs w:val="23"/>
        </w:rPr>
        <w:t>DA/186</w:t>
      </w:r>
      <w:r>
        <w:rPr>
          <w:rFonts w:ascii="Palatino Linotype" w:eastAsia="Calibri" w:hAnsi="Palatino Linotype"/>
          <w:bCs/>
          <w:sz w:val="23"/>
          <w:szCs w:val="23"/>
        </w:rPr>
        <w:t>3/2022 de fecha dieciocho de marzo de dos mil veintidós,</w:t>
      </w:r>
      <w:r w:rsidRPr="00744782">
        <w:rPr>
          <w:rFonts w:ascii="Palatino Linotype" w:eastAsia="Calibri" w:hAnsi="Palatino Linotype"/>
          <w:bCs/>
          <w:sz w:val="23"/>
          <w:szCs w:val="23"/>
        </w:rPr>
        <w:t xml:space="preserve"> </w:t>
      </w:r>
      <w:r w:rsidR="008C438F" w:rsidRPr="00744782">
        <w:rPr>
          <w:rFonts w:ascii="Palatino Linotype" w:eastAsia="Calibri" w:hAnsi="Palatino Linotype"/>
          <w:bCs/>
          <w:sz w:val="23"/>
          <w:szCs w:val="23"/>
        </w:rPr>
        <w:t xml:space="preserve">rubricado por </w:t>
      </w:r>
      <w:r>
        <w:rPr>
          <w:rFonts w:ascii="Palatino Linotype" w:eastAsia="Calibri" w:hAnsi="Palatino Linotype"/>
          <w:bCs/>
          <w:sz w:val="23"/>
          <w:szCs w:val="23"/>
        </w:rPr>
        <w:t xml:space="preserve">el Director de Administración y dirigido a la Titular de la Unidad de Transparencia, de cuyo contenido se advierte lo siguiente: </w:t>
      </w:r>
    </w:p>
    <w:p w14:paraId="4214103C" w14:textId="77777777" w:rsidR="008C438F" w:rsidRPr="008C438F" w:rsidRDefault="008C438F" w:rsidP="00AF3372">
      <w:pPr>
        <w:spacing w:after="0" w:line="276" w:lineRule="auto"/>
        <w:jc w:val="both"/>
        <w:rPr>
          <w:rFonts w:ascii="Palatino Linotype" w:eastAsia="Calibri" w:hAnsi="Palatino Linotype" w:cs="Times New Roman"/>
          <w:bCs/>
          <w:color w:val="000000"/>
        </w:rPr>
      </w:pPr>
    </w:p>
    <w:p w14:paraId="4AD28567" w14:textId="79542E34" w:rsidR="00AD50AB" w:rsidRPr="00AD50AB" w:rsidRDefault="008C438F" w:rsidP="00AF3372">
      <w:pPr>
        <w:spacing w:after="0" w:line="276" w:lineRule="auto"/>
        <w:ind w:left="567" w:right="567"/>
        <w:jc w:val="both"/>
        <w:rPr>
          <w:rFonts w:ascii="Palatino Linotype" w:eastAsia="Calibri" w:hAnsi="Palatino Linotype" w:cs="Times New Roman"/>
          <w:bCs/>
          <w:i/>
          <w:iCs/>
          <w:color w:val="000000"/>
        </w:rPr>
      </w:pPr>
      <w:r w:rsidRPr="00AD50AB">
        <w:rPr>
          <w:rFonts w:ascii="Palatino Linotype" w:eastAsia="Calibri" w:hAnsi="Palatino Linotype" w:cs="Times New Roman"/>
          <w:bCs/>
          <w:i/>
          <w:iCs/>
          <w:color w:val="000000"/>
        </w:rPr>
        <w:t>“</w:t>
      </w:r>
      <w:r w:rsidR="00AD50AB" w:rsidRPr="00AD50AB">
        <w:rPr>
          <w:rFonts w:ascii="Palatino Linotype" w:eastAsia="Calibri" w:hAnsi="Palatino Linotype" w:cs="Times New Roman"/>
          <w:bCs/>
          <w:i/>
          <w:iCs/>
          <w:color w:val="000000"/>
        </w:rPr>
        <w:t>…</w:t>
      </w:r>
    </w:p>
    <w:p w14:paraId="09549504" w14:textId="77777777" w:rsidR="00AD50AB" w:rsidRPr="00AD50AB" w:rsidRDefault="00AD50AB" w:rsidP="00AF3372">
      <w:pPr>
        <w:spacing w:after="0" w:line="276" w:lineRule="auto"/>
        <w:ind w:left="567" w:right="567"/>
        <w:jc w:val="both"/>
        <w:rPr>
          <w:rFonts w:ascii="Palatino Linotype" w:hAnsi="Palatino Linotype"/>
          <w:bCs/>
          <w:i/>
          <w:iCs/>
          <w:lang w:val="es-ES_tradnl"/>
        </w:rPr>
      </w:pPr>
      <w:r w:rsidRPr="00AD50AB">
        <w:rPr>
          <w:rFonts w:ascii="Palatino Linotype" w:hAnsi="Palatino Linotype"/>
          <w:bCs/>
          <w:i/>
          <w:iCs/>
          <w:lang w:val="es-ES_tradnl"/>
        </w:rPr>
        <w:t xml:space="preserve">Se informa que la Dirección de Administración remitió el archivo electrónico a que hace referencia el oficio DA/SRH/0028/2022, en el que se dio cabal atención a la solicitud de información realizada por el entonces peticionario, ahora recurrente, teniendo en cuenta en todo momento que el derecho constitucional al acceso a la información pública es un eje sustancial dentro de un gobierno democrático. </w:t>
      </w:r>
    </w:p>
    <w:p w14:paraId="0CE570B4" w14:textId="77777777" w:rsidR="00AD50AB" w:rsidRPr="00AD50AB" w:rsidRDefault="00AD50AB" w:rsidP="00AF3372">
      <w:pPr>
        <w:spacing w:after="0" w:line="276" w:lineRule="auto"/>
        <w:ind w:left="567" w:right="567"/>
        <w:jc w:val="both"/>
        <w:rPr>
          <w:rFonts w:ascii="Palatino Linotype" w:hAnsi="Palatino Linotype"/>
          <w:bCs/>
          <w:i/>
          <w:iCs/>
          <w:lang w:val="es-ES_tradnl"/>
        </w:rPr>
      </w:pPr>
    </w:p>
    <w:p w14:paraId="59217059" w14:textId="77777777" w:rsidR="00AD50AB" w:rsidRPr="00AD50AB" w:rsidRDefault="00AD50AB" w:rsidP="00AF3372">
      <w:pPr>
        <w:spacing w:after="0" w:line="276" w:lineRule="auto"/>
        <w:ind w:left="567" w:right="567"/>
        <w:jc w:val="both"/>
        <w:rPr>
          <w:rFonts w:ascii="Palatino Linotype" w:hAnsi="Palatino Linotype"/>
          <w:bCs/>
          <w:i/>
          <w:iCs/>
          <w:lang w:val="es-ES_tradnl"/>
        </w:rPr>
      </w:pPr>
      <w:r w:rsidRPr="00AD50AB">
        <w:rPr>
          <w:rFonts w:ascii="Palatino Linotype" w:hAnsi="Palatino Linotype"/>
          <w:bCs/>
          <w:i/>
          <w:iCs/>
          <w:lang w:val="es-ES_tradnl"/>
        </w:rPr>
        <w:t>En razón de lo anterior, esta Dependencia advierte que el ahora recurrente expresa en su acto impugnado y razones o motivos de inconformidad, manifestaciones subjetivas que resultan de carácter inimputable al quehacer gubernamental de la Administración Pública, por lo que resulta ocioso emitir algún pronunciamiento al respecto, en virtud de que las mismas no constituyen hechos que puedan apreciarse con los sentidos, sin necesidad de conocimientos técnico-jurídicos.</w:t>
      </w:r>
    </w:p>
    <w:p w14:paraId="72DFE0B1" w14:textId="77777777" w:rsidR="00AD50AB" w:rsidRPr="00AD50AB" w:rsidRDefault="00AD50AB" w:rsidP="00AF3372">
      <w:pPr>
        <w:spacing w:after="0" w:line="276" w:lineRule="auto"/>
        <w:ind w:left="567" w:right="567"/>
        <w:jc w:val="both"/>
        <w:rPr>
          <w:rFonts w:ascii="Palatino Linotype" w:hAnsi="Palatino Linotype"/>
          <w:bCs/>
          <w:i/>
          <w:iCs/>
          <w:lang w:val="es-ES_tradnl"/>
        </w:rPr>
      </w:pPr>
    </w:p>
    <w:p w14:paraId="6987C810" w14:textId="06535793" w:rsidR="00AD50AB" w:rsidRPr="00AD50AB" w:rsidRDefault="00AD50AB" w:rsidP="00AF3372">
      <w:pPr>
        <w:spacing w:after="0" w:line="276" w:lineRule="auto"/>
        <w:ind w:left="567" w:right="567"/>
        <w:jc w:val="both"/>
        <w:rPr>
          <w:rFonts w:ascii="Palatino Linotype" w:hAnsi="Palatino Linotype"/>
          <w:bCs/>
          <w:i/>
          <w:iCs/>
          <w:lang w:val="es-ES_tradnl"/>
        </w:rPr>
      </w:pPr>
      <w:r w:rsidRPr="00AD50AB">
        <w:rPr>
          <w:rFonts w:ascii="Palatino Linotype" w:hAnsi="Palatino Linotype"/>
          <w:bCs/>
          <w:i/>
          <w:iCs/>
          <w:lang w:val="es-ES_tradnl"/>
        </w:rPr>
        <w:t>Y toda vez que el acto impugnado resulta a todas luces inoperante, esta dependencia se encuentra imposibilitada, material y jurídicamente para emitir pronunciamiento alguno, ya que en su momento cumplimentó en términos con la solicitud primigenia por el ahora recurrente</w:t>
      </w:r>
    </w:p>
    <w:p w14:paraId="3DEDC1B7" w14:textId="0F2A6C42" w:rsidR="008C438F" w:rsidRPr="00AD50AB" w:rsidRDefault="008C438F" w:rsidP="00AF3372">
      <w:pPr>
        <w:spacing w:after="0" w:line="276" w:lineRule="auto"/>
        <w:ind w:left="567" w:right="567"/>
        <w:jc w:val="both"/>
        <w:rPr>
          <w:rFonts w:ascii="Palatino Linotype" w:hAnsi="Palatino Linotype"/>
          <w:bCs/>
          <w:i/>
          <w:iCs/>
          <w:lang w:val="es-ES_tradnl"/>
        </w:rPr>
      </w:pPr>
      <w:r w:rsidRPr="00AD50AB">
        <w:rPr>
          <w:rFonts w:ascii="Palatino Linotype" w:eastAsia="Calibri" w:hAnsi="Palatino Linotype" w:cs="Times New Roman"/>
          <w:bCs/>
          <w:i/>
          <w:iCs/>
          <w:color w:val="000000"/>
        </w:rPr>
        <w:t xml:space="preserve">…” (Sic) </w:t>
      </w:r>
    </w:p>
    <w:p w14:paraId="652D6FE8" w14:textId="77777777" w:rsidR="008C438F" w:rsidRPr="00081965" w:rsidRDefault="008C438F" w:rsidP="00AF3372">
      <w:pPr>
        <w:spacing w:after="0" w:line="276" w:lineRule="auto"/>
        <w:jc w:val="both"/>
        <w:rPr>
          <w:rFonts w:ascii="Palatino Linotype" w:hAnsi="Palatino Linotype"/>
          <w:bCs/>
          <w:i/>
          <w:iCs/>
        </w:rPr>
      </w:pPr>
    </w:p>
    <w:p w14:paraId="1B2B13BD" w14:textId="09E83959" w:rsidR="00AF1499" w:rsidRDefault="000B2A76" w:rsidP="00AF3372">
      <w:pPr>
        <w:autoSpaceDE w:val="0"/>
        <w:autoSpaceDN w:val="0"/>
        <w:adjustRightInd w:val="0"/>
        <w:spacing w:after="0"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AD50AB">
        <w:rPr>
          <w:rFonts w:ascii="Palatino Linotype" w:hAnsi="Palatino Linotype"/>
          <w:b/>
          <w:sz w:val="23"/>
          <w:szCs w:val="23"/>
        </w:rPr>
        <w:t>REVOCAR</w:t>
      </w:r>
      <w:r w:rsidR="008E58A8">
        <w:rPr>
          <w:rFonts w:ascii="Palatino Linotype" w:hAnsi="Palatino Linotype"/>
          <w:sz w:val="23"/>
          <w:szCs w:val="23"/>
        </w:rPr>
        <w:t xml:space="preserve"> la respuesta y </w:t>
      </w:r>
      <w:r w:rsidR="00081965">
        <w:rPr>
          <w:rFonts w:ascii="Palatino Linotype" w:hAnsi="Palatino Linotype"/>
          <w:sz w:val="23"/>
          <w:szCs w:val="23"/>
        </w:rPr>
        <w:t>or</w:t>
      </w:r>
      <w:r w:rsidR="008E58A8">
        <w:rPr>
          <w:rFonts w:ascii="Palatino Linotype" w:hAnsi="Palatino Linotype"/>
          <w:sz w:val="23"/>
          <w:szCs w:val="23"/>
        </w:rPr>
        <w:t xml:space="preserve">denar la entrega de </w:t>
      </w:r>
      <w:r w:rsidR="004956B3">
        <w:rPr>
          <w:rFonts w:ascii="Palatino Linotype" w:hAnsi="Palatino Linotype"/>
          <w:sz w:val="23"/>
          <w:szCs w:val="23"/>
        </w:rPr>
        <w:t>información, posteriormente</w:t>
      </w:r>
      <w:r w:rsidR="00AF1499">
        <w:rPr>
          <w:rFonts w:ascii="Palatino Linotype" w:hAnsi="Palatino Linotype"/>
          <w:sz w:val="23"/>
          <w:szCs w:val="23"/>
        </w:rPr>
        <w:t xml:space="preserve"> </w:t>
      </w:r>
      <w:r>
        <w:rPr>
          <w:rFonts w:ascii="Palatino Linotype" w:hAnsi="Palatino Linotype"/>
          <w:sz w:val="23"/>
          <w:szCs w:val="23"/>
        </w:rPr>
        <w:t xml:space="preserve">en su </w:t>
      </w:r>
      <w:r w:rsidRPr="008E58A8">
        <w:rPr>
          <w:rFonts w:ascii="Palatino Linotype" w:hAnsi="Palatino Linotype"/>
          <w:b/>
          <w:sz w:val="23"/>
          <w:szCs w:val="23"/>
        </w:rPr>
        <w:t>resolutivo SEGUNDO</w:t>
      </w:r>
      <w:r w:rsidR="00081965">
        <w:rPr>
          <w:rFonts w:ascii="Palatino Linotype" w:hAnsi="Palatino Linotype"/>
          <w:sz w:val="23"/>
          <w:szCs w:val="23"/>
        </w:rPr>
        <w:t>, precisa al Sujeto Obligado que deberá remitir al particular, lo siguiente</w:t>
      </w:r>
      <w:r w:rsidR="00AF1499">
        <w:rPr>
          <w:rFonts w:ascii="Palatino Linotype" w:hAnsi="Palatino Linotype"/>
          <w:sz w:val="23"/>
          <w:szCs w:val="23"/>
        </w:rPr>
        <w:t>:</w:t>
      </w:r>
    </w:p>
    <w:p w14:paraId="5EA1082F" w14:textId="77777777" w:rsidR="00AF1499" w:rsidRPr="004956B3" w:rsidRDefault="00AF1499" w:rsidP="00AF3372">
      <w:pPr>
        <w:autoSpaceDE w:val="0"/>
        <w:autoSpaceDN w:val="0"/>
        <w:adjustRightInd w:val="0"/>
        <w:spacing w:after="0" w:line="276" w:lineRule="auto"/>
        <w:ind w:right="990"/>
        <w:contextualSpacing/>
        <w:jc w:val="both"/>
        <w:rPr>
          <w:rFonts w:ascii="Palatino Linotype" w:hAnsi="Palatino Linotype"/>
          <w:b/>
          <w:bCs/>
          <w:i/>
          <w:szCs w:val="23"/>
        </w:rPr>
      </w:pPr>
    </w:p>
    <w:p w14:paraId="62C3DAB3" w14:textId="77777777" w:rsidR="00081965" w:rsidRPr="004956B3" w:rsidRDefault="00AF1499" w:rsidP="00AF3372">
      <w:pPr>
        <w:autoSpaceDE w:val="0"/>
        <w:autoSpaceDN w:val="0"/>
        <w:adjustRightInd w:val="0"/>
        <w:spacing w:after="0" w:line="276" w:lineRule="auto"/>
        <w:ind w:left="567" w:right="990"/>
        <w:contextualSpacing/>
        <w:jc w:val="both"/>
        <w:rPr>
          <w:rFonts w:ascii="Palatino Linotype" w:hAnsi="Palatino Linotype"/>
          <w:b/>
          <w:bCs/>
          <w:i/>
          <w:szCs w:val="23"/>
        </w:rPr>
      </w:pPr>
      <w:r w:rsidRPr="004956B3">
        <w:rPr>
          <w:rFonts w:ascii="Palatino Linotype" w:hAnsi="Palatino Linotype"/>
          <w:b/>
          <w:bCs/>
          <w:i/>
          <w:szCs w:val="23"/>
        </w:rPr>
        <w:t>“</w:t>
      </w:r>
      <w:r w:rsidR="00081965" w:rsidRPr="004956B3">
        <w:rPr>
          <w:rFonts w:ascii="Palatino Linotype" w:hAnsi="Palatino Linotype"/>
          <w:b/>
          <w:bCs/>
          <w:i/>
          <w:szCs w:val="23"/>
        </w:rPr>
        <w:t>…</w:t>
      </w:r>
    </w:p>
    <w:p w14:paraId="1B489306" w14:textId="77777777" w:rsidR="004956B3" w:rsidRPr="004956B3" w:rsidRDefault="004956B3" w:rsidP="00AF3372">
      <w:pPr>
        <w:spacing w:after="0" w:line="276" w:lineRule="auto"/>
        <w:ind w:left="567"/>
        <w:jc w:val="both"/>
        <w:rPr>
          <w:rFonts w:ascii="Palatino Linotype" w:eastAsia="Calibri" w:hAnsi="Palatino Linotype" w:cs="Tahoma"/>
          <w:b/>
          <w:bCs/>
          <w:i/>
          <w:color w:val="000000"/>
          <w:szCs w:val="24"/>
          <w:lang w:eastAsia="es-MX"/>
        </w:rPr>
      </w:pPr>
    </w:p>
    <w:p w14:paraId="4A3D0C45" w14:textId="77777777" w:rsidR="004956B3" w:rsidRPr="004956B3" w:rsidRDefault="004956B3" w:rsidP="00AF3372">
      <w:pPr>
        <w:numPr>
          <w:ilvl w:val="0"/>
          <w:numId w:val="6"/>
        </w:numPr>
        <w:autoSpaceDE w:val="0"/>
        <w:autoSpaceDN w:val="0"/>
        <w:adjustRightInd w:val="0"/>
        <w:spacing w:after="0" w:line="276" w:lineRule="auto"/>
        <w:ind w:left="567" w:firstLine="0"/>
        <w:contextualSpacing/>
        <w:jc w:val="both"/>
        <w:rPr>
          <w:rFonts w:ascii="Palatino Linotype" w:eastAsia="Calibri" w:hAnsi="Palatino Linotype" w:cs="Tahoma"/>
          <w:i/>
          <w:color w:val="000000"/>
          <w:lang w:eastAsia="es-MX"/>
        </w:rPr>
      </w:pPr>
      <w:r w:rsidRPr="004956B3">
        <w:rPr>
          <w:rFonts w:ascii="Palatino Linotype" w:eastAsia="Calibri" w:hAnsi="Palatino Linotype" w:cs="Tahoma"/>
          <w:i/>
          <w:color w:val="000000"/>
        </w:rPr>
        <w:t xml:space="preserve">La </w:t>
      </w:r>
      <w:r w:rsidRPr="004956B3">
        <w:rPr>
          <w:rFonts w:ascii="Palatino Linotype" w:eastAsia="Times New Roman" w:hAnsi="Palatino Linotype" w:cs="Tahoma"/>
          <w:bCs/>
          <w:i/>
          <w:lang w:eastAsia="es-ES"/>
        </w:rPr>
        <w:t>Conciliación de Nómina del Ayuntamiento de Ecatepec de Morelos, de la primera quincena de enero de dos mil veintidós.</w:t>
      </w:r>
    </w:p>
    <w:p w14:paraId="230C8AA9" w14:textId="77777777" w:rsidR="004956B3" w:rsidRPr="004956B3" w:rsidRDefault="004956B3" w:rsidP="00AF3372">
      <w:pPr>
        <w:widowControl w:val="0"/>
        <w:spacing w:after="0" w:line="276" w:lineRule="auto"/>
        <w:ind w:left="567"/>
        <w:jc w:val="both"/>
        <w:rPr>
          <w:rFonts w:ascii="Palatino Linotype" w:eastAsia="Calibri" w:hAnsi="Palatino Linotype" w:cs="Tahoma"/>
          <w:i/>
          <w:lang w:eastAsia="es-ES_tradnl"/>
        </w:rPr>
      </w:pPr>
    </w:p>
    <w:p w14:paraId="333035D5" w14:textId="77777777" w:rsidR="004956B3" w:rsidRPr="004956B3" w:rsidRDefault="004956B3" w:rsidP="00AF3372">
      <w:pPr>
        <w:spacing w:after="0" w:line="276" w:lineRule="auto"/>
        <w:ind w:left="567"/>
        <w:jc w:val="both"/>
        <w:rPr>
          <w:rFonts w:ascii="Palatino Linotype" w:eastAsia="Times New Roman" w:hAnsi="Palatino Linotype" w:cs="Tahoma"/>
          <w:i/>
          <w:lang w:eastAsia="es-MX"/>
        </w:rPr>
      </w:pPr>
      <w:r w:rsidRPr="004956B3">
        <w:rPr>
          <w:rFonts w:ascii="Palatino Linotype" w:eastAsia="Times New Roman" w:hAnsi="Palatino Linotype" w:cs="Tahoma"/>
          <w:bCs/>
          <w:i/>
          <w:lang w:eastAsia="es-MX"/>
        </w:rPr>
        <w:t>Además,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14:paraId="51A8987F" w14:textId="36B36579" w:rsidR="00AF1499" w:rsidRPr="004956B3" w:rsidRDefault="008C438F" w:rsidP="00AF3372">
      <w:pPr>
        <w:autoSpaceDE w:val="0"/>
        <w:autoSpaceDN w:val="0"/>
        <w:adjustRightInd w:val="0"/>
        <w:spacing w:after="0" w:line="276" w:lineRule="auto"/>
        <w:ind w:left="567" w:right="990"/>
        <w:contextualSpacing/>
        <w:jc w:val="both"/>
        <w:rPr>
          <w:rFonts w:ascii="Palatino Linotype" w:hAnsi="Palatino Linotype"/>
          <w:bCs/>
          <w:i/>
          <w:szCs w:val="23"/>
          <w:lang w:val="es-ES"/>
        </w:rPr>
      </w:pPr>
      <w:r w:rsidRPr="004956B3">
        <w:rPr>
          <w:rFonts w:ascii="Palatino Linotype" w:hAnsi="Palatino Linotype"/>
          <w:bCs/>
          <w:i/>
          <w:szCs w:val="23"/>
          <w:lang w:val="es-ES"/>
        </w:rPr>
        <w:t>.</w:t>
      </w:r>
      <w:r w:rsidR="00AF1499" w:rsidRPr="004956B3">
        <w:rPr>
          <w:rFonts w:ascii="Palatino Linotype" w:hAnsi="Palatino Linotype"/>
          <w:i/>
          <w:szCs w:val="23"/>
          <w:lang w:val="es-ES"/>
        </w:rPr>
        <w:t xml:space="preserve">” (Sic) </w:t>
      </w:r>
    </w:p>
    <w:p w14:paraId="4BEF2763" w14:textId="77777777" w:rsidR="00AF1499" w:rsidRDefault="00AF1499" w:rsidP="00AF3372">
      <w:pPr>
        <w:autoSpaceDE w:val="0"/>
        <w:autoSpaceDN w:val="0"/>
        <w:adjustRightInd w:val="0"/>
        <w:spacing w:after="0" w:line="276" w:lineRule="auto"/>
        <w:contextualSpacing/>
        <w:jc w:val="both"/>
        <w:rPr>
          <w:rFonts w:ascii="Palatino Linotype" w:hAnsi="Palatino Linotype"/>
          <w:sz w:val="23"/>
          <w:szCs w:val="23"/>
        </w:rPr>
      </w:pPr>
    </w:p>
    <w:p w14:paraId="30C6E658" w14:textId="7DCD143B"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 xml:space="preserve">la reserva del </w:t>
      </w:r>
      <w:r w:rsidR="008C438F" w:rsidRPr="008C438F">
        <w:rPr>
          <w:rFonts w:ascii="Palatino Linotype" w:hAnsi="Palatino Linotype"/>
          <w:b/>
          <w:bCs/>
          <w:color w:val="000000" w:themeColor="text1"/>
          <w:sz w:val="23"/>
          <w:szCs w:val="23"/>
        </w:rPr>
        <w:t xml:space="preserve">nombre de los elementos operativos de la </w:t>
      </w:r>
      <w:r w:rsidR="008C438F" w:rsidRPr="00AF3372">
        <w:rPr>
          <w:rFonts w:ascii="Palatino Linotype" w:hAnsi="Palatino Linotype"/>
          <w:b/>
          <w:bCs/>
          <w:sz w:val="23"/>
          <w:szCs w:val="23"/>
        </w:rPr>
        <w:t xml:space="preserve">Comisaría </w:t>
      </w:r>
      <w:r w:rsidR="004956B3" w:rsidRPr="00AF3372">
        <w:rPr>
          <w:rFonts w:ascii="Palatino Linotype" w:hAnsi="Palatino Linotype"/>
          <w:b/>
          <w:bCs/>
          <w:sz w:val="23"/>
          <w:szCs w:val="23"/>
        </w:rPr>
        <w:t xml:space="preserve">General </w:t>
      </w:r>
      <w:r w:rsidR="004956B3">
        <w:rPr>
          <w:rFonts w:ascii="Palatino Linotype" w:hAnsi="Palatino Linotype"/>
          <w:b/>
          <w:bCs/>
          <w:color w:val="000000" w:themeColor="text1"/>
          <w:sz w:val="23"/>
          <w:szCs w:val="23"/>
        </w:rPr>
        <w:t>de Seguridad Ciudadana del Ayuntamiento de Cuautitlán Izcalli</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 xml:space="preserve">para lo que es necesario el desarrollo de la prueba </w:t>
      </w:r>
      <w:r w:rsidRPr="00723296">
        <w:rPr>
          <w:rFonts w:ascii="Palatino Linotype" w:hAnsi="Palatino Linotype"/>
          <w:sz w:val="23"/>
          <w:szCs w:val="23"/>
        </w:rPr>
        <w:lastRenderedPageBreak/>
        <w:t>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3F8E0F0C" w14:textId="77777777" w:rsidR="00AF3372" w:rsidRPr="00A408AE" w:rsidRDefault="00AF3372" w:rsidP="00AF3372">
      <w:pPr>
        <w:spacing w:after="0" w:line="360" w:lineRule="auto"/>
        <w:jc w:val="both"/>
        <w:rPr>
          <w:rFonts w:ascii="Palatino Linotype" w:hAnsi="Palatino Linotype"/>
          <w:sz w:val="23"/>
          <w:szCs w:val="23"/>
        </w:rPr>
      </w:pPr>
    </w:p>
    <w:p w14:paraId="597F8E97" w14:textId="2933A654" w:rsidR="000B2A76" w:rsidRDefault="000B2A76" w:rsidP="00AF3372">
      <w:pPr>
        <w:spacing w:after="0"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3D809F43" w14:textId="77777777" w:rsidR="00AF3372" w:rsidRPr="00A408AE" w:rsidRDefault="00AF3372" w:rsidP="00AF3372">
      <w:pPr>
        <w:spacing w:after="0" w:line="360" w:lineRule="auto"/>
        <w:jc w:val="both"/>
        <w:rPr>
          <w:rFonts w:ascii="Palatino Linotype" w:hAnsi="Palatino Linotype"/>
          <w:sz w:val="23"/>
          <w:szCs w:val="23"/>
        </w:rPr>
      </w:pPr>
    </w:p>
    <w:p w14:paraId="0D8E21C8" w14:textId="6EB3073A"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lastRenderedPageBreak/>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652931DB" w14:textId="77777777" w:rsidR="00AF3372" w:rsidRPr="00A408AE" w:rsidRDefault="00AF3372" w:rsidP="00AF3372">
      <w:pPr>
        <w:spacing w:after="0" w:line="360" w:lineRule="auto"/>
        <w:jc w:val="both"/>
        <w:rPr>
          <w:rFonts w:ascii="Palatino Linotype" w:hAnsi="Palatino Linotype"/>
          <w:sz w:val="23"/>
          <w:szCs w:val="23"/>
        </w:rPr>
      </w:pPr>
    </w:p>
    <w:p w14:paraId="20B2B0DA"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023761B5"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21AC0D4F"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14:paraId="60875E26"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4433CF77"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12AAE525"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412578E9" w14:textId="77777777" w:rsidR="000B2A76"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559C4C86" w14:textId="77777777" w:rsidR="000B2A76" w:rsidRPr="0080347F" w:rsidRDefault="000B2A76" w:rsidP="00AF3372">
      <w:pPr>
        <w:pStyle w:val="Sinespaciado"/>
        <w:spacing w:line="276" w:lineRule="auto"/>
        <w:ind w:left="851" w:right="899"/>
        <w:jc w:val="both"/>
        <w:rPr>
          <w:rFonts w:ascii="Palatino Linotype" w:hAnsi="Palatino Linotype" w:cstheme="minorHAnsi"/>
          <w:i/>
          <w:sz w:val="22"/>
          <w:szCs w:val="22"/>
        </w:rPr>
      </w:pPr>
    </w:p>
    <w:p w14:paraId="68308E43" w14:textId="32548CEF"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 xml:space="preserve">se debe efectuar el estudio de clasificación a la luz de los elementos que exigen los </w:t>
      </w:r>
      <w:r w:rsidRPr="00AE3307">
        <w:rPr>
          <w:rFonts w:ascii="Palatino Linotype" w:hAnsi="Palatino Linotype"/>
          <w:b/>
          <w:sz w:val="23"/>
          <w:szCs w:val="23"/>
        </w:rPr>
        <w:lastRenderedPageBreak/>
        <w:t>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70AF7D4B" w14:textId="77777777" w:rsidR="00AF3372" w:rsidRDefault="00AF3372" w:rsidP="00AF3372">
      <w:pPr>
        <w:spacing w:after="0" w:line="360" w:lineRule="auto"/>
        <w:jc w:val="both"/>
        <w:rPr>
          <w:rFonts w:ascii="Palatino Linotype" w:hAnsi="Palatino Linotype"/>
          <w:sz w:val="23"/>
          <w:szCs w:val="23"/>
        </w:rPr>
      </w:pPr>
    </w:p>
    <w:p w14:paraId="29CE9B86" w14:textId="04AD6373"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4956B3">
        <w:rPr>
          <w:rFonts w:ascii="Palatino Linotype" w:hAnsi="Palatino Linotype"/>
          <w:b/>
          <w:bCs/>
          <w:sz w:val="23"/>
          <w:szCs w:val="23"/>
        </w:rPr>
        <w:t>3641</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0ACCE642" w14:textId="77777777" w:rsidR="00AF3372" w:rsidRPr="00A408AE" w:rsidRDefault="00AF3372" w:rsidP="00AF3372">
      <w:pPr>
        <w:spacing w:after="0" w:line="276" w:lineRule="auto"/>
        <w:jc w:val="both"/>
        <w:rPr>
          <w:rFonts w:ascii="Palatino Linotype" w:hAnsi="Palatino Linotype"/>
          <w:sz w:val="23"/>
          <w:szCs w:val="23"/>
        </w:rPr>
      </w:pPr>
    </w:p>
    <w:p w14:paraId="76312ED4" w14:textId="77777777" w:rsidR="000B2A76" w:rsidRPr="00D732F2" w:rsidRDefault="000B2A76" w:rsidP="00AF3372">
      <w:pPr>
        <w:pStyle w:val="Sinespaciado"/>
        <w:spacing w:line="276" w:lineRule="aut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57DE8256" w14:textId="77777777" w:rsidR="000B2A76" w:rsidRDefault="000B2A76" w:rsidP="00AF3372">
      <w:pPr>
        <w:spacing w:after="0" w:line="276" w:lineRule="auto"/>
        <w:jc w:val="both"/>
        <w:rPr>
          <w:rStyle w:val="normaltextrun"/>
          <w:rFonts w:ascii="Palatino Linotype" w:hAnsi="Palatino Linotype" w:cs="Segoe UI"/>
        </w:rPr>
      </w:pPr>
    </w:p>
    <w:p w14:paraId="0E3AF8E2" w14:textId="71AA1D48" w:rsidR="000B2A76" w:rsidRDefault="000B2A76" w:rsidP="00AF3372">
      <w:pPr>
        <w:spacing w:after="0"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w:t>
      </w:r>
      <w:r w:rsidRPr="00A408AE">
        <w:rPr>
          <w:rFonts w:ascii="Palatino Linotype" w:hAnsi="Palatino Linotype"/>
          <w:sz w:val="23"/>
          <w:szCs w:val="23"/>
        </w:rPr>
        <w:lastRenderedPageBreak/>
        <w:t>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263252E9" w14:textId="77777777" w:rsidR="00AF3372" w:rsidRPr="00A408AE" w:rsidRDefault="00AF3372" w:rsidP="00AF3372">
      <w:pPr>
        <w:spacing w:after="0" w:line="360" w:lineRule="auto"/>
        <w:jc w:val="both"/>
        <w:rPr>
          <w:rFonts w:ascii="Palatino Linotype" w:hAnsi="Palatino Linotype"/>
          <w:sz w:val="23"/>
          <w:szCs w:val="23"/>
        </w:rPr>
      </w:pPr>
    </w:p>
    <w:p w14:paraId="076AAF33" w14:textId="73A382F1" w:rsidR="000B2A76" w:rsidRDefault="000B2A76" w:rsidP="00AF3372">
      <w:pPr>
        <w:spacing w:after="0"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14:paraId="62E350A2" w14:textId="77777777" w:rsidR="00AF3372" w:rsidRDefault="00AF3372" w:rsidP="00AF3372">
      <w:pPr>
        <w:spacing w:after="0" w:line="360" w:lineRule="auto"/>
        <w:jc w:val="both"/>
        <w:rPr>
          <w:rFonts w:ascii="Palatino Linotype" w:hAnsi="Palatino Linotype"/>
          <w:b/>
          <w:sz w:val="23"/>
          <w:szCs w:val="23"/>
        </w:rPr>
      </w:pPr>
    </w:p>
    <w:p w14:paraId="22CFFABD" w14:textId="07EDF71C" w:rsidR="00D36CD9"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14:paraId="4F2DAE36" w14:textId="77777777" w:rsidR="00AF3372" w:rsidRDefault="00AF3372" w:rsidP="00AF3372">
      <w:pPr>
        <w:spacing w:after="0" w:line="360" w:lineRule="auto"/>
        <w:jc w:val="both"/>
        <w:rPr>
          <w:rFonts w:ascii="Palatino Linotype" w:hAnsi="Palatino Linotype"/>
          <w:sz w:val="23"/>
          <w:szCs w:val="23"/>
        </w:rPr>
      </w:pPr>
    </w:p>
    <w:p w14:paraId="1FD2FBE1" w14:textId="77777777" w:rsidR="000B2A76" w:rsidRDefault="000B2A76" w:rsidP="00AF3372">
      <w:pPr>
        <w:spacing w:after="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14:paraId="7C15AAB2" w14:textId="77777777" w:rsidR="000B2A76" w:rsidRDefault="000B2A76" w:rsidP="00AF3372">
      <w:pPr>
        <w:spacing w:after="0" w:line="360" w:lineRule="auto"/>
        <w:jc w:val="both"/>
        <w:rPr>
          <w:rFonts w:ascii="Palatino Linotype" w:hAnsi="Palatino Linotype"/>
          <w:sz w:val="23"/>
          <w:szCs w:val="23"/>
        </w:rPr>
      </w:pPr>
    </w:p>
    <w:p w14:paraId="66426533" w14:textId="77777777" w:rsidR="000B2A76" w:rsidRDefault="000B2A76" w:rsidP="00AF3372">
      <w:pPr>
        <w:spacing w:after="0" w:line="276" w:lineRule="auto"/>
        <w:jc w:val="both"/>
        <w:rPr>
          <w:rFonts w:ascii="Palatino Linotype" w:hAnsi="Palatino Linotype"/>
          <w:sz w:val="23"/>
          <w:szCs w:val="23"/>
        </w:rPr>
        <w:sectPr w:rsidR="000B2A76" w:rsidSect="00FB2266">
          <w:headerReference w:type="even" r:id="rId8"/>
          <w:headerReference w:type="default" r:id="rId9"/>
          <w:footerReference w:type="default" r:id="rId10"/>
          <w:headerReference w:type="first" r:id="rId11"/>
          <w:pgSz w:w="12240" w:h="15840"/>
          <w:pgMar w:top="1983" w:right="1327" w:bottom="2836" w:left="1985" w:header="709" w:footer="586" w:gutter="0"/>
          <w:cols w:space="708"/>
          <w:docGrid w:linePitch="360"/>
        </w:sectPr>
      </w:pPr>
    </w:p>
    <w:p w14:paraId="1C313D28" w14:textId="77777777" w:rsidR="000B2A76" w:rsidRPr="000D7039" w:rsidRDefault="000B2A76" w:rsidP="00AF3372">
      <w:pPr>
        <w:spacing w:after="0" w:line="276" w:lineRule="auto"/>
        <w:jc w:val="both"/>
        <w:rPr>
          <w:rFonts w:ascii="Palatino Linotype" w:hAnsi="Palatino Linotype"/>
          <w:sz w:val="23"/>
          <w:szCs w:val="23"/>
        </w:rPr>
      </w:pPr>
    </w:p>
    <w:p w14:paraId="2803E307" w14:textId="77777777" w:rsidR="000B2A76" w:rsidRPr="000D7039" w:rsidRDefault="000B2A76" w:rsidP="00AF3372">
      <w:pPr>
        <w:spacing w:after="0" w:line="276" w:lineRule="auto"/>
        <w:jc w:val="center"/>
        <w:rPr>
          <w:rFonts w:ascii="Palatino Linotype" w:hAnsi="Palatino Linotype"/>
          <w:b/>
          <w:sz w:val="23"/>
          <w:szCs w:val="23"/>
        </w:rPr>
      </w:pPr>
    </w:p>
    <w:p w14:paraId="38293F90" w14:textId="77777777" w:rsidR="000B2A76" w:rsidRPr="000D7039" w:rsidRDefault="000B2A76" w:rsidP="00AF3372">
      <w:pPr>
        <w:spacing w:after="0" w:line="276" w:lineRule="auto"/>
        <w:jc w:val="center"/>
        <w:rPr>
          <w:rFonts w:ascii="Palatino Linotype" w:hAnsi="Palatino Linotype"/>
          <w:sz w:val="23"/>
          <w:szCs w:val="23"/>
        </w:rPr>
      </w:pPr>
    </w:p>
    <w:p w14:paraId="21783DBF" w14:textId="77777777" w:rsidR="000B2A76" w:rsidRPr="000D7039" w:rsidRDefault="000B2A76" w:rsidP="00AF3372">
      <w:pPr>
        <w:spacing w:after="0" w:line="276" w:lineRule="auto"/>
        <w:rPr>
          <w:rFonts w:ascii="Palatino Linotype" w:hAnsi="Palatino Linotype"/>
          <w:sz w:val="24"/>
          <w:szCs w:val="24"/>
        </w:rPr>
      </w:pPr>
    </w:p>
    <w:p w14:paraId="1CE59856" w14:textId="77777777" w:rsidR="000B2A76" w:rsidRDefault="000B2A76" w:rsidP="00AF3372">
      <w:pPr>
        <w:spacing w:after="0" w:line="276" w:lineRule="auto"/>
      </w:pPr>
    </w:p>
    <w:p w14:paraId="2F11EDD1" w14:textId="77777777" w:rsidR="000B2A76" w:rsidRDefault="000B2A76" w:rsidP="00AF3372">
      <w:pPr>
        <w:spacing w:after="0" w:line="276" w:lineRule="auto"/>
      </w:pPr>
    </w:p>
    <w:p w14:paraId="5DDD24D8" w14:textId="77777777" w:rsidR="00A1078F" w:rsidRDefault="00643467" w:rsidP="00AF3372">
      <w:pPr>
        <w:spacing w:after="0" w:line="276" w:lineRule="auto"/>
      </w:pPr>
    </w:p>
    <w:sectPr w:rsidR="00A1078F" w:rsidSect="00115CE3">
      <w:headerReference w:type="defaul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F90C4" w14:textId="77777777" w:rsidR="00A67CC3" w:rsidRDefault="00A67CC3" w:rsidP="000B2A76">
      <w:pPr>
        <w:spacing w:after="0" w:line="240" w:lineRule="auto"/>
      </w:pPr>
      <w:r>
        <w:separator/>
      </w:r>
    </w:p>
  </w:endnote>
  <w:endnote w:type="continuationSeparator" w:id="0">
    <w:p w14:paraId="1FC09F04" w14:textId="77777777" w:rsidR="00A67CC3" w:rsidRDefault="00A67CC3"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F1F1" w14:textId="77777777"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346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3467">
      <w:rPr>
        <w:rFonts w:ascii="Arial" w:hAnsi="Arial" w:cs="Arial"/>
        <w:b/>
        <w:bCs/>
        <w:noProof/>
        <w:sz w:val="20"/>
        <w:szCs w:val="20"/>
      </w:rPr>
      <w:t>9</w:t>
    </w:r>
    <w:r w:rsidRPr="00986599">
      <w:rPr>
        <w:rFonts w:ascii="Arial" w:hAnsi="Arial" w:cs="Arial"/>
        <w:b/>
        <w:bCs/>
        <w:sz w:val="20"/>
        <w:szCs w:val="20"/>
      </w:rPr>
      <w:fldChar w:fldCharType="end"/>
    </w:r>
  </w:p>
  <w:p w14:paraId="179751BE" w14:textId="77777777" w:rsidR="00D758BE" w:rsidRDefault="0064346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DC55C" w14:textId="77777777" w:rsidR="00A67CC3" w:rsidRDefault="00A67CC3" w:rsidP="000B2A76">
      <w:pPr>
        <w:spacing w:after="0" w:line="240" w:lineRule="auto"/>
      </w:pPr>
      <w:r>
        <w:separator/>
      </w:r>
    </w:p>
  </w:footnote>
  <w:footnote w:type="continuationSeparator" w:id="0">
    <w:p w14:paraId="7461427B" w14:textId="77777777" w:rsidR="00A67CC3" w:rsidRDefault="00A67CC3"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705DA" w14:textId="77777777" w:rsidR="00D758BE" w:rsidRDefault="00643467">
    <w:pPr>
      <w:pStyle w:val="Encabezado"/>
    </w:pPr>
    <w:r>
      <w:rPr>
        <w:noProof/>
      </w:rPr>
      <w:pict w14:anchorId="72578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22B464C3" wp14:editId="7D8A4050">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B464C3"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x38wEAAMUDAAAOAAAAZHJzL2Uyb0RvYy54bWysU8GO0zAQvSPxD5bvNEmllhA1XZVdlssC&#10;K23Rnl3baQKxx4zdJv17xm62XcENkYOVjO037715Wd2MpmdHjb4DW/NilnOmrQTV2X3Nv2/v35Wc&#10;+SCsEj1YXfOT9vxm/fbNanCVnkMLvdLICMT6anA1b0NwVZZ52Woj/AyctrTZABoR6BP3mUIxELrp&#10;s3meL7MBUDkEqb2n6t15k68TftNoGb41jdeB9TUnbiGtmNZdXLP1SlR7FK7t5ERD/AMLIzpLTS9Q&#10;dyIIdsDuLyjTSQQPTZhJMBk0TSd10kBqivwPNU+tcDppIXO8u9jk/x+s/Hp8co/IwvgRRhpgEuHd&#10;A8ifnlm4bYXd6w0iDK0WihoX/FJO9LYnR2NN1a0ewyfVkcdF9DUbnK8m/DgPX/nYaTd8AUVXxCFA&#10;6jY2aBhCvFZ+yOOTyuQNI0Y0tNNlUNSASSouyiKfL2hL0l6xXJbvyzTKTFQRLQ7CoQ+fNRgWX2qO&#10;lIQEK44PPkR21yMT1cjuzDOMu5GORMo7UCciPVBCau5/HQRqMuBgboECRaobBPNMEdxgkv3SeTs+&#10;C3RT70C0H/uXhCQCKSqKWWGiE+oHAZmegncUPVskC84Up8MT2TNqvOvdhuy775KSK89JCWUlCZxy&#10;HcP4+juduv59698AAAD//wMAUEsDBBQABgAIAAAAIQAdGW8h2wAAAAUBAAAPAAAAZHJzL2Rvd25y&#10;ZXYueG1sTI/NTsMwEITvSLyDtZW4UadBVCXEqRARhx77I85uvE1C7XWInSbl6Vm4wGWk0axmvs3X&#10;k7Pign1oPSlYzBMQSJU3LdUKDvu3+xWIEDUZbT2hgisGWBe3N7nOjB9pi5ddrAWXUMi0gibGLpMy&#10;VA06Hea+Q+Ls5HunI9u+lqbXI5c7K9MkWUqnW+KFRnf42mB13g1Ogfk6XbuHcdxvNtty+LRtWeL7&#10;h1J3s+nlGUTEKf4dww8+o0PBTEc/kAnCKuBH4q9y9rR4ZHtUkC7TFcgil//pi28AAAD//wMAUEsB&#10;Ai0AFAAGAAgAAAAhALaDOJL+AAAA4QEAABMAAAAAAAAAAAAAAAAAAAAAAFtDb250ZW50X1R5cGVz&#10;XS54bWxQSwECLQAUAAYACAAAACEAOP0h/9YAAACUAQAACwAAAAAAAAAAAAAAAAAvAQAAX3JlbHMv&#10;LnJlbHNQSwECLQAUAAYACAAAACEAx7B8d/MBAADFAwAADgAAAAAAAAAAAAAAAAAuAgAAZHJzL2Uy&#10;b0RvYy54bWxQSwECLQAUAAYACAAAACEAHRlvIdsAAAAFAQAADwAAAAAAAAAAAAAAAABNBAAAZHJz&#10;L2Rvd25yZXYueG1sUEsFBgAAAAAEAAQA8wAAAFUFAAAAAA==&#10;" o:allowincell="f" filled="f" stroked="f">
              <v:stroke joinstyle="round"/>
              <o:lock v:ext="edit" shapetype="t"/>
              <v:textbox style="mso-fit-shape-to-text:t">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3E87" w14:textId="77777777"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3BD23519" wp14:editId="0A4BD9A0">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DE36B15" w14:textId="77777777"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14:paraId="688FB448" w14:textId="2052E03D"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34171C">
      <w:rPr>
        <w:rFonts w:ascii="Palatino Linotype" w:hAnsi="Palatino Linotype" w:cs="Arial"/>
        <w:b/>
        <w:sz w:val="22"/>
        <w:szCs w:val="22"/>
      </w:rPr>
      <w:t>3641</w:t>
    </w:r>
    <w:r w:rsidRPr="00FB2266">
      <w:rPr>
        <w:rFonts w:ascii="Palatino Linotype" w:hAnsi="Palatino Linotype" w:cs="Arial"/>
        <w:b/>
        <w:sz w:val="22"/>
        <w:szCs w:val="22"/>
      </w:rPr>
      <w:t>/INFOEM/IP/RR/2022</w:t>
    </w:r>
  </w:p>
  <w:p w14:paraId="6C041C13" w14:textId="77777777" w:rsidR="000B1C1F" w:rsidRPr="000D4A99" w:rsidRDefault="00643467"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5CC4E" w14:textId="77777777" w:rsidR="00D758BE" w:rsidRDefault="00643467">
    <w:pPr>
      <w:pStyle w:val="Encabezado"/>
    </w:pPr>
    <w:r>
      <w:rPr>
        <w:noProof/>
      </w:rPr>
      <w:pict w14:anchorId="1AE88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E755" w14:textId="77777777" w:rsidR="00F029C2" w:rsidRPr="000D4A99" w:rsidRDefault="00643467" w:rsidP="007263BB">
    <w:pPr>
      <w:pStyle w:val="Encabezado"/>
      <w:jc w:val="right"/>
      <w:rPr>
        <w:rFonts w:ascii="Arial" w:hAnsi="Arial" w:cs="Arial"/>
        <w:sz w:val="20"/>
        <w:szCs w:val="20"/>
      </w:rPr>
    </w:pPr>
  </w:p>
  <w:p w14:paraId="204E7715" w14:textId="77777777" w:rsidR="00F029C2" w:rsidRPr="000D4A99" w:rsidRDefault="00643467" w:rsidP="007263BB">
    <w:pPr>
      <w:pStyle w:val="Encabezado"/>
      <w:jc w:val="right"/>
      <w:rPr>
        <w:rFonts w:ascii="Arial" w:hAnsi="Arial" w:cs="Arial"/>
        <w:sz w:val="20"/>
        <w:szCs w:val="20"/>
      </w:rPr>
    </w:pPr>
  </w:p>
  <w:p w14:paraId="7D3B13E0" w14:textId="77777777" w:rsidR="00F029C2" w:rsidRPr="000D4A99" w:rsidRDefault="00643467" w:rsidP="007263BB">
    <w:pPr>
      <w:pStyle w:val="Encabezado"/>
      <w:jc w:val="right"/>
      <w:rPr>
        <w:rFonts w:ascii="Arial" w:hAnsi="Arial" w:cs="Arial"/>
        <w:sz w:val="20"/>
        <w:szCs w:val="20"/>
      </w:rPr>
    </w:pPr>
  </w:p>
  <w:p w14:paraId="5E7681DE" w14:textId="77777777"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0361077B" w14:textId="77777777" w:rsidR="00F029C2" w:rsidRPr="000D4A99" w:rsidRDefault="00643467" w:rsidP="007263BB">
    <w:pPr>
      <w:pStyle w:val="Encabezado"/>
      <w:jc w:val="right"/>
      <w:rPr>
        <w:rFonts w:ascii="Palatino Linotype" w:hAnsi="Palatino Linotype" w:cs="Arial"/>
        <w:sz w:val="20"/>
        <w:szCs w:val="20"/>
      </w:rPr>
    </w:pPr>
  </w:p>
  <w:p w14:paraId="3C68A764" w14:textId="77777777" w:rsidR="00F029C2" w:rsidRPr="000D4A99" w:rsidRDefault="00643467"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42347"/>
    <w:multiLevelType w:val="hybridMultilevel"/>
    <w:tmpl w:val="3BAA3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621EEC"/>
    <w:multiLevelType w:val="hybridMultilevel"/>
    <w:tmpl w:val="05587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6"/>
  </w:num>
  <w:num w:numId="6">
    <w:abstractNumId w:val="5"/>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1F772C"/>
    <w:rsid w:val="00275288"/>
    <w:rsid w:val="002A05DA"/>
    <w:rsid w:val="0034171C"/>
    <w:rsid w:val="003D73C0"/>
    <w:rsid w:val="004956B3"/>
    <w:rsid w:val="00496064"/>
    <w:rsid w:val="004A63C4"/>
    <w:rsid w:val="0060121A"/>
    <w:rsid w:val="00643467"/>
    <w:rsid w:val="007213EF"/>
    <w:rsid w:val="00744782"/>
    <w:rsid w:val="0081741B"/>
    <w:rsid w:val="008243FF"/>
    <w:rsid w:val="0082773E"/>
    <w:rsid w:val="008C438F"/>
    <w:rsid w:val="008E58A8"/>
    <w:rsid w:val="00977DEC"/>
    <w:rsid w:val="009A2CC2"/>
    <w:rsid w:val="009E79E6"/>
    <w:rsid w:val="00A0212F"/>
    <w:rsid w:val="00A22313"/>
    <w:rsid w:val="00A67CC3"/>
    <w:rsid w:val="00AD50AB"/>
    <w:rsid w:val="00AF1499"/>
    <w:rsid w:val="00AF3372"/>
    <w:rsid w:val="00AF53CA"/>
    <w:rsid w:val="00B02D99"/>
    <w:rsid w:val="00BA53BA"/>
    <w:rsid w:val="00BD6E2C"/>
    <w:rsid w:val="00CF5368"/>
    <w:rsid w:val="00D07D24"/>
    <w:rsid w:val="00D36CD9"/>
    <w:rsid w:val="00E0457C"/>
    <w:rsid w:val="00E1501A"/>
    <w:rsid w:val="00E56A99"/>
    <w:rsid w:val="00EB4154"/>
    <w:rsid w:val="00EB7632"/>
    <w:rsid w:val="00EE5423"/>
    <w:rsid w:val="00EF5CE8"/>
    <w:rsid w:val="00F06A7B"/>
    <w:rsid w:val="00F7678B"/>
    <w:rsid w:val="00FF6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96EF8C"/>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10290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2022-08-08T17:18:00Z</cp:lastPrinted>
  <dcterms:created xsi:type="dcterms:W3CDTF">2023-10-16T19:31:00Z</dcterms:created>
  <dcterms:modified xsi:type="dcterms:W3CDTF">2023-10-16T19:31:00Z</dcterms:modified>
</cp:coreProperties>
</file>