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275288">
        <w:rPr>
          <w:rFonts w:ascii="Palatino Linotype" w:hAnsi="Palatino Linotype"/>
          <w:b/>
          <w:sz w:val="23"/>
          <w:szCs w:val="23"/>
        </w:rPr>
        <w:t>SEGUND</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275288">
        <w:rPr>
          <w:rFonts w:ascii="Palatino Linotype" w:hAnsi="Palatino Linotype"/>
          <w:b/>
          <w:sz w:val="23"/>
          <w:szCs w:val="23"/>
        </w:rPr>
        <w:t>QUINCE</w:t>
      </w:r>
      <w:r>
        <w:rPr>
          <w:rFonts w:ascii="Palatino Linotype" w:hAnsi="Palatino Linotype"/>
          <w:b/>
          <w:sz w:val="23"/>
          <w:szCs w:val="23"/>
        </w:rPr>
        <w:t xml:space="preserve"> DE JUNI</w:t>
      </w:r>
      <w:r w:rsidR="00D729DF">
        <w:rPr>
          <w:rFonts w:ascii="Palatino Linotype" w:hAnsi="Palatino Linotype"/>
          <w:b/>
          <w:sz w:val="23"/>
          <w:szCs w:val="23"/>
        </w:rPr>
        <w:t>O DE DOS MIL VEINTIDÓS, EN LOS</w:t>
      </w:r>
      <w:r w:rsidRPr="00940354">
        <w:rPr>
          <w:rFonts w:ascii="Palatino Linotype" w:hAnsi="Palatino Linotype"/>
          <w:b/>
          <w:sz w:val="23"/>
          <w:szCs w:val="23"/>
        </w:rPr>
        <w:t xml:space="preserve"> RECURSO</w:t>
      </w:r>
      <w:r w:rsidR="00D729DF">
        <w:rPr>
          <w:rFonts w:ascii="Palatino Linotype" w:hAnsi="Palatino Linotype"/>
          <w:b/>
          <w:sz w:val="23"/>
          <w:szCs w:val="23"/>
        </w:rPr>
        <w:t>S</w:t>
      </w:r>
      <w:r w:rsidRPr="00940354">
        <w:rPr>
          <w:rFonts w:ascii="Palatino Linotype" w:hAnsi="Palatino Linotype"/>
          <w:b/>
          <w:sz w:val="23"/>
          <w:szCs w:val="23"/>
        </w:rPr>
        <w:t xml:space="preserve"> DE REVISIÓN 0</w:t>
      </w:r>
      <w:r w:rsidR="00117722">
        <w:rPr>
          <w:rFonts w:ascii="Palatino Linotype" w:hAnsi="Palatino Linotype"/>
          <w:b/>
          <w:sz w:val="23"/>
          <w:szCs w:val="23"/>
        </w:rPr>
        <w:t>1041</w:t>
      </w:r>
      <w:r w:rsidRPr="00940354">
        <w:rPr>
          <w:rFonts w:ascii="Palatino Linotype" w:hAnsi="Palatino Linotype"/>
          <w:b/>
          <w:sz w:val="23"/>
          <w:szCs w:val="23"/>
        </w:rPr>
        <w:t>/INFOEM/IP/RR/2022</w:t>
      </w:r>
      <w:r w:rsidR="00117722">
        <w:rPr>
          <w:rFonts w:ascii="Palatino Linotype" w:hAnsi="Palatino Linotype"/>
          <w:b/>
          <w:sz w:val="23"/>
          <w:szCs w:val="23"/>
        </w:rPr>
        <w:t xml:space="preserve"> Y </w:t>
      </w:r>
      <w:r w:rsidR="00D729DF" w:rsidRPr="00D729DF">
        <w:rPr>
          <w:rFonts w:ascii="Palatino Linotype" w:hAnsi="Palatino Linotype"/>
          <w:b/>
          <w:sz w:val="23"/>
          <w:szCs w:val="23"/>
        </w:rPr>
        <w:t>01042/INFOEM/IP/RR/2022</w:t>
      </w:r>
      <w:r w:rsidR="00D729DF">
        <w:rPr>
          <w:rFonts w:ascii="Palatino Linotype" w:hAnsi="Palatino Linotype"/>
          <w:b/>
          <w:sz w:val="23"/>
          <w:szCs w:val="23"/>
        </w:rPr>
        <w:t xml:space="preserve"> ACUMULADOS</w:t>
      </w:r>
      <w:r w:rsidRPr="00940354">
        <w:rPr>
          <w:rFonts w:ascii="Palatino Linotype" w:hAnsi="Palatino Linotype"/>
          <w:b/>
          <w:sz w:val="23"/>
          <w:szCs w:val="23"/>
        </w:rPr>
        <w:t>.</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117722">
        <w:rPr>
          <w:rFonts w:ascii="Palatino Linotype" w:hAnsi="Palatino Linotype"/>
          <w:b/>
          <w:sz w:val="23"/>
          <w:szCs w:val="23"/>
        </w:rPr>
        <w:t>01041</w:t>
      </w:r>
      <w:r w:rsidRPr="00D36CD9">
        <w:rPr>
          <w:rFonts w:ascii="Palatino Linotype" w:hAnsi="Palatino Linotype"/>
          <w:b/>
          <w:sz w:val="23"/>
          <w:szCs w:val="23"/>
        </w:rPr>
        <w:t>/INFOEM/IP/RR/2022</w:t>
      </w:r>
      <w:r w:rsidR="00D729DF">
        <w:rPr>
          <w:rFonts w:ascii="Palatino Linotype" w:hAnsi="Palatino Linotype"/>
          <w:b/>
          <w:sz w:val="23"/>
          <w:szCs w:val="23"/>
        </w:rPr>
        <w:t xml:space="preserve"> Y</w:t>
      </w:r>
      <w:r w:rsidR="00D729DF" w:rsidRPr="00D729DF">
        <w:rPr>
          <w:rFonts w:ascii="Palatino Linotype" w:hAnsi="Palatino Linotype"/>
          <w:b/>
          <w:sz w:val="23"/>
          <w:szCs w:val="23"/>
        </w:rPr>
        <w:t xml:space="preserve"> 01042/INFOEM/IP/RR/2022 ACUMULADOS</w:t>
      </w:r>
      <w:r w:rsidRPr="00D36CD9">
        <w:rPr>
          <w:rFonts w:ascii="Palatino Linotype" w:hAnsi="Palatino Linotype"/>
          <w:b/>
          <w:sz w:val="23"/>
          <w:szCs w:val="23"/>
        </w:rPr>
        <w:t>,</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117722" w:rsidRPr="00117722" w:rsidRDefault="000B2A76" w:rsidP="00117722">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r w:rsidR="00275288" w:rsidRPr="00275288">
        <w:rPr>
          <w:rFonts w:ascii="Palatino Linotype" w:hAnsi="Palatino Linotype"/>
          <w:sz w:val="23"/>
          <w:szCs w:val="23"/>
        </w:rPr>
        <w:t>Ayuntamiento de Atlacomulco</w:t>
      </w:r>
      <w:r w:rsidRPr="00940354">
        <w:rPr>
          <w:rFonts w:ascii="Palatino Linotype" w:hAnsi="Palatino Linotype"/>
          <w:sz w:val="23"/>
          <w:szCs w:val="23"/>
        </w:rPr>
        <w:t xml:space="preserve">, que en esencia se le proporcionara </w:t>
      </w:r>
      <w:r w:rsidR="00117722">
        <w:rPr>
          <w:rFonts w:ascii="Palatino Linotype" w:hAnsi="Palatino Linotype"/>
          <w:sz w:val="23"/>
          <w:szCs w:val="23"/>
        </w:rPr>
        <w:t xml:space="preserve">los </w:t>
      </w:r>
      <w:r w:rsidR="00117722" w:rsidRPr="00117722">
        <w:rPr>
          <w:rFonts w:ascii="Palatino Linotype" w:hAnsi="Palatino Linotype"/>
          <w:sz w:val="23"/>
          <w:szCs w:val="23"/>
        </w:rPr>
        <w:t xml:space="preserve">recibos de nómina de todos los servidores públicos del </w:t>
      </w:r>
      <w:r w:rsidR="00117722">
        <w:rPr>
          <w:rFonts w:ascii="Palatino Linotype" w:hAnsi="Palatino Linotype"/>
          <w:sz w:val="23"/>
          <w:szCs w:val="23"/>
        </w:rPr>
        <w:lastRenderedPageBreak/>
        <w:t xml:space="preserve">Ayuntamiento de Atlacomulco y del </w:t>
      </w:r>
      <w:r w:rsidR="00117722" w:rsidRPr="00117722">
        <w:rPr>
          <w:rFonts w:ascii="Palatino Linotype" w:hAnsi="Palatino Linotype"/>
          <w:bCs/>
          <w:iCs/>
          <w:sz w:val="23"/>
          <w:szCs w:val="23"/>
        </w:rPr>
        <w:t>de Cultura Física y Deporte de Atlacomulco</w:t>
      </w:r>
      <w:r w:rsidR="00117722">
        <w:rPr>
          <w:rFonts w:ascii="Palatino Linotype" w:hAnsi="Palatino Linotype"/>
          <w:sz w:val="23"/>
          <w:szCs w:val="23"/>
        </w:rPr>
        <w:t xml:space="preserve">, generados del </w:t>
      </w:r>
      <w:r w:rsidR="00117722" w:rsidRPr="00117722">
        <w:rPr>
          <w:rFonts w:ascii="Palatino Linotype" w:hAnsi="Palatino Linotype"/>
          <w:sz w:val="23"/>
          <w:szCs w:val="23"/>
        </w:rPr>
        <w:t>01 de en</w:t>
      </w:r>
      <w:r w:rsidR="00117722">
        <w:rPr>
          <w:rFonts w:ascii="Palatino Linotype" w:hAnsi="Palatino Linotype"/>
          <w:sz w:val="23"/>
          <w:szCs w:val="23"/>
        </w:rPr>
        <w:t>ero al 15 de enero del año 2022, de la administración 2022-2024</w:t>
      </w:r>
    </w:p>
    <w:p w:rsidR="00275288" w:rsidRDefault="000B2A76" w:rsidP="000B2A76">
      <w:pPr>
        <w:spacing w:before="240" w:after="240" w:line="360" w:lineRule="auto"/>
        <w:jc w:val="both"/>
        <w:rPr>
          <w:rFonts w:ascii="Palatino Linotype" w:hAnsi="Palatino Linotype"/>
          <w:sz w:val="24"/>
          <w:szCs w:val="24"/>
        </w:rPr>
      </w:pPr>
      <w:r w:rsidRPr="000B2A76">
        <w:rPr>
          <w:rFonts w:ascii="Palatino Linotype" w:hAnsi="Palatino Linotype"/>
          <w:sz w:val="24"/>
          <w:szCs w:val="24"/>
        </w:rPr>
        <w:t xml:space="preserve">El Sujeto Obligado, proporciona respuesta, remitiendo </w:t>
      </w:r>
      <w:r w:rsidR="00275288">
        <w:rPr>
          <w:rFonts w:ascii="Palatino Linotype" w:hAnsi="Palatino Linotype"/>
          <w:sz w:val="24"/>
          <w:szCs w:val="24"/>
        </w:rPr>
        <w:t>los siguientes soportes documentales:</w:t>
      </w:r>
    </w:p>
    <w:p w:rsidR="00117722" w:rsidRPr="00117722" w:rsidRDefault="00117722" w:rsidP="00117722">
      <w:pPr>
        <w:spacing w:after="0" w:line="360" w:lineRule="auto"/>
        <w:jc w:val="both"/>
        <w:rPr>
          <w:rFonts w:ascii="Palatino Linotype" w:hAnsi="Palatino Linotype"/>
          <w:color w:val="000000" w:themeColor="text1"/>
        </w:rPr>
      </w:pPr>
      <w:r w:rsidRPr="00117722">
        <w:rPr>
          <w:rFonts w:ascii="Palatino Linotype" w:hAnsi="Palatino Linotype"/>
          <w:color w:val="000000" w:themeColor="text1"/>
        </w:rPr>
        <w:t>i) Acta número ACT/ATLACOMULCO/EXT/COM/2</w:t>
      </w:r>
      <w:r w:rsidRPr="00117722">
        <w:rPr>
          <w:rFonts w:ascii="Palatino Linotype" w:hAnsi="Palatino Linotype"/>
          <w:color w:val="000000" w:themeColor="text1"/>
          <w:vertAlign w:val="superscript"/>
        </w:rPr>
        <w:t>a</w:t>
      </w:r>
      <w:r w:rsidRPr="00117722">
        <w:rPr>
          <w:rFonts w:ascii="Palatino Linotype" w:hAnsi="Palatino Linotype"/>
          <w:color w:val="000000" w:themeColor="text1"/>
        </w:rPr>
        <w:t>/2022, de la Segunda Sesión Extraordinaria del Comité de Transparencia del Ayuntamiento de Atlacomulco, del ocho de febrero de dos mil veintidós</w:t>
      </w:r>
      <w:r>
        <w:rPr>
          <w:rFonts w:ascii="Palatino Linotype" w:hAnsi="Palatino Linotype"/>
          <w:color w:val="000000" w:themeColor="text1"/>
        </w:rPr>
        <w:t>.</w:t>
      </w:r>
    </w:p>
    <w:p w:rsidR="00117722" w:rsidRPr="00117722" w:rsidRDefault="00117722" w:rsidP="00117722">
      <w:pPr>
        <w:spacing w:after="0" w:line="360" w:lineRule="auto"/>
        <w:jc w:val="both"/>
        <w:rPr>
          <w:rFonts w:ascii="Palatino Linotype" w:hAnsi="Palatino Linotype"/>
          <w:bCs/>
          <w:color w:val="000000" w:themeColor="text1"/>
        </w:rPr>
      </w:pPr>
      <w:r w:rsidRPr="00117722">
        <w:rPr>
          <w:rFonts w:ascii="Palatino Linotype" w:hAnsi="Palatino Linotype"/>
          <w:bCs/>
          <w:color w:val="000000" w:themeColor="text1"/>
        </w:rPr>
        <w:t xml:space="preserve">ii) Oficio número TMA/STE/185/02/2022 del dieciséis de febrero de dos mil veintidós, signado por el Tesorero Municipal y dirigido a la Titular de la Unidad de Transparencia, por medio del cual manifiesta lo siguiente: </w:t>
      </w:r>
    </w:p>
    <w:p w:rsidR="00117722" w:rsidRPr="00117722" w:rsidRDefault="00117722" w:rsidP="00117722">
      <w:pPr>
        <w:spacing w:after="0" w:line="360" w:lineRule="auto"/>
        <w:jc w:val="both"/>
        <w:rPr>
          <w:rFonts w:ascii="Palatino Linotype" w:hAnsi="Palatino Linotype"/>
          <w:bCs/>
          <w:color w:val="000000" w:themeColor="text1"/>
        </w:rPr>
      </w:pPr>
    </w:p>
    <w:p w:rsidR="00117722" w:rsidRPr="00117722" w:rsidRDefault="00117722" w:rsidP="00117722">
      <w:pPr>
        <w:spacing w:after="0" w:line="360" w:lineRule="auto"/>
        <w:ind w:left="567" w:right="567"/>
        <w:jc w:val="both"/>
        <w:rPr>
          <w:rFonts w:ascii="Palatino Linotype" w:hAnsi="Palatino Linotype"/>
          <w:i/>
          <w:iCs/>
          <w:color w:val="000000" w:themeColor="text1"/>
          <w:sz w:val="20"/>
          <w:szCs w:val="20"/>
        </w:rPr>
      </w:pPr>
      <w:r w:rsidRPr="00117722">
        <w:rPr>
          <w:rFonts w:ascii="Palatino Linotype" w:hAnsi="Palatino Linotype"/>
          <w:i/>
          <w:iCs/>
          <w:color w:val="000000" w:themeColor="text1"/>
          <w:sz w:val="20"/>
          <w:szCs w:val="20"/>
        </w:rPr>
        <w:t>“…esta unidad administrative emite respuesta adjuntando en formato PDF, Versión Publica, de los Recibos de Nomina pagados a los servidores públicos que laboran en el Ayuntamiento de Atlacomulco correspondientes al periodo del 1 al 15 de enero de 2022.</w:t>
      </w:r>
    </w:p>
    <w:p w:rsidR="00117722" w:rsidRPr="00117722" w:rsidRDefault="00117722" w:rsidP="00117722">
      <w:pPr>
        <w:spacing w:after="0" w:line="360" w:lineRule="auto"/>
        <w:ind w:left="567" w:right="567"/>
        <w:jc w:val="both"/>
        <w:rPr>
          <w:rFonts w:ascii="Palatino Linotype" w:hAnsi="Palatino Linotype"/>
          <w:i/>
          <w:iCs/>
          <w:color w:val="000000" w:themeColor="text1"/>
          <w:sz w:val="20"/>
          <w:szCs w:val="20"/>
        </w:rPr>
      </w:pPr>
    </w:p>
    <w:p w:rsidR="00117722" w:rsidRPr="00117722" w:rsidRDefault="00117722" w:rsidP="00117722">
      <w:pPr>
        <w:spacing w:after="0" w:line="360" w:lineRule="auto"/>
        <w:ind w:left="567" w:right="567"/>
        <w:jc w:val="both"/>
        <w:rPr>
          <w:rFonts w:ascii="Palatino Linotype" w:hAnsi="Palatino Linotype"/>
          <w:i/>
          <w:iCs/>
          <w:color w:val="000000" w:themeColor="text1"/>
          <w:sz w:val="20"/>
          <w:szCs w:val="20"/>
        </w:rPr>
      </w:pPr>
      <w:r w:rsidRPr="00117722">
        <w:rPr>
          <w:rFonts w:ascii="Palatino Linotype" w:hAnsi="Palatino Linotype"/>
          <w:i/>
          <w:iCs/>
          <w:color w:val="000000" w:themeColor="text1"/>
          <w:sz w:val="20"/>
          <w:szCs w:val="20"/>
        </w:rPr>
        <w:t>Asimismo, se informa que la versión pública fue aprobada en la Segunda Sesión Extraordinaria del Comité de Transparencia llevada a cabo el día 8 de febrero de 2022.</w:t>
      </w:r>
    </w:p>
    <w:p w:rsidR="00117722" w:rsidRPr="00117722" w:rsidRDefault="00117722" w:rsidP="00117722">
      <w:pPr>
        <w:spacing w:after="0" w:line="360" w:lineRule="auto"/>
        <w:ind w:left="567" w:right="567"/>
        <w:jc w:val="both"/>
        <w:rPr>
          <w:rFonts w:ascii="Palatino Linotype" w:hAnsi="Palatino Linotype"/>
          <w:i/>
          <w:iCs/>
          <w:color w:val="000000" w:themeColor="text1"/>
          <w:sz w:val="20"/>
          <w:szCs w:val="20"/>
        </w:rPr>
      </w:pPr>
      <w:r w:rsidRPr="00117722">
        <w:rPr>
          <w:rFonts w:ascii="Palatino Linotype" w:hAnsi="Palatino Linotype"/>
          <w:bCs/>
          <w:i/>
          <w:iCs/>
          <w:color w:val="000000" w:themeColor="text1"/>
          <w:sz w:val="20"/>
          <w:szCs w:val="20"/>
        </w:rPr>
        <w:t>…” (Sic)</w:t>
      </w:r>
    </w:p>
    <w:p w:rsidR="00117722" w:rsidRPr="00117722" w:rsidRDefault="00117722" w:rsidP="00117722">
      <w:pPr>
        <w:spacing w:after="0" w:line="360" w:lineRule="auto"/>
        <w:jc w:val="both"/>
        <w:rPr>
          <w:rFonts w:ascii="Palatino Linotype" w:hAnsi="Palatino Linotype"/>
          <w:bCs/>
          <w:color w:val="000000" w:themeColor="text1"/>
        </w:rPr>
      </w:pPr>
    </w:p>
    <w:p w:rsidR="00117722" w:rsidRPr="00117722" w:rsidRDefault="00117722" w:rsidP="00117722">
      <w:pPr>
        <w:spacing w:after="0" w:line="360" w:lineRule="auto"/>
        <w:jc w:val="both"/>
        <w:rPr>
          <w:rFonts w:ascii="Palatino Linotype" w:hAnsi="Palatino Linotype"/>
          <w:bCs/>
          <w:color w:val="000000" w:themeColor="text1"/>
        </w:rPr>
      </w:pPr>
      <w:r w:rsidRPr="00117722">
        <w:rPr>
          <w:rFonts w:ascii="Palatino Linotype" w:hAnsi="Palatino Linotype"/>
          <w:bCs/>
          <w:color w:val="000000" w:themeColor="text1"/>
        </w:rPr>
        <w:t xml:space="preserve">iii) </w:t>
      </w:r>
      <w:bookmarkStart w:id="0" w:name="_Hlk99568253"/>
      <w:bookmarkStart w:id="1" w:name="_Hlk99485752"/>
      <w:r w:rsidRPr="00117722">
        <w:rPr>
          <w:rFonts w:ascii="Palatino Linotype" w:hAnsi="Palatino Linotype"/>
          <w:bCs/>
          <w:color w:val="000000" w:themeColor="text1"/>
        </w:rPr>
        <w:t>Versión pública de setecientos setenta recibos de nómina, de la primera quincena de enero de dos mil veintidós</w:t>
      </w:r>
      <w:bookmarkEnd w:id="0"/>
      <w:r w:rsidRPr="00117722">
        <w:rPr>
          <w:rFonts w:ascii="Palatino Linotype" w:hAnsi="Palatino Linotype"/>
          <w:bCs/>
          <w:color w:val="000000" w:themeColor="text1"/>
        </w:rPr>
        <w:t>.</w:t>
      </w:r>
    </w:p>
    <w:bookmarkEnd w:id="1"/>
    <w:p w:rsidR="004A63C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Ante la respuesta proporcionada por el Sujeto Obliga</w:t>
      </w:r>
      <w:r w:rsidR="00275288">
        <w:rPr>
          <w:rFonts w:ascii="Palatino Linotype" w:hAnsi="Palatino Linotype"/>
          <w:sz w:val="23"/>
          <w:szCs w:val="23"/>
        </w:rPr>
        <w:t xml:space="preserve">do, el particular se inconforma, por la </w:t>
      </w:r>
      <w:r w:rsidR="00117722">
        <w:rPr>
          <w:rFonts w:ascii="Palatino Linotype" w:hAnsi="Palatino Linotype"/>
          <w:sz w:val="23"/>
          <w:szCs w:val="23"/>
        </w:rPr>
        <w:t>clasificación de la información.</w:t>
      </w:r>
    </w:p>
    <w:p w:rsidR="000B2A76" w:rsidRPr="00D36CD9" w:rsidRDefault="00AF1499" w:rsidP="00D36CD9">
      <w:pPr>
        <w:spacing w:before="240" w:after="240" w:line="360" w:lineRule="auto"/>
        <w:jc w:val="both"/>
        <w:rPr>
          <w:rFonts w:ascii="Palatino Linotype" w:hAnsi="Palatino Linotype"/>
          <w:sz w:val="24"/>
          <w:lang w:val="es-ES_tradnl"/>
        </w:rPr>
      </w:pPr>
      <w:r>
        <w:rPr>
          <w:rFonts w:ascii="Palatino Linotype" w:hAnsi="Palatino Linotype"/>
          <w:sz w:val="24"/>
        </w:rPr>
        <w:lastRenderedPageBreak/>
        <w:t xml:space="preserve">Es de señalar que el Sujeto Obligado </w:t>
      </w:r>
      <w:r w:rsidR="00275288">
        <w:rPr>
          <w:rFonts w:ascii="Palatino Linotype" w:hAnsi="Palatino Linotype"/>
          <w:sz w:val="24"/>
        </w:rPr>
        <w:t xml:space="preserve">rindió </w:t>
      </w:r>
      <w:r w:rsidR="000B2A76" w:rsidRPr="00940354">
        <w:rPr>
          <w:rFonts w:ascii="Palatino Linotype" w:hAnsi="Palatino Linotype"/>
          <w:sz w:val="24"/>
        </w:rPr>
        <w:t>Informe Justificado</w:t>
      </w:r>
      <w:r w:rsidR="00275288">
        <w:rPr>
          <w:rFonts w:ascii="Palatino Linotype" w:hAnsi="Palatino Linotype"/>
          <w:sz w:val="24"/>
        </w:rPr>
        <w:t xml:space="preserve"> en el que medularmente ratificó su respuesta inicial</w:t>
      </w:r>
      <w:r w:rsidR="000B2A76" w:rsidRPr="00940354">
        <w:rPr>
          <w:rFonts w:ascii="Palatino Linotype" w:hAnsi="Palatino Linotype"/>
          <w:sz w:val="24"/>
        </w:rPr>
        <w:t xml:space="preserve">, </w:t>
      </w:r>
      <w:r>
        <w:rPr>
          <w:rFonts w:ascii="Palatino Linotype" w:hAnsi="Palatino Linotype"/>
          <w:sz w:val="24"/>
        </w:rPr>
        <w:t>asimismo el particular no remitió manifestaciones o cualquier tipo de manifestación que a su derecho conviniera.</w:t>
      </w:r>
      <w:r w:rsidR="000B2A76">
        <w:rPr>
          <w:rFonts w:ascii="Palatino Linotype" w:eastAsia="Arial Unicode MS" w:hAnsi="Palatino Linotype" w:cs="Arial Unicode MS"/>
          <w:iCs/>
          <w:sz w:val="24"/>
          <w:lang w:val="es-ES"/>
        </w:rPr>
        <w:t xml:space="preserve"> </w:t>
      </w: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275288">
        <w:rPr>
          <w:rFonts w:ascii="Palatino Linotype" w:hAnsi="Palatino Linotype"/>
          <w:sz w:val="23"/>
          <w:szCs w:val="23"/>
        </w:rPr>
        <w:t>modifi</w:t>
      </w:r>
      <w:r w:rsidR="00AF1499">
        <w:rPr>
          <w:rFonts w:ascii="Palatino Linotype" w:hAnsi="Palatino Linotype"/>
          <w:sz w:val="23"/>
          <w:szCs w:val="23"/>
        </w:rPr>
        <w:t xml:space="preserve">car la respuesta y posteriormente </w:t>
      </w:r>
      <w:r>
        <w:rPr>
          <w:rFonts w:ascii="Palatino Linotype" w:hAnsi="Palatino Linotype"/>
          <w:sz w:val="23"/>
          <w:szCs w:val="23"/>
        </w:rPr>
        <w:t>en su resolutivo SEGUNDO o</w:t>
      </w:r>
      <w:r w:rsidRPr="00C1580A">
        <w:rPr>
          <w:rFonts w:ascii="Palatino Linotype" w:hAnsi="Palatino Linotype"/>
          <w:sz w:val="23"/>
          <w:szCs w:val="23"/>
        </w:rPr>
        <w:t xml:space="preserve">rdenar </w:t>
      </w:r>
      <w:r w:rsidR="00AF1499">
        <w:rPr>
          <w:rFonts w:ascii="Palatino Linotype" w:hAnsi="Palatino Linotype"/>
          <w:sz w:val="23"/>
          <w:szCs w:val="23"/>
        </w:rPr>
        <w:t>lo siguiente:</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117722" w:rsidRPr="00117722" w:rsidRDefault="00AF1499" w:rsidP="00117722">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117722" w:rsidRPr="00117722">
        <w:rPr>
          <w:rFonts w:ascii="Palatino Linotype" w:hAnsi="Palatino Linotype"/>
          <w:b/>
          <w:bCs/>
          <w:i/>
          <w:szCs w:val="23"/>
        </w:rPr>
        <w:t>SEGUNDO. Se ORDENA al Ente Recurrido, a efecto de que, entregue, a través del Sistema de Acceso a la Información Mexiquense (SAIMEX), en versión pública, lo siguiente:</w:t>
      </w:r>
    </w:p>
    <w:p w:rsidR="00117722" w:rsidRPr="00117722" w:rsidRDefault="00117722" w:rsidP="00117722">
      <w:pPr>
        <w:autoSpaceDE w:val="0"/>
        <w:autoSpaceDN w:val="0"/>
        <w:adjustRightInd w:val="0"/>
        <w:spacing w:line="276" w:lineRule="auto"/>
        <w:ind w:left="567" w:right="990"/>
        <w:contextualSpacing/>
        <w:jc w:val="both"/>
        <w:rPr>
          <w:rFonts w:ascii="Palatino Linotype" w:hAnsi="Palatino Linotype"/>
          <w:b/>
          <w:bCs/>
          <w:i/>
          <w:szCs w:val="23"/>
        </w:rPr>
      </w:pPr>
    </w:p>
    <w:p w:rsidR="00117722" w:rsidRPr="00117722" w:rsidRDefault="00117722" w:rsidP="00117722">
      <w:pPr>
        <w:autoSpaceDE w:val="0"/>
        <w:autoSpaceDN w:val="0"/>
        <w:adjustRightInd w:val="0"/>
        <w:spacing w:line="276" w:lineRule="auto"/>
        <w:ind w:left="567" w:right="990"/>
        <w:contextualSpacing/>
        <w:jc w:val="both"/>
        <w:rPr>
          <w:rFonts w:ascii="Palatino Linotype" w:hAnsi="Palatino Linotype"/>
          <w:bCs/>
          <w:i/>
          <w:szCs w:val="23"/>
        </w:rPr>
      </w:pPr>
      <w:r w:rsidRPr="00117722">
        <w:rPr>
          <w:rFonts w:ascii="Palatino Linotype" w:hAnsi="Palatino Linotype"/>
          <w:bCs/>
          <w:i/>
          <w:szCs w:val="23"/>
        </w:rPr>
        <w:t>Los recibos de nómina entregados en respuesta a la solicitud número 00020/ATLACOM/IP/2022, así como, aquellos de la primera quincena de enero de dos mil veintidós, de los servidores públicos adscritos al Instituto Municipal de Cultura Física y Deporte de Atlacomulco.</w:t>
      </w:r>
    </w:p>
    <w:p w:rsidR="00117722" w:rsidRPr="00117722" w:rsidRDefault="00117722" w:rsidP="00117722">
      <w:pPr>
        <w:autoSpaceDE w:val="0"/>
        <w:autoSpaceDN w:val="0"/>
        <w:adjustRightInd w:val="0"/>
        <w:spacing w:line="276" w:lineRule="auto"/>
        <w:ind w:left="567" w:right="990"/>
        <w:contextualSpacing/>
        <w:jc w:val="both"/>
        <w:rPr>
          <w:rFonts w:ascii="Palatino Linotype" w:hAnsi="Palatino Linotype"/>
          <w:bCs/>
          <w:i/>
          <w:szCs w:val="23"/>
        </w:rPr>
      </w:pPr>
    </w:p>
    <w:p w:rsidR="00AF1499" w:rsidRPr="00117722" w:rsidRDefault="00117722" w:rsidP="00117722">
      <w:pPr>
        <w:autoSpaceDE w:val="0"/>
        <w:autoSpaceDN w:val="0"/>
        <w:adjustRightInd w:val="0"/>
        <w:spacing w:line="276" w:lineRule="auto"/>
        <w:ind w:left="567" w:right="990"/>
        <w:contextualSpacing/>
        <w:jc w:val="both"/>
        <w:rPr>
          <w:rFonts w:ascii="Palatino Linotype" w:hAnsi="Palatino Linotype"/>
          <w:bCs/>
          <w:i/>
          <w:szCs w:val="23"/>
        </w:rPr>
      </w:pPr>
      <w:r w:rsidRPr="00117722">
        <w:rPr>
          <w:rFonts w:ascii="Palatino Linotype" w:hAnsi="Palatino Linotype"/>
          <w:bCs/>
          <w:i/>
          <w:szCs w:val="23"/>
        </w:rPr>
        <w:t>Además, deberá proporcionar el Acuerdo de Clasificación donde el Comité de Transparencia, confirme la eliminación de los datos o información clasificada, en términos del Considerando QUINTO y SEXTO, en la versión pública, de conformidad con los artículos 49, fracciones II y VIII, 132, fracción II y 149 de la Ley de Transparencia y Acceso a la Información Pública del</w:t>
      </w:r>
      <w:r>
        <w:rPr>
          <w:rFonts w:ascii="Palatino Linotype" w:hAnsi="Palatino Linotype"/>
          <w:bCs/>
          <w:i/>
          <w:szCs w:val="23"/>
        </w:rPr>
        <w:t xml:space="preserve"> Estado de México y Municipios.</w:t>
      </w:r>
      <w:r w:rsidR="00AF1499"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D729DF" w:rsidRDefault="000B2A76" w:rsidP="000B2A76">
      <w:pPr>
        <w:spacing w:line="360" w:lineRule="auto"/>
        <w:jc w:val="both"/>
        <w:rPr>
          <w:rFonts w:ascii="Palatino Linotype" w:hAnsi="Palatino Linotype"/>
          <w:b/>
          <w:iCs/>
          <w:sz w:val="23"/>
          <w:szCs w:val="23"/>
          <w:lang w:val="es-ES"/>
        </w:rPr>
      </w:pPr>
      <w:r>
        <w:rPr>
          <w:rFonts w:ascii="Palatino Linotype" w:hAnsi="Palatino Linotype"/>
          <w:sz w:val="23"/>
          <w:szCs w:val="23"/>
          <w:lang w:val="es-ES"/>
        </w:rPr>
        <w:t>En ese sentido</w:t>
      </w:r>
      <w:r>
        <w:rPr>
          <w:rFonts w:ascii="Palatino Linotype" w:hAnsi="Palatino Linotype"/>
          <w:sz w:val="23"/>
          <w:szCs w:val="23"/>
        </w:rPr>
        <w:t xml:space="preserve"> debe mencionarse que, t</w:t>
      </w:r>
      <w:r w:rsidRPr="00EE051D">
        <w:rPr>
          <w:rFonts w:ascii="Palatino Linotype" w:hAnsi="Palatino Linotype"/>
          <w:sz w:val="23"/>
          <w:szCs w:val="23"/>
        </w:rPr>
        <w:t>ratándose de información reservada</w:t>
      </w:r>
      <w:r w:rsidRPr="00AE3307">
        <w:rPr>
          <w:rFonts w:ascii="Palatino Linotype" w:hAnsi="Palatino Linotype"/>
          <w:b/>
          <w:sz w:val="23"/>
          <w:szCs w:val="23"/>
        </w:rPr>
        <w:t>,</w:t>
      </w:r>
      <w:r w:rsidRPr="00723296">
        <w:rPr>
          <w:rFonts w:ascii="Palatino Linotype" w:hAnsi="Palatino Linotype"/>
          <w:sz w:val="23"/>
          <w:szCs w:val="23"/>
        </w:rPr>
        <w:t xml:space="preserve"> se deberá clasificar </w:t>
      </w:r>
      <w:r w:rsidR="00D729DF">
        <w:rPr>
          <w:rFonts w:ascii="Palatino Linotype" w:hAnsi="Palatino Linotype"/>
          <w:sz w:val="23"/>
          <w:szCs w:val="23"/>
        </w:rPr>
        <w:t xml:space="preserve">aquella que sea relativa al </w:t>
      </w:r>
      <w:r w:rsidR="00D729DF" w:rsidRPr="00D729DF">
        <w:rPr>
          <w:rFonts w:ascii="Palatino Linotype" w:hAnsi="Palatino Linotype"/>
          <w:b/>
          <w:bCs/>
          <w:sz w:val="23"/>
          <w:szCs w:val="23"/>
        </w:rPr>
        <w:t>nombre de los elementos operativos de la Comisaría Municipal</w:t>
      </w:r>
      <w:r w:rsidR="00D729DF" w:rsidRPr="00D729DF">
        <w:rPr>
          <w:rFonts w:ascii="Palatino Linotype" w:hAnsi="Palatino Linotype"/>
          <w:b/>
          <w:iCs/>
          <w:sz w:val="23"/>
          <w:szCs w:val="23"/>
          <w:lang w:val="es-ES"/>
        </w:rPr>
        <w:t xml:space="preserve">, y no del personal </w:t>
      </w:r>
      <w:r w:rsidR="00D729DF" w:rsidRPr="00D729DF">
        <w:rPr>
          <w:rFonts w:ascii="Palatino Linotype" w:hAnsi="Palatino Linotype"/>
          <w:b/>
          <w:bCs/>
          <w:iCs/>
          <w:sz w:val="23"/>
          <w:szCs w:val="23"/>
        </w:rPr>
        <w:t>administrativo, de apoyo y personal de mando</w:t>
      </w:r>
      <w:r w:rsidRPr="003D5DCE">
        <w:rPr>
          <w:rFonts w:ascii="Palatino Linotype" w:eastAsia="Calibri" w:hAnsi="Palatino Linotype" w:cs="Tahoma"/>
          <w:b/>
          <w:bCs/>
        </w:rPr>
        <w:t>,</w:t>
      </w:r>
      <w:r>
        <w:rPr>
          <w:rFonts w:ascii="Palatino Linotype" w:eastAsia="Calibri" w:hAnsi="Palatino Linotype" w:cs="Tahoma"/>
          <w:b/>
          <w:bCs/>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 xml:space="preserve">debiendo valorar el daño que </w:t>
      </w:r>
      <w:r w:rsidRPr="00723296">
        <w:rPr>
          <w:rFonts w:ascii="Palatino Linotype" w:hAnsi="Palatino Linotype"/>
          <w:b/>
          <w:sz w:val="23"/>
          <w:szCs w:val="23"/>
        </w:rPr>
        <w:lastRenderedPageBreak/>
        <w:t>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xml:space="preserve">, los Lineamientos Generales en Materia de Clasificación y Desclasificación de la Información, así como para la elaboración de versiones públicas, establecen en su </w:t>
      </w:r>
      <w:r w:rsidRPr="00A408AE">
        <w:rPr>
          <w:rFonts w:ascii="Palatino Linotype" w:hAnsi="Palatino Linotype"/>
          <w:sz w:val="23"/>
          <w:szCs w:val="23"/>
        </w:rPr>
        <w:lastRenderedPageBreak/>
        <w:t>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w:t>
      </w:r>
      <w:r w:rsidRPr="00AE3307">
        <w:rPr>
          <w:rFonts w:ascii="Palatino Linotype" w:hAnsi="Palatino Linotype"/>
          <w:b/>
          <w:sz w:val="23"/>
          <w:szCs w:val="23"/>
        </w:rPr>
        <w:lastRenderedPageBreak/>
        <w:t>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117722">
        <w:rPr>
          <w:rFonts w:ascii="Palatino Linotype" w:hAnsi="Palatino Linotype"/>
          <w:b/>
          <w:bCs/>
          <w:sz w:val="23"/>
          <w:szCs w:val="23"/>
        </w:rPr>
        <w:t>1041</w:t>
      </w:r>
      <w:r w:rsidRPr="00EA7BDA">
        <w:rPr>
          <w:rFonts w:ascii="Palatino Linotype" w:hAnsi="Palatino Linotype"/>
          <w:b/>
          <w:bCs/>
          <w:sz w:val="23"/>
          <w:szCs w:val="23"/>
        </w:rPr>
        <w:t>/INFOEM/IP/RR/2022</w:t>
      </w:r>
      <w:r w:rsidR="00117722">
        <w:rPr>
          <w:rFonts w:ascii="Palatino Linotype" w:hAnsi="Palatino Linotype"/>
          <w:b/>
          <w:bCs/>
          <w:sz w:val="23"/>
          <w:szCs w:val="23"/>
        </w:rPr>
        <w:t xml:space="preserve"> </w:t>
      </w:r>
      <w:r w:rsidR="00D729DF">
        <w:rPr>
          <w:rFonts w:ascii="Palatino Linotype" w:hAnsi="Palatino Linotype"/>
          <w:b/>
          <w:bCs/>
          <w:sz w:val="23"/>
          <w:szCs w:val="23"/>
        </w:rPr>
        <w:t xml:space="preserve">Y </w:t>
      </w:r>
      <w:r w:rsidR="00D729DF" w:rsidRPr="00D729DF">
        <w:rPr>
          <w:rFonts w:ascii="Palatino Linotype" w:hAnsi="Palatino Linotype"/>
          <w:b/>
          <w:bCs/>
          <w:sz w:val="23"/>
          <w:szCs w:val="23"/>
        </w:rPr>
        <w:t>01042/INFOEM/IP/RR/2022 ACUMULADOS</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lastRenderedPageBreak/>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D729DF"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560070</wp:posOffset>
                </wp:positionV>
                <wp:extent cx="5343525" cy="47434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343525" cy="474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1576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44.1pt" to="431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bookmarkStart w:id="2" w:name="_GoBack"/>
      <w:bookmarkEnd w:id="2"/>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9B279D"/>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8B" w:rsidRDefault="00F7678B" w:rsidP="000B2A76">
      <w:pPr>
        <w:spacing w:after="0" w:line="240" w:lineRule="auto"/>
      </w:pPr>
      <w:r>
        <w:separator/>
      </w:r>
    </w:p>
  </w:endnote>
  <w:endnote w:type="continuationSeparator" w:id="0">
    <w:p w:rsidR="00F7678B" w:rsidRDefault="00F7678B"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279D">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279D">
      <w:rPr>
        <w:rFonts w:ascii="Arial" w:hAnsi="Arial" w:cs="Arial"/>
        <w:b/>
        <w:bCs/>
        <w:noProof/>
        <w:sz w:val="20"/>
        <w:szCs w:val="20"/>
      </w:rPr>
      <w:t>8</w:t>
    </w:r>
    <w:r w:rsidRPr="00986599">
      <w:rPr>
        <w:rFonts w:ascii="Arial" w:hAnsi="Arial" w:cs="Arial"/>
        <w:b/>
        <w:bCs/>
        <w:sz w:val="20"/>
        <w:szCs w:val="20"/>
      </w:rPr>
      <w:fldChar w:fldCharType="end"/>
    </w:r>
  </w:p>
  <w:p w:rsidR="00D758BE" w:rsidRDefault="009B279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8B" w:rsidRDefault="00F7678B" w:rsidP="000B2A76">
      <w:pPr>
        <w:spacing w:after="0" w:line="240" w:lineRule="auto"/>
      </w:pPr>
      <w:r>
        <w:separator/>
      </w:r>
    </w:p>
  </w:footnote>
  <w:footnote w:type="continuationSeparator" w:id="0">
    <w:p w:rsidR="00F7678B" w:rsidRDefault="00F7678B"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B27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w:t>
    </w:r>
    <w:r w:rsidR="00D729DF">
      <w:rPr>
        <w:rFonts w:ascii="Palatino Linotype" w:hAnsi="Palatino Linotype" w:cs="Arial"/>
        <w:b/>
        <w:sz w:val="22"/>
        <w:szCs w:val="22"/>
      </w:rPr>
      <w:t>S</w:t>
    </w:r>
    <w:r w:rsidRPr="00FB2266">
      <w:rPr>
        <w:rFonts w:ascii="Palatino Linotype" w:hAnsi="Palatino Linotype" w:cs="Arial"/>
        <w:b/>
        <w:sz w:val="22"/>
        <w:szCs w:val="22"/>
      </w:rPr>
      <w:t xml:space="preserve"> DE REVISIÓN </w:t>
    </w:r>
    <w:r w:rsidR="00117722" w:rsidRPr="00117722">
      <w:rPr>
        <w:rFonts w:ascii="Palatino Linotype" w:hAnsi="Palatino Linotype" w:cs="Arial"/>
        <w:b/>
        <w:bCs/>
        <w:sz w:val="22"/>
        <w:szCs w:val="22"/>
        <w:lang w:val="es-MX"/>
      </w:rPr>
      <w:t xml:space="preserve">01041/INFOEM/IP/RR/2022 </w:t>
    </w:r>
    <w:r w:rsidR="00D729DF" w:rsidRPr="00D729DF">
      <w:rPr>
        <w:rFonts w:ascii="Palatino Linotype" w:hAnsi="Palatino Linotype" w:cs="Arial"/>
        <w:b/>
        <w:bCs/>
        <w:sz w:val="22"/>
        <w:szCs w:val="22"/>
        <w:lang w:val="es-MX"/>
      </w:rPr>
      <w:t>Y 01042/INFOEM/IP/RR/2022 ACUMULADO</w:t>
    </w:r>
    <w:r w:rsidR="00D729DF">
      <w:rPr>
        <w:rFonts w:ascii="Palatino Linotype" w:hAnsi="Palatino Linotype" w:cs="Arial"/>
        <w:b/>
        <w:bCs/>
        <w:sz w:val="22"/>
        <w:szCs w:val="22"/>
        <w:lang w:val="es-MX"/>
      </w:rPr>
      <w:t>S</w:t>
    </w:r>
  </w:p>
  <w:p w:rsidR="000B1C1F" w:rsidRPr="000D4A99" w:rsidRDefault="009B279D"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B27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9B279D" w:rsidP="007263BB">
    <w:pPr>
      <w:pStyle w:val="Encabezado"/>
      <w:jc w:val="right"/>
      <w:rPr>
        <w:rFonts w:ascii="Arial" w:hAnsi="Arial" w:cs="Arial"/>
        <w:sz w:val="20"/>
        <w:szCs w:val="20"/>
      </w:rPr>
    </w:pPr>
  </w:p>
  <w:p w:rsidR="00F029C2" w:rsidRPr="000D4A99" w:rsidRDefault="009B279D" w:rsidP="007263BB">
    <w:pPr>
      <w:pStyle w:val="Encabezado"/>
      <w:jc w:val="right"/>
      <w:rPr>
        <w:rFonts w:ascii="Arial" w:hAnsi="Arial" w:cs="Arial"/>
        <w:sz w:val="20"/>
        <w:szCs w:val="20"/>
      </w:rPr>
    </w:pPr>
  </w:p>
  <w:p w:rsidR="00F029C2" w:rsidRPr="000D4A99" w:rsidRDefault="009B279D"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9B279D" w:rsidP="007263BB">
    <w:pPr>
      <w:pStyle w:val="Encabezado"/>
      <w:jc w:val="right"/>
      <w:rPr>
        <w:rFonts w:ascii="Palatino Linotype" w:hAnsi="Palatino Linotype" w:cs="Arial"/>
        <w:sz w:val="20"/>
        <w:szCs w:val="20"/>
      </w:rPr>
    </w:pPr>
  </w:p>
  <w:p w:rsidR="00F029C2" w:rsidRPr="000D4A99" w:rsidRDefault="009B279D"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B2A76"/>
    <w:rsid w:val="00117722"/>
    <w:rsid w:val="00275288"/>
    <w:rsid w:val="004A63C4"/>
    <w:rsid w:val="006D1240"/>
    <w:rsid w:val="0081741B"/>
    <w:rsid w:val="009B279D"/>
    <w:rsid w:val="00A0212F"/>
    <w:rsid w:val="00A22313"/>
    <w:rsid w:val="00AF1499"/>
    <w:rsid w:val="00BD6E2C"/>
    <w:rsid w:val="00C21413"/>
    <w:rsid w:val="00D04030"/>
    <w:rsid w:val="00D36CD9"/>
    <w:rsid w:val="00D729DF"/>
    <w:rsid w:val="00E1501A"/>
    <w:rsid w:val="00EB4154"/>
    <w:rsid w:val="00EF6D60"/>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1661</Words>
  <Characters>9140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2022-06-20T17:17:00Z</cp:lastPrinted>
  <dcterms:created xsi:type="dcterms:W3CDTF">2022-06-17T20:30:00Z</dcterms:created>
  <dcterms:modified xsi:type="dcterms:W3CDTF">2022-06-20T17:18:00Z</dcterms:modified>
</cp:coreProperties>
</file>