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94A24" w14:textId="4E680FE2" w:rsidR="00FF4A05" w:rsidRPr="000D7039" w:rsidRDefault="00B45FED" w:rsidP="00FF4A05">
      <w:pPr>
        <w:spacing w:before="240" w:after="240" w:line="360" w:lineRule="auto"/>
        <w:jc w:val="both"/>
        <w:rPr>
          <w:rFonts w:ascii="Palatino Linotype" w:hAnsi="Palatino Linotype"/>
          <w:b/>
          <w:sz w:val="23"/>
          <w:szCs w:val="23"/>
        </w:rPr>
      </w:pPr>
      <w:r>
        <w:rPr>
          <w:rFonts w:ascii="Palatino Linotype" w:hAnsi="Palatino Linotype"/>
          <w:b/>
          <w:sz w:val="23"/>
          <w:szCs w:val="23"/>
        </w:rPr>
        <w:t>OPINIÓ</w:t>
      </w:r>
      <w:r w:rsidR="00797DB7">
        <w:rPr>
          <w:rFonts w:ascii="Palatino Linotype" w:hAnsi="Palatino Linotype"/>
          <w:b/>
          <w:sz w:val="23"/>
          <w:szCs w:val="23"/>
        </w:rPr>
        <w:t>N</w:t>
      </w:r>
      <w:r w:rsidR="00330C4C">
        <w:rPr>
          <w:rFonts w:ascii="Palatino Linotype" w:hAnsi="Palatino Linotype"/>
          <w:b/>
          <w:sz w:val="23"/>
          <w:szCs w:val="23"/>
        </w:rPr>
        <w:t xml:space="preserve"> PARTICULAR QUE FORMULA LA COMISIONADA</w:t>
      </w:r>
      <w:r w:rsidR="00FF4A05" w:rsidRPr="000D7039">
        <w:rPr>
          <w:rFonts w:ascii="Palatino Linotype" w:hAnsi="Palatino Linotype"/>
          <w:b/>
          <w:sz w:val="23"/>
          <w:szCs w:val="23"/>
        </w:rPr>
        <w:t xml:space="preserve"> </w:t>
      </w:r>
      <w:r w:rsidR="00330C4C">
        <w:rPr>
          <w:rFonts w:ascii="Palatino Linotype" w:hAnsi="Palatino Linotype"/>
          <w:b/>
          <w:sz w:val="23"/>
          <w:szCs w:val="23"/>
        </w:rPr>
        <w:t>GUADALUPE RAMÍREZ PEÑA</w:t>
      </w:r>
      <w:r w:rsidR="00FF4A05" w:rsidRPr="000D7039">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w:t>
      </w:r>
      <w:r w:rsidR="00330C4C" w:rsidRPr="00330C4C">
        <w:rPr>
          <w:rFonts w:ascii="Palatino Linotype" w:hAnsi="Palatino Linotype"/>
          <w:b/>
          <w:sz w:val="23"/>
          <w:szCs w:val="23"/>
        </w:rPr>
        <w:t>LA</w:t>
      </w:r>
      <w:r w:rsidR="00FF4A05" w:rsidRPr="00330C4C">
        <w:rPr>
          <w:rFonts w:ascii="Palatino Linotype" w:hAnsi="Palatino Linotype"/>
          <w:b/>
          <w:sz w:val="23"/>
          <w:szCs w:val="23"/>
        </w:rPr>
        <w:t xml:space="preserve"> </w:t>
      </w:r>
      <w:r w:rsidR="00566CFC">
        <w:rPr>
          <w:rFonts w:ascii="Palatino Linotype" w:hAnsi="Palatino Linotype"/>
          <w:b/>
          <w:sz w:val="23"/>
          <w:szCs w:val="23"/>
        </w:rPr>
        <w:t>DÉCIMA TERCERA</w:t>
      </w:r>
      <w:r w:rsidR="00133581" w:rsidRPr="00330C4C">
        <w:rPr>
          <w:rFonts w:ascii="Palatino Linotype" w:hAnsi="Palatino Linotype"/>
          <w:b/>
          <w:sz w:val="23"/>
          <w:szCs w:val="23"/>
        </w:rPr>
        <w:t xml:space="preserve"> </w:t>
      </w:r>
      <w:r w:rsidR="00FF4A05" w:rsidRPr="00330C4C">
        <w:rPr>
          <w:rFonts w:ascii="Palatino Linotype" w:hAnsi="Palatino Linotype"/>
          <w:b/>
          <w:sz w:val="23"/>
          <w:szCs w:val="23"/>
        </w:rPr>
        <w:t xml:space="preserve">SESIÓN ORDINARIA DEL </w:t>
      </w:r>
      <w:r w:rsidR="00566CFC">
        <w:rPr>
          <w:rFonts w:ascii="Palatino Linotype" w:hAnsi="Palatino Linotype"/>
          <w:b/>
          <w:sz w:val="23"/>
          <w:szCs w:val="23"/>
        </w:rPr>
        <w:t>SIETE</w:t>
      </w:r>
      <w:r w:rsidR="00330C4C" w:rsidRPr="00330C4C">
        <w:rPr>
          <w:rFonts w:ascii="Palatino Linotype" w:hAnsi="Palatino Linotype"/>
          <w:b/>
          <w:sz w:val="23"/>
          <w:szCs w:val="23"/>
        </w:rPr>
        <w:t xml:space="preserve"> DE </w:t>
      </w:r>
      <w:r w:rsidR="00566CFC">
        <w:rPr>
          <w:rFonts w:ascii="Palatino Linotype" w:hAnsi="Palatino Linotype"/>
          <w:b/>
          <w:sz w:val="23"/>
          <w:szCs w:val="23"/>
        </w:rPr>
        <w:t>ABRIL</w:t>
      </w:r>
      <w:r w:rsidR="00133581" w:rsidRPr="00330C4C">
        <w:rPr>
          <w:rFonts w:ascii="Palatino Linotype" w:hAnsi="Palatino Linotype"/>
          <w:b/>
          <w:sz w:val="23"/>
          <w:szCs w:val="23"/>
        </w:rPr>
        <w:t xml:space="preserve"> </w:t>
      </w:r>
      <w:r w:rsidR="00FF4A05" w:rsidRPr="00330C4C">
        <w:rPr>
          <w:rFonts w:ascii="Palatino Linotype" w:hAnsi="Palatino Linotype"/>
          <w:b/>
          <w:sz w:val="23"/>
          <w:szCs w:val="23"/>
        </w:rPr>
        <w:t xml:space="preserve">DE DOS MIL </w:t>
      </w:r>
      <w:r w:rsidR="00330C4C" w:rsidRPr="00330C4C">
        <w:rPr>
          <w:rFonts w:ascii="Palatino Linotype" w:hAnsi="Palatino Linotype"/>
          <w:b/>
          <w:sz w:val="23"/>
          <w:szCs w:val="23"/>
        </w:rPr>
        <w:t>VEINTI</w:t>
      </w:r>
      <w:r w:rsidR="00723296">
        <w:rPr>
          <w:rFonts w:ascii="Palatino Linotype" w:hAnsi="Palatino Linotype"/>
          <w:b/>
          <w:sz w:val="23"/>
          <w:szCs w:val="23"/>
        </w:rPr>
        <w:t>DÓS</w:t>
      </w:r>
      <w:r w:rsidR="00FF4A05" w:rsidRPr="00330C4C">
        <w:rPr>
          <w:rFonts w:ascii="Palatino Linotype" w:hAnsi="Palatino Linotype"/>
          <w:b/>
          <w:sz w:val="23"/>
          <w:szCs w:val="23"/>
        </w:rPr>
        <w:t>,</w:t>
      </w:r>
      <w:r w:rsidR="00FF4A05" w:rsidRPr="000D7039">
        <w:rPr>
          <w:rFonts w:ascii="Palatino Linotype" w:hAnsi="Palatino Linotype"/>
          <w:b/>
          <w:sz w:val="23"/>
          <w:szCs w:val="23"/>
        </w:rPr>
        <w:t xml:space="preserve"> EN </w:t>
      </w:r>
      <w:r w:rsidR="00B1168F">
        <w:rPr>
          <w:rFonts w:ascii="Palatino Linotype" w:hAnsi="Palatino Linotype"/>
          <w:b/>
          <w:sz w:val="23"/>
          <w:szCs w:val="23"/>
        </w:rPr>
        <w:t>LOS</w:t>
      </w:r>
      <w:r w:rsidR="00FF4A05" w:rsidRPr="000D7039">
        <w:rPr>
          <w:rFonts w:ascii="Palatino Linotype" w:hAnsi="Palatino Linotype"/>
          <w:b/>
          <w:sz w:val="23"/>
          <w:szCs w:val="23"/>
        </w:rPr>
        <w:t xml:space="preserve"> RECURSO</w:t>
      </w:r>
      <w:r w:rsidR="00B1168F">
        <w:rPr>
          <w:rFonts w:ascii="Palatino Linotype" w:hAnsi="Palatino Linotype"/>
          <w:b/>
          <w:sz w:val="23"/>
          <w:szCs w:val="23"/>
        </w:rPr>
        <w:t>S</w:t>
      </w:r>
      <w:r w:rsidR="00FF4A05" w:rsidRPr="000D7039">
        <w:rPr>
          <w:rFonts w:ascii="Palatino Linotype" w:hAnsi="Palatino Linotype"/>
          <w:b/>
          <w:sz w:val="23"/>
          <w:szCs w:val="23"/>
        </w:rPr>
        <w:t xml:space="preserve"> DE REVISIÓN </w:t>
      </w:r>
      <w:r w:rsidR="00566CFC">
        <w:rPr>
          <w:rFonts w:ascii="Palatino Linotype" w:hAnsi="Palatino Linotype"/>
          <w:b/>
          <w:sz w:val="23"/>
          <w:szCs w:val="23"/>
        </w:rPr>
        <w:t>00266</w:t>
      </w:r>
      <w:r w:rsidR="00FF4A05">
        <w:rPr>
          <w:rFonts w:ascii="Palatino Linotype" w:hAnsi="Palatino Linotype"/>
          <w:b/>
          <w:sz w:val="23"/>
          <w:szCs w:val="23"/>
        </w:rPr>
        <w:t>/INFOEM/IP/RR/20</w:t>
      </w:r>
      <w:r w:rsidR="00566CFC">
        <w:rPr>
          <w:rFonts w:ascii="Palatino Linotype" w:hAnsi="Palatino Linotype"/>
          <w:b/>
          <w:sz w:val="23"/>
          <w:szCs w:val="23"/>
        </w:rPr>
        <w:t>22</w:t>
      </w:r>
      <w:r w:rsidR="00B1168F">
        <w:rPr>
          <w:rFonts w:ascii="Palatino Linotype" w:hAnsi="Palatino Linotype"/>
          <w:b/>
          <w:sz w:val="23"/>
          <w:szCs w:val="23"/>
        </w:rPr>
        <w:t xml:space="preserve"> Y ACUMULADOS</w:t>
      </w:r>
      <w:r w:rsidR="00FF4A05" w:rsidRPr="000D7039">
        <w:rPr>
          <w:rFonts w:ascii="Palatino Linotype" w:hAnsi="Palatino Linotype"/>
          <w:b/>
          <w:sz w:val="23"/>
          <w:szCs w:val="23"/>
        </w:rPr>
        <w:t>.</w:t>
      </w:r>
    </w:p>
    <w:p w14:paraId="67EDF3E2" w14:textId="7DDE2D98" w:rsidR="00FF4A05" w:rsidRPr="000D7039" w:rsidRDefault="00FF4A05" w:rsidP="00FF4A05">
      <w:pPr>
        <w:spacing w:before="240" w:after="240" w:line="360" w:lineRule="auto"/>
        <w:jc w:val="both"/>
        <w:rPr>
          <w:rFonts w:ascii="Palatino Linotype" w:hAnsi="Palatino Linotype"/>
          <w:sz w:val="23"/>
          <w:szCs w:val="23"/>
        </w:rPr>
      </w:pPr>
      <w:r w:rsidRPr="000D7039">
        <w:rPr>
          <w:rFonts w:ascii="Palatino Linotype" w:hAnsi="Palatino Linotype"/>
          <w:sz w:val="23"/>
          <w:szCs w:val="23"/>
        </w:rPr>
        <w:t>El pleno del Instituto de Transparencia, Acceso a la Información Pública y Protección de Datos Personales del Estado de México y Municipios, aprobó por unanimidad de votos, la resolución relativa a</w:t>
      </w:r>
      <w:r w:rsidR="00566CFC">
        <w:rPr>
          <w:rFonts w:ascii="Palatino Linotype" w:hAnsi="Palatino Linotype"/>
          <w:sz w:val="23"/>
          <w:szCs w:val="23"/>
        </w:rPr>
        <w:t xml:space="preserve"> </w:t>
      </w:r>
      <w:r w:rsidRPr="000D7039">
        <w:rPr>
          <w:rFonts w:ascii="Palatino Linotype" w:hAnsi="Palatino Linotype"/>
          <w:sz w:val="23"/>
          <w:szCs w:val="23"/>
        </w:rPr>
        <w:t>l</w:t>
      </w:r>
      <w:r w:rsidR="00566CFC">
        <w:rPr>
          <w:rFonts w:ascii="Palatino Linotype" w:hAnsi="Palatino Linotype"/>
          <w:sz w:val="23"/>
          <w:szCs w:val="23"/>
        </w:rPr>
        <w:t>os</w:t>
      </w:r>
      <w:r w:rsidRPr="000D7039">
        <w:rPr>
          <w:rFonts w:ascii="Palatino Linotype" w:hAnsi="Palatino Linotype"/>
          <w:sz w:val="23"/>
          <w:szCs w:val="23"/>
        </w:rPr>
        <w:t xml:space="preserve"> recurso</w:t>
      </w:r>
      <w:r w:rsidR="00566CFC">
        <w:rPr>
          <w:rFonts w:ascii="Palatino Linotype" w:hAnsi="Palatino Linotype"/>
          <w:sz w:val="23"/>
          <w:szCs w:val="23"/>
        </w:rPr>
        <w:t>s</w:t>
      </w:r>
      <w:r w:rsidRPr="000D7039">
        <w:rPr>
          <w:rFonts w:ascii="Palatino Linotype" w:hAnsi="Palatino Linotype"/>
          <w:sz w:val="23"/>
          <w:szCs w:val="23"/>
        </w:rPr>
        <w:t xml:space="preserve"> de revisión </w:t>
      </w:r>
      <w:r w:rsidR="00B1168F" w:rsidRPr="00566CFC">
        <w:rPr>
          <w:rFonts w:ascii="Palatino Linotype" w:hAnsi="Palatino Linotype"/>
          <w:b/>
          <w:sz w:val="23"/>
          <w:szCs w:val="23"/>
        </w:rPr>
        <w:t>00266/INFOEM/IP/RR/2022</w:t>
      </w:r>
      <w:r w:rsidR="00B1168F">
        <w:rPr>
          <w:rFonts w:ascii="Palatino Linotype" w:hAnsi="Palatino Linotype"/>
          <w:b/>
          <w:sz w:val="23"/>
          <w:szCs w:val="23"/>
        </w:rPr>
        <w:t xml:space="preserve">, </w:t>
      </w:r>
      <w:r w:rsidR="00B1168F" w:rsidRPr="00566CFC">
        <w:rPr>
          <w:rFonts w:ascii="Palatino Linotype" w:hAnsi="Palatino Linotype"/>
          <w:b/>
          <w:sz w:val="23"/>
          <w:szCs w:val="23"/>
        </w:rPr>
        <w:t>00270/INFOEM/IP/R</w:t>
      </w:r>
      <w:r w:rsidR="00B1168F">
        <w:rPr>
          <w:rFonts w:ascii="Palatino Linotype" w:hAnsi="Palatino Linotype"/>
          <w:b/>
          <w:sz w:val="23"/>
          <w:szCs w:val="23"/>
        </w:rPr>
        <w:t>R/2022</w:t>
      </w:r>
      <w:r w:rsidR="00B1168F" w:rsidRPr="00566CFC">
        <w:rPr>
          <w:rFonts w:ascii="Palatino Linotype" w:hAnsi="Palatino Linotype"/>
          <w:b/>
          <w:sz w:val="23"/>
          <w:szCs w:val="23"/>
        </w:rPr>
        <w:t xml:space="preserve"> </w:t>
      </w:r>
      <w:r w:rsidR="00B1168F">
        <w:rPr>
          <w:rFonts w:ascii="Palatino Linotype" w:hAnsi="Palatino Linotype"/>
          <w:b/>
          <w:sz w:val="23"/>
          <w:szCs w:val="23"/>
        </w:rPr>
        <w:t>y 00276/INFOEM/IP/RR/2022 acumulados</w:t>
      </w:r>
      <w:r w:rsidRPr="000D7039">
        <w:rPr>
          <w:rFonts w:ascii="Palatino Linotype" w:hAnsi="Palatino Linotype"/>
          <w:sz w:val="23"/>
          <w:szCs w:val="23"/>
        </w:rPr>
        <w:t xml:space="preserve">, presentada por </w:t>
      </w:r>
      <w:r w:rsidR="00330C4C">
        <w:rPr>
          <w:rFonts w:ascii="Palatino Linotype" w:hAnsi="Palatino Linotype"/>
          <w:sz w:val="23"/>
          <w:szCs w:val="23"/>
        </w:rPr>
        <w:t>el Comisionado</w:t>
      </w:r>
      <w:r w:rsidRPr="000D7039">
        <w:rPr>
          <w:rFonts w:ascii="Palatino Linotype" w:hAnsi="Palatino Linotype"/>
          <w:sz w:val="23"/>
          <w:szCs w:val="23"/>
        </w:rPr>
        <w:t xml:space="preserve"> </w:t>
      </w:r>
      <w:r w:rsidR="00330C4C">
        <w:rPr>
          <w:rFonts w:ascii="Palatino Linotype" w:hAnsi="Palatino Linotype"/>
          <w:sz w:val="23"/>
          <w:szCs w:val="23"/>
        </w:rPr>
        <w:t>Luis Gustavo Parra Noriega</w:t>
      </w:r>
      <w:r w:rsidR="00EE49A8">
        <w:rPr>
          <w:rFonts w:ascii="Palatino Linotype" w:hAnsi="Palatino Linotype"/>
          <w:sz w:val="23"/>
          <w:szCs w:val="23"/>
        </w:rPr>
        <w:t>, r</w:t>
      </w:r>
      <w:r w:rsidR="001403D9">
        <w:rPr>
          <w:rFonts w:ascii="Palatino Linotype" w:hAnsi="Palatino Linotype"/>
          <w:sz w:val="23"/>
          <w:szCs w:val="23"/>
        </w:rPr>
        <w:t>especto de la cual, la suscrita</w:t>
      </w:r>
      <w:r w:rsidRPr="000D7039">
        <w:rPr>
          <w:rFonts w:ascii="Palatino Linotype" w:hAnsi="Palatino Linotype"/>
          <w:sz w:val="23"/>
          <w:szCs w:val="23"/>
        </w:rPr>
        <w:t xml:space="preserve"> formula </w:t>
      </w:r>
      <w:r w:rsidR="00B45FED">
        <w:rPr>
          <w:rFonts w:ascii="Palatino Linotype" w:hAnsi="Palatino Linotype"/>
          <w:b/>
          <w:sz w:val="23"/>
          <w:szCs w:val="23"/>
        </w:rPr>
        <w:t xml:space="preserve">OPINIÓN </w:t>
      </w:r>
      <w:r w:rsidRPr="000D7039">
        <w:rPr>
          <w:rFonts w:ascii="Palatino Linotype" w:hAnsi="Palatino Linotype"/>
          <w:b/>
          <w:sz w:val="23"/>
          <w:szCs w:val="23"/>
        </w:rPr>
        <w:t xml:space="preserve"> PARTICULAR, </w:t>
      </w:r>
      <w:r w:rsidRPr="000D7039">
        <w:rPr>
          <w:rFonts w:ascii="Palatino Linotype" w:hAnsi="Palatino Linotype"/>
          <w:sz w:val="23"/>
          <w:szCs w:val="23"/>
        </w:rPr>
        <w:t xml:space="preserve"> con fundamento en el artículo 14 fracción XI del Reglamento Interior del Instituto de Transparencia, Acceso a la Información Pública y Protección de Datos Personales del Estado de México y Municipios.</w:t>
      </w:r>
    </w:p>
    <w:p w14:paraId="19C7FEA4" w14:textId="7E6AAD99" w:rsidR="009E03BD" w:rsidRPr="00566CFC" w:rsidRDefault="00EE49A8" w:rsidP="003E7227">
      <w:pPr>
        <w:spacing w:before="240" w:after="240" w:line="360" w:lineRule="auto"/>
        <w:jc w:val="both"/>
        <w:rPr>
          <w:rFonts w:ascii="Palatino Linotype" w:hAnsi="Palatino Linotype"/>
          <w:sz w:val="23"/>
          <w:szCs w:val="23"/>
        </w:rPr>
      </w:pPr>
      <w:r>
        <w:rPr>
          <w:rFonts w:ascii="Palatino Linotype" w:hAnsi="Palatino Linotype"/>
          <w:sz w:val="23"/>
          <w:szCs w:val="23"/>
        </w:rPr>
        <w:t>La</w:t>
      </w:r>
      <w:r w:rsidR="00FF4A05" w:rsidRPr="000D7039">
        <w:rPr>
          <w:rFonts w:ascii="Palatino Linotype" w:hAnsi="Palatino Linotype"/>
          <w:sz w:val="23"/>
          <w:szCs w:val="23"/>
        </w:rPr>
        <w:t xml:space="preserve"> que suscribe, comparte en esencia el sentido del estudio realizado en la resolución emitida por </w:t>
      </w:r>
      <w:r w:rsidR="00FF4A05">
        <w:rPr>
          <w:rFonts w:ascii="Palatino Linotype" w:hAnsi="Palatino Linotype"/>
          <w:sz w:val="23"/>
          <w:szCs w:val="23"/>
        </w:rPr>
        <w:t>el Comisionado</w:t>
      </w:r>
      <w:r w:rsidR="00FF4A05" w:rsidRPr="000D7039">
        <w:rPr>
          <w:rFonts w:ascii="Palatino Linotype" w:hAnsi="Palatino Linotype"/>
          <w:sz w:val="23"/>
          <w:szCs w:val="23"/>
        </w:rPr>
        <w:t xml:space="preserve"> Ponente; sin embargo, </w:t>
      </w:r>
      <w:r w:rsidR="00FF4A05" w:rsidRPr="00566CFC">
        <w:rPr>
          <w:rFonts w:ascii="Palatino Linotype" w:hAnsi="Palatino Linotype"/>
          <w:sz w:val="23"/>
          <w:szCs w:val="23"/>
        </w:rPr>
        <w:t>re</w:t>
      </w:r>
      <w:r w:rsidR="00723296" w:rsidRPr="00566CFC">
        <w:rPr>
          <w:rFonts w:ascii="Palatino Linotype" w:hAnsi="Palatino Linotype"/>
          <w:sz w:val="23"/>
          <w:szCs w:val="23"/>
        </w:rPr>
        <w:t xml:space="preserve">sulta necesario destacar </w:t>
      </w:r>
      <w:r w:rsidR="009E03BD" w:rsidRPr="00566CFC">
        <w:rPr>
          <w:rFonts w:ascii="Palatino Linotype" w:hAnsi="Palatino Linotype"/>
          <w:sz w:val="23"/>
          <w:szCs w:val="23"/>
        </w:rPr>
        <w:t xml:space="preserve">que </w:t>
      </w:r>
      <w:r w:rsidR="00FB40AC" w:rsidRPr="00566CFC">
        <w:rPr>
          <w:rFonts w:ascii="Palatino Linotype" w:hAnsi="Palatino Linotype"/>
          <w:sz w:val="23"/>
          <w:szCs w:val="23"/>
        </w:rPr>
        <w:t xml:space="preserve">la </w:t>
      </w:r>
      <w:r w:rsidR="00FB40AC" w:rsidRPr="00B1168F">
        <w:rPr>
          <w:rFonts w:ascii="Palatino Linotype" w:hAnsi="Palatino Linotype"/>
          <w:b/>
          <w:sz w:val="23"/>
          <w:szCs w:val="23"/>
        </w:rPr>
        <w:t>prueba de daño</w:t>
      </w:r>
      <w:r w:rsidR="00FB40AC" w:rsidRPr="00566CFC">
        <w:rPr>
          <w:rFonts w:ascii="Palatino Linotype" w:hAnsi="Palatino Linotype"/>
          <w:sz w:val="23"/>
          <w:szCs w:val="23"/>
        </w:rPr>
        <w:t xml:space="preserve"> que se desarrolla </w:t>
      </w:r>
      <w:r w:rsidR="009E03BD" w:rsidRPr="00566CFC">
        <w:rPr>
          <w:rFonts w:ascii="Palatino Linotype" w:hAnsi="Palatino Linotype"/>
          <w:sz w:val="23"/>
          <w:szCs w:val="23"/>
        </w:rPr>
        <w:t>en el proyect</w:t>
      </w:r>
      <w:r w:rsidR="00FB40AC" w:rsidRPr="00566CFC">
        <w:rPr>
          <w:rFonts w:ascii="Palatino Linotype" w:hAnsi="Palatino Linotype"/>
          <w:sz w:val="23"/>
          <w:szCs w:val="23"/>
        </w:rPr>
        <w:t xml:space="preserve">o de resolución que nos ocupa, </w:t>
      </w:r>
      <w:r w:rsidR="009E03BD" w:rsidRPr="00566CFC">
        <w:rPr>
          <w:rFonts w:ascii="Palatino Linotype" w:hAnsi="Palatino Linotype"/>
          <w:sz w:val="23"/>
          <w:szCs w:val="23"/>
        </w:rPr>
        <w:t xml:space="preserve">debió ser realizada por el </w:t>
      </w:r>
      <w:r w:rsidR="00B1168F" w:rsidRPr="00B1168F">
        <w:rPr>
          <w:rFonts w:ascii="Palatino Linotype" w:hAnsi="Palatino Linotype"/>
          <w:b/>
          <w:sz w:val="23"/>
          <w:szCs w:val="23"/>
        </w:rPr>
        <w:t>SUJETO OBLIGADO.</w:t>
      </w:r>
    </w:p>
    <w:p w14:paraId="0120631B" w14:textId="5B9C692B" w:rsidR="001403D9" w:rsidRDefault="00FF4A05" w:rsidP="00B45FED">
      <w:pPr>
        <w:spacing w:before="240" w:after="240" w:line="360" w:lineRule="auto"/>
        <w:jc w:val="both"/>
        <w:rPr>
          <w:rFonts w:ascii="Palatino Linotype" w:hAnsi="Palatino Linotype"/>
          <w:sz w:val="23"/>
          <w:szCs w:val="23"/>
        </w:rPr>
      </w:pPr>
      <w:r w:rsidRPr="000D7039">
        <w:rPr>
          <w:rFonts w:ascii="Palatino Linotype" w:hAnsi="Palatino Linotype"/>
          <w:sz w:val="23"/>
          <w:szCs w:val="23"/>
        </w:rPr>
        <w:lastRenderedPageBreak/>
        <w:t>En el caso concre</w:t>
      </w:r>
      <w:r w:rsidR="001403D9">
        <w:rPr>
          <w:rFonts w:ascii="Palatino Linotype" w:hAnsi="Palatino Linotype"/>
          <w:sz w:val="23"/>
          <w:szCs w:val="23"/>
        </w:rPr>
        <w:t xml:space="preserve">to el hoy </w:t>
      </w:r>
      <w:r w:rsidR="00B1168F" w:rsidRPr="00B1168F">
        <w:rPr>
          <w:rFonts w:ascii="Palatino Linotype" w:hAnsi="Palatino Linotype"/>
          <w:b/>
          <w:sz w:val="23"/>
          <w:szCs w:val="23"/>
        </w:rPr>
        <w:t>RECURRENTE</w:t>
      </w:r>
      <w:r w:rsidR="00B1168F">
        <w:rPr>
          <w:rFonts w:ascii="Palatino Linotype" w:hAnsi="Palatino Linotype"/>
          <w:sz w:val="23"/>
          <w:szCs w:val="23"/>
        </w:rPr>
        <w:t xml:space="preserve"> </w:t>
      </w:r>
      <w:r w:rsidR="001403D9">
        <w:rPr>
          <w:rFonts w:ascii="Palatino Linotype" w:hAnsi="Palatino Linotype"/>
          <w:sz w:val="23"/>
          <w:szCs w:val="23"/>
        </w:rPr>
        <w:t xml:space="preserve">requirió a la </w:t>
      </w:r>
      <w:r w:rsidR="00566CFC" w:rsidRPr="00B1168F">
        <w:rPr>
          <w:rFonts w:ascii="Palatino Linotype" w:hAnsi="Palatino Linotype"/>
          <w:b/>
          <w:sz w:val="23"/>
          <w:szCs w:val="23"/>
        </w:rPr>
        <w:t>Comisión de Conciliación y Arbitraje Médico del Estado de México</w:t>
      </w:r>
      <w:r w:rsidRPr="000D7039">
        <w:rPr>
          <w:rFonts w:ascii="Palatino Linotype" w:hAnsi="Palatino Linotype"/>
          <w:sz w:val="23"/>
          <w:szCs w:val="23"/>
        </w:rPr>
        <w:t>,</w:t>
      </w:r>
      <w:r w:rsidR="00AE3307">
        <w:rPr>
          <w:rFonts w:ascii="Palatino Linotype" w:hAnsi="Palatino Linotype"/>
          <w:sz w:val="23"/>
          <w:szCs w:val="23"/>
        </w:rPr>
        <w:t xml:space="preserve"> en esencia</w:t>
      </w:r>
      <w:r w:rsidR="00566CFC">
        <w:rPr>
          <w:rFonts w:ascii="Palatino Linotype" w:hAnsi="Palatino Linotype"/>
          <w:sz w:val="23"/>
          <w:szCs w:val="23"/>
        </w:rPr>
        <w:t xml:space="preserve"> que </w:t>
      </w:r>
      <w:r w:rsidR="00B45FED">
        <w:rPr>
          <w:rFonts w:ascii="Palatino Linotype" w:hAnsi="Palatino Linotype"/>
          <w:sz w:val="23"/>
          <w:szCs w:val="23"/>
        </w:rPr>
        <w:t>se le proporcionara</w:t>
      </w:r>
      <w:r w:rsidR="00B45FED" w:rsidRPr="00566CFC">
        <w:rPr>
          <w:rFonts w:ascii="Palatino Linotype" w:hAnsi="Palatino Linotype"/>
          <w:sz w:val="23"/>
          <w:szCs w:val="23"/>
        </w:rPr>
        <w:t xml:space="preserve"> </w:t>
      </w:r>
      <w:r w:rsidR="001403D9">
        <w:rPr>
          <w:rFonts w:ascii="Palatino Linotype" w:hAnsi="Palatino Linotype"/>
          <w:sz w:val="23"/>
          <w:szCs w:val="23"/>
        </w:rPr>
        <w:t>información</w:t>
      </w:r>
      <w:r w:rsidR="00566CFC">
        <w:rPr>
          <w:rFonts w:ascii="Palatino Linotype" w:hAnsi="Palatino Linotype"/>
          <w:sz w:val="23"/>
          <w:szCs w:val="23"/>
        </w:rPr>
        <w:t xml:space="preserve"> r</w:t>
      </w:r>
      <w:r w:rsidR="00B1168F">
        <w:rPr>
          <w:rFonts w:ascii="Palatino Linotype" w:hAnsi="Palatino Linotype"/>
          <w:sz w:val="23"/>
          <w:szCs w:val="23"/>
        </w:rPr>
        <w:t xml:space="preserve">elacionada con quejas, </w:t>
      </w:r>
      <w:r w:rsidR="00566CFC" w:rsidRPr="00566CFC">
        <w:rPr>
          <w:rFonts w:ascii="Palatino Linotype" w:hAnsi="Palatino Linotype"/>
          <w:sz w:val="23"/>
          <w:szCs w:val="23"/>
        </w:rPr>
        <w:t>denuncias</w:t>
      </w:r>
      <w:r w:rsidR="00B1168F">
        <w:rPr>
          <w:rFonts w:ascii="Palatino Linotype" w:hAnsi="Palatino Linotype"/>
          <w:sz w:val="23"/>
          <w:szCs w:val="23"/>
        </w:rPr>
        <w:t xml:space="preserve"> y delaciones</w:t>
      </w:r>
      <w:r w:rsidR="001E64B7">
        <w:rPr>
          <w:rFonts w:ascii="Palatino Linotype" w:hAnsi="Palatino Linotype"/>
          <w:sz w:val="23"/>
          <w:szCs w:val="23"/>
        </w:rPr>
        <w:t xml:space="preserve"> que se</w:t>
      </w:r>
      <w:r w:rsidR="00566CFC" w:rsidRPr="00566CFC">
        <w:rPr>
          <w:rFonts w:ascii="Palatino Linotype" w:hAnsi="Palatino Linotype"/>
          <w:sz w:val="23"/>
          <w:szCs w:val="23"/>
        </w:rPr>
        <w:t xml:space="preserve"> han recibido en el Órgano Interno de Control</w:t>
      </w:r>
      <w:r w:rsidR="001E64B7">
        <w:rPr>
          <w:rFonts w:ascii="Palatino Linotype" w:hAnsi="Palatino Linotype"/>
          <w:sz w:val="23"/>
          <w:szCs w:val="23"/>
        </w:rPr>
        <w:t>,</w:t>
      </w:r>
      <w:r w:rsidR="00566CFC" w:rsidRPr="00566CFC">
        <w:rPr>
          <w:rFonts w:ascii="Palatino Linotype" w:hAnsi="Palatino Linotype"/>
          <w:sz w:val="23"/>
          <w:szCs w:val="23"/>
        </w:rPr>
        <w:t xml:space="preserve"> contra servidores públicos de la dependencia</w:t>
      </w:r>
      <w:r w:rsidR="001403D9">
        <w:rPr>
          <w:rFonts w:ascii="Palatino Linotype" w:hAnsi="Palatino Linotype"/>
          <w:sz w:val="23"/>
          <w:szCs w:val="23"/>
        </w:rPr>
        <w:t>.</w:t>
      </w:r>
    </w:p>
    <w:p w14:paraId="5286A6A0" w14:textId="57947B86" w:rsidR="000C5ABB" w:rsidRPr="001E64B7" w:rsidRDefault="00EE49A8" w:rsidP="00B45FED">
      <w:pPr>
        <w:spacing w:before="240" w:after="240" w:line="360" w:lineRule="auto"/>
        <w:jc w:val="both"/>
        <w:rPr>
          <w:rFonts w:ascii="Palatino Linotype" w:hAnsi="Palatino Linotype"/>
          <w:i/>
          <w:sz w:val="23"/>
          <w:szCs w:val="23"/>
          <w:lang w:val="es-ES_tradnl"/>
        </w:rPr>
      </w:pPr>
      <w:r>
        <w:rPr>
          <w:rFonts w:ascii="Palatino Linotype" w:hAnsi="Palatino Linotype"/>
          <w:sz w:val="23"/>
          <w:szCs w:val="23"/>
        </w:rPr>
        <w:t xml:space="preserve">El </w:t>
      </w:r>
      <w:r w:rsidR="001E64B7" w:rsidRPr="001E64B7">
        <w:rPr>
          <w:rFonts w:ascii="Palatino Linotype" w:hAnsi="Palatino Linotype"/>
          <w:b/>
          <w:sz w:val="23"/>
          <w:szCs w:val="23"/>
        </w:rPr>
        <w:t>SUJETO OBLIGADO,</w:t>
      </w:r>
      <w:r w:rsidR="001E64B7" w:rsidRPr="000D7039">
        <w:rPr>
          <w:rFonts w:ascii="Palatino Linotype" w:hAnsi="Palatino Linotype"/>
          <w:sz w:val="23"/>
          <w:szCs w:val="23"/>
        </w:rPr>
        <w:t xml:space="preserve"> </w:t>
      </w:r>
      <w:r w:rsidR="001403D9">
        <w:rPr>
          <w:rFonts w:ascii="Palatino Linotype" w:hAnsi="Palatino Linotype"/>
          <w:sz w:val="23"/>
          <w:szCs w:val="23"/>
        </w:rPr>
        <w:t>proporciona</w:t>
      </w:r>
      <w:r>
        <w:rPr>
          <w:rFonts w:ascii="Palatino Linotype" w:hAnsi="Palatino Linotype"/>
          <w:sz w:val="23"/>
          <w:szCs w:val="23"/>
        </w:rPr>
        <w:t xml:space="preserve"> respuesta</w:t>
      </w:r>
      <w:r w:rsidR="00566CFC">
        <w:rPr>
          <w:rFonts w:ascii="Palatino Linotype" w:hAnsi="Palatino Linotype"/>
          <w:sz w:val="23"/>
          <w:szCs w:val="23"/>
        </w:rPr>
        <w:t>s</w:t>
      </w:r>
      <w:r>
        <w:rPr>
          <w:rFonts w:ascii="Palatino Linotype" w:hAnsi="Palatino Linotype"/>
          <w:sz w:val="23"/>
          <w:szCs w:val="23"/>
        </w:rPr>
        <w:t xml:space="preserve"> a la</w:t>
      </w:r>
      <w:r w:rsidR="00566CFC">
        <w:rPr>
          <w:rFonts w:ascii="Palatino Linotype" w:hAnsi="Palatino Linotype"/>
          <w:sz w:val="23"/>
          <w:szCs w:val="23"/>
        </w:rPr>
        <w:t>s</w:t>
      </w:r>
      <w:r>
        <w:rPr>
          <w:rFonts w:ascii="Palatino Linotype" w:hAnsi="Palatino Linotype"/>
          <w:sz w:val="23"/>
          <w:szCs w:val="23"/>
        </w:rPr>
        <w:t xml:space="preserve"> solicitud</w:t>
      </w:r>
      <w:r w:rsidR="00566CFC">
        <w:rPr>
          <w:rFonts w:ascii="Palatino Linotype" w:hAnsi="Palatino Linotype"/>
          <w:sz w:val="23"/>
          <w:szCs w:val="23"/>
        </w:rPr>
        <w:t>es</w:t>
      </w:r>
      <w:r>
        <w:rPr>
          <w:rFonts w:ascii="Palatino Linotype" w:hAnsi="Palatino Linotype"/>
          <w:sz w:val="23"/>
          <w:szCs w:val="23"/>
        </w:rPr>
        <w:t xml:space="preserve"> de acceso a la información pública</w:t>
      </w:r>
      <w:r w:rsidR="001E64B7">
        <w:rPr>
          <w:rFonts w:ascii="Palatino Linotype" w:hAnsi="Palatino Linotype"/>
          <w:sz w:val="23"/>
          <w:szCs w:val="23"/>
        </w:rPr>
        <w:t xml:space="preserve">, que en </w:t>
      </w:r>
      <w:r w:rsidR="00226E3B">
        <w:rPr>
          <w:rFonts w:ascii="Palatino Linotype" w:hAnsi="Palatino Linotype"/>
          <w:sz w:val="23"/>
          <w:szCs w:val="23"/>
        </w:rPr>
        <w:t>concreto</w:t>
      </w:r>
      <w:r w:rsidR="001E64B7">
        <w:rPr>
          <w:rFonts w:ascii="Palatino Linotype" w:hAnsi="Palatino Linotype"/>
          <w:sz w:val="23"/>
          <w:szCs w:val="23"/>
        </w:rPr>
        <w:t xml:space="preserve"> fue: “</w:t>
      </w:r>
      <w:r w:rsidR="001E64B7" w:rsidRPr="001E64B7">
        <w:rPr>
          <w:rFonts w:ascii="Palatino Linotype" w:hAnsi="Palatino Linotype"/>
          <w:i/>
          <w:sz w:val="23"/>
          <w:szCs w:val="23"/>
        </w:rPr>
        <w:t xml:space="preserve">Favor de dirigir a su solicitud al área correspondiente.” </w:t>
      </w:r>
      <w:r w:rsidR="001E64B7" w:rsidRPr="001E64B7">
        <w:rPr>
          <w:rFonts w:ascii="Palatino Linotype" w:hAnsi="Palatino Linotype"/>
          <w:sz w:val="23"/>
          <w:szCs w:val="23"/>
        </w:rPr>
        <w:t>(Sic)</w:t>
      </w:r>
      <w:r w:rsidR="001E64B7">
        <w:rPr>
          <w:rFonts w:ascii="Palatino Linotype" w:hAnsi="Palatino Linotype"/>
          <w:i/>
          <w:sz w:val="23"/>
          <w:szCs w:val="23"/>
        </w:rPr>
        <w:t xml:space="preserve"> </w:t>
      </w:r>
      <w:r w:rsidR="001E64B7" w:rsidRPr="001E64B7">
        <w:rPr>
          <w:rFonts w:ascii="Palatino Linotype" w:hAnsi="Palatino Linotype"/>
          <w:sz w:val="23"/>
          <w:szCs w:val="23"/>
        </w:rPr>
        <w:t>y</w:t>
      </w:r>
      <w:r w:rsidR="001E64B7">
        <w:rPr>
          <w:rFonts w:ascii="Palatino Linotype" w:hAnsi="Palatino Linotype"/>
          <w:i/>
          <w:sz w:val="23"/>
          <w:szCs w:val="23"/>
        </w:rPr>
        <w:t xml:space="preserve">”… que </w:t>
      </w:r>
      <w:r w:rsidR="001E64B7" w:rsidRPr="001E64B7">
        <w:rPr>
          <w:rFonts w:ascii="Palatino Linotype" w:hAnsi="Palatino Linotype"/>
          <w:i/>
          <w:sz w:val="23"/>
          <w:szCs w:val="23"/>
        </w:rPr>
        <w:t>su requerimiento no es específico</w:t>
      </w:r>
      <w:r w:rsidR="001E64B7">
        <w:rPr>
          <w:rFonts w:ascii="Palatino Linotype" w:hAnsi="Palatino Linotype"/>
          <w:i/>
          <w:sz w:val="23"/>
          <w:szCs w:val="23"/>
        </w:rPr>
        <w:t xml:space="preserve">…” </w:t>
      </w:r>
      <w:r w:rsidR="001E64B7" w:rsidRPr="001E64B7">
        <w:rPr>
          <w:rFonts w:ascii="Palatino Linotype" w:hAnsi="Palatino Linotype"/>
          <w:sz w:val="23"/>
          <w:szCs w:val="23"/>
        </w:rPr>
        <w:t>(Sic)</w:t>
      </w:r>
    </w:p>
    <w:p w14:paraId="12B31B3A" w14:textId="052A16D0" w:rsidR="006B2B9E" w:rsidRDefault="006B2B9E" w:rsidP="001E64B7">
      <w:pPr>
        <w:spacing w:before="240" w:after="240" w:line="360" w:lineRule="auto"/>
        <w:jc w:val="both"/>
        <w:rPr>
          <w:rFonts w:ascii="Palatino Linotype" w:hAnsi="Palatino Linotype"/>
          <w:sz w:val="23"/>
          <w:szCs w:val="23"/>
          <w:lang w:val="es-ES_tradnl"/>
        </w:rPr>
      </w:pPr>
      <w:r>
        <w:rPr>
          <w:rFonts w:ascii="Palatino Linotype" w:hAnsi="Palatino Linotype"/>
          <w:sz w:val="23"/>
          <w:szCs w:val="23"/>
          <w:lang w:val="es-ES_tradnl"/>
        </w:rPr>
        <w:t xml:space="preserve">Ante la </w:t>
      </w:r>
      <w:r w:rsidR="00EE49A8">
        <w:rPr>
          <w:rFonts w:ascii="Palatino Linotype" w:hAnsi="Palatino Linotype"/>
          <w:sz w:val="23"/>
          <w:szCs w:val="23"/>
          <w:lang w:val="es-ES_tradnl"/>
        </w:rPr>
        <w:t xml:space="preserve">omisión en que incurrió el </w:t>
      </w:r>
      <w:r w:rsidR="001E64B7" w:rsidRPr="001E64B7">
        <w:rPr>
          <w:rFonts w:ascii="Palatino Linotype" w:hAnsi="Palatino Linotype"/>
          <w:b/>
          <w:sz w:val="23"/>
          <w:szCs w:val="23"/>
          <w:lang w:val="es-ES_tradnl"/>
        </w:rPr>
        <w:t>SUJETO OBLIGADO,</w:t>
      </w:r>
      <w:r w:rsidR="001E64B7">
        <w:rPr>
          <w:rFonts w:ascii="Palatino Linotype" w:hAnsi="Palatino Linotype"/>
          <w:sz w:val="23"/>
          <w:szCs w:val="23"/>
          <w:lang w:val="es-ES_tradnl"/>
        </w:rPr>
        <w:t xml:space="preserve"> </w:t>
      </w:r>
      <w:r>
        <w:rPr>
          <w:rFonts w:ascii="Palatino Linotype" w:hAnsi="Palatino Linotype"/>
          <w:sz w:val="23"/>
          <w:szCs w:val="23"/>
          <w:lang w:val="es-ES_tradnl"/>
        </w:rPr>
        <w:t xml:space="preserve">el particular se </w:t>
      </w:r>
      <w:r w:rsidR="009E03BD">
        <w:rPr>
          <w:rFonts w:ascii="Palatino Linotype" w:hAnsi="Palatino Linotype"/>
          <w:sz w:val="23"/>
          <w:szCs w:val="23"/>
          <w:lang w:val="es-ES_tradnl"/>
        </w:rPr>
        <w:t>inconforma</w:t>
      </w:r>
      <w:r>
        <w:rPr>
          <w:rFonts w:ascii="Palatino Linotype" w:hAnsi="Palatino Linotype"/>
          <w:sz w:val="23"/>
          <w:szCs w:val="23"/>
          <w:lang w:val="es-ES_tradnl"/>
        </w:rPr>
        <w:t xml:space="preserve"> en </w:t>
      </w:r>
      <w:r w:rsidR="001403D9">
        <w:rPr>
          <w:rFonts w:ascii="Palatino Linotype" w:hAnsi="Palatino Linotype"/>
          <w:sz w:val="23"/>
          <w:szCs w:val="23"/>
          <w:lang w:val="es-ES_tradnl"/>
        </w:rPr>
        <w:t>lo medular por la</w:t>
      </w:r>
      <w:r w:rsidR="00226E3B">
        <w:rPr>
          <w:rFonts w:ascii="Palatino Linotype" w:hAnsi="Palatino Linotype"/>
          <w:sz w:val="23"/>
          <w:szCs w:val="23"/>
          <w:lang w:val="es-ES_tradnl"/>
        </w:rPr>
        <w:t>s</w:t>
      </w:r>
      <w:r w:rsidR="001403D9">
        <w:rPr>
          <w:rFonts w:ascii="Palatino Linotype" w:hAnsi="Palatino Linotype"/>
          <w:sz w:val="23"/>
          <w:szCs w:val="23"/>
          <w:lang w:val="es-ES_tradnl"/>
        </w:rPr>
        <w:t xml:space="preserve"> respuesta</w:t>
      </w:r>
      <w:r w:rsidR="00226E3B">
        <w:rPr>
          <w:rFonts w:ascii="Palatino Linotype" w:hAnsi="Palatino Linotype"/>
          <w:sz w:val="23"/>
          <w:szCs w:val="23"/>
          <w:lang w:val="es-ES_tradnl"/>
        </w:rPr>
        <w:t>s</w:t>
      </w:r>
      <w:r w:rsidR="0062311E">
        <w:rPr>
          <w:rFonts w:ascii="Palatino Linotype" w:hAnsi="Palatino Linotype"/>
          <w:sz w:val="23"/>
          <w:szCs w:val="23"/>
          <w:lang w:val="es-ES_tradnl"/>
        </w:rPr>
        <w:t xml:space="preserve"> del </w:t>
      </w:r>
      <w:r w:rsidR="001E64B7" w:rsidRPr="001E64B7">
        <w:rPr>
          <w:rFonts w:ascii="Palatino Linotype" w:hAnsi="Palatino Linotype"/>
          <w:b/>
          <w:sz w:val="23"/>
          <w:szCs w:val="23"/>
          <w:lang w:val="es-ES_tradnl"/>
        </w:rPr>
        <w:t>SUJETO OBLIGADO</w:t>
      </w:r>
      <w:r w:rsidR="001403D9">
        <w:rPr>
          <w:rFonts w:ascii="Palatino Linotype" w:hAnsi="Palatino Linotype"/>
          <w:sz w:val="23"/>
          <w:szCs w:val="23"/>
          <w:lang w:val="es-ES_tradnl"/>
        </w:rPr>
        <w:t>, considerando que</w:t>
      </w:r>
      <w:r w:rsidR="001E64B7">
        <w:rPr>
          <w:rFonts w:ascii="Palatino Linotype" w:hAnsi="Palatino Linotype"/>
          <w:sz w:val="23"/>
          <w:szCs w:val="23"/>
          <w:lang w:val="es-ES_tradnl"/>
        </w:rPr>
        <w:t>:</w:t>
      </w:r>
      <w:r w:rsidR="001403D9">
        <w:rPr>
          <w:rFonts w:ascii="Palatino Linotype" w:hAnsi="Palatino Linotype"/>
          <w:sz w:val="23"/>
          <w:szCs w:val="23"/>
          <w:lang w:val="es-ES_tradnl"/>
        </w:rPr>
        <w:t xml:space="preserve"> </w:t>
      </w:r>
      <w:r w:rsidR="001E64B7" w:rsidRPr="001E64B7">
        <w:rPr>
          <w:rFonts w:ascii="Palatino Linotype" w:hAnsi="Palatino Linotype"/>
          <w:i/>
          <w:sz w:val="23"/>
          <w:szCs w:val="23"/>
          <w:lang w:val="es-ES_tradnl"/>
        </w:rPr>
        <w:t>“no entregan la información</w:t>
      </w:r>
      <w:r w:rsidR="001E64B7">
        <w:rPr>
          <w:rFonts w:ascii="Palatino Linotype" w:hAnsi="Palatino Linotype"/>
          <w:sz w:val="23"/>
          <w:szCs w:val="23"/>
          <w:lang w:val="es-ES_tradnl"/>
        </w:rPr>
        <w:t>.” (Sic</w:t>
      </w:r>
      <w:r w:rsidR="001E64B7" w:rsidRPr="001E64B7">
        <w:rPr>
          <w:rFonts w:ascii="Palatino Linotype" w:hAnsi="Palatino Linotype"/>
          <w:sz w:val="23"/>
          <w:szCs w:val="23"/>
          <w:lang w:val="es-ES_tradnl"/>
        </w:rPr>
        <w:t>)</w:t>
      </w:r>
      <w:r w:rsidR="001E64B7">
        <w:rPr>
          <w:rFonts w:ascii="Palatino Linotype" w:hAnsi="Palatino Linotype"/>
          <w:sz w:val="23"/>
          <w:szCs w:val="23"/>
          <w:lang w:val="es-ES_tradnl"/>
        </w:rPr>
        <w:t xml:space="preserve"> y como </w:t>
      </w:r>
      <w:r w:rsidR="001E64B7" w:rsidRPr="001E64B7">
        <w:rPr>
          <w:rFonts w:ascii="Palatino Linotype" w:hAnsi="Palatino Linotype"/>
          <w:sz w:val="24"/>
          <w:szCs w:val="23"/>
          <w:lang w:val="es-ES_tradnl"/>
        </w:rPr>
        <w:t>razones o motivos de la inconformidad</w:t>
      </w:r>
      <w:r w:rsidR="001E64B7">
        <w:rPr>
          <w:rFonts w:ascii="Palatino Linotype" w:hAnsi="Palatino Linotype"/>
          <w:sz w:val="23"/>
          <w:szCs w:val="23"/>
          <w:lang w:val="es-ES_tradnl"/>
        </w:rPr>
        <w:t>; “</w:t>
      </w:r>
      <w:r w:rsidR="001E64B7" w:rsidRPr="001E64B7">
        <w:rPr>
          <w:rFonts w:ascii="Palatino Linotype" w:hAnsi="Palatino Linotype"/>
          <w:i/>
          <w:sz w:val="23"/>
          <w:szCs w:val="23"/>
          <w:lang w:val="es-ES_tradnl"/>
        </w:rPr>
        <w:t>Se niegan a dar respuesta a la solicitud de información.”</w:t>
      </w:r>
      <w:r w:rsidR="001E64B7">
        <w:rPr>
          <w:rFonts w:ascii="Palatino Linotype" w:hAnsi="Palatino Linotype"/>
          <w:sz w:val="23"/>
          <w:szCs w:val="23"/>
          <w:lang w:val="es-ES_tradnl"/>
        </w:rPr>
        <w:t xml:space="preserve"> (Sic</w:t>
      </w:r>
      <w:r w:rsidR="001E64B7" w:rsidRPr="001E64B7">
        <w:rPr>
          <w:rFonts w:ascii="Palatino Linotype" w:hAnsi="Palatino Linotype"/>
          <w:sz w:val="23"/>
          <w:szCs w:val="23"/>
          <w:lang w:val="es-ES_tradnl"/>
        </w:rPr>
        <w:t>)</w:t>
      </w:r>
    </w:p>
    <w:p w14:paraId="31B4F137" w14:textId="77777777" w:rsidR="001E64B7" w:rsidRDefault="001E64B7" w:rsidP="00545923">
      <w:pPr>
        <w:spacing w:before="240" w:after="240" w:line="360" w:lineRule="auto"/>
        <w:jc w:val="both"/>
        <w:rPr>
          <w:rFonts w:ascii="Palatino Linotype" w:hAnsi="Palatino Linotype"/>
          <w:sz w:val="23"/>
          <w:szCs w:val="23"/>
          <w:lang w:val="es-ES_tradnl"/>
        </w:rPr>
      </w:pPr>
      <w:r w:rsidRPr="001E64B7">
        <w:rPr>
          <w:rFonts w:ascii="Palatino Linotype" w:hAnsi="Palatino Linotype"/>
          <w:sz w:val="23"/>
          <w:szCs w:val="23"/>
          <w:lang w:val="es-ES_tradnl"/>
        </w:rPr>
        <w:t xml:space="preserve">Transcurrido el plazo para emitir manifestaciones, el </w:t>
      </w:r>
      <w:r w:rsidRPr="001E64B7">
        <w:rPr>
          <w:rFonts w:ascii="Palatino Linotype" w:hAnsi="Palatino Linotype"/>
          <w:b/>
          <w:sz w:val="23"/>
          <w:szCs w:val="23"/>
          <w:lang w:val="es-ES_tradnl"/>
        </w:rPr>
        <w:t>SUJETO OBLIGADO</w:t>
      </w:r>
      <w:r w:rsidRPr="003E1250">
        <w:t xml:space="preserve"> </w:t>
      </w:r>
      <w:r w:rsidRPr="001E64B7">
        <w:rPr>
          <w:rFonts w:ascii="Palatino Linotype" w:hAnsi="Palatino Linotype"/>
          <w:sz w:val="23"/>
          <w:szCs w:val="23"/>
          <w:lang w:val="es-ES_tradnl"/>
        </w:rPr>
        <w:t>fue omi</w:t>
      </w:r>
      <w:r>
        <w:rPr>
          <w:rFonts w:ascii="Palatino Linotype" w:hAnsi="Palatino Linotype"/>
          <w:sz w:val="23"/>
          <w:szCs w:val="23"/>
          <w:lang w:val="es-ES_tradnl"/>
        </w:rPr>
        <w:t>so de realizar expresión alguna.</w:t>
      </w:r>
    </w:p>
    <w:p w14:paraId="7C282981" w14:textId="49456088" w:rsidR="0062311E" w:rsidRDefault="001E64B7" w:rsidP="00545923">
      <w:pPr>
        <w:spacing w:before="240" w:after="240" w:line="360" w:lineRule="auto"/>
        <w:jc w:val="both"/>
        <w:rPr>
          <w:rFonts w:ascii="Palatino Linotype" w:hAnsi="Palatino Linotype"/>
          <w:sz w:val="23"/>
          <w:szCs w:val="23"/>
          <w:lang w:val="es-ES_tradnl"/>
        </w:rPr>
      </w:pPr>
      <w:r>
        <w:rPr>
          <w:rFonts w:ascii="Palatino Linotype" w:eastAsia="Calibri" w:hAnsi="Palatino Linotype" w:cs="Tahoma"/>
          <w:sz w:val="23"/>
          <w:szCs w:val="23"/>
          <w:lang w:eastAsia="es-ES_tradnl"/>
        </w:rPr>
        <w:t>A</w:t>
      </w:r>
      <w:r>
        <w:rPr>
          <w:rFonts w:ascii="Palatino Linotype" w:hAnsi="Palatino Linotype"/>
          <w:sz w:val="23"/>
          <w:szCs w:val="23"/>
          <w:lang w:val="es-ES_tradnl"/>
        </w:rPr>
        <w:t>l respecto,</w:t>
      </w:r>
      <w:r w:rsidR="00EE49A8" w:rsidRPr="00EE49A8">
        <w:rPr>
          <w:rFonts w:ascii="Palatino Linotype" w:hAnsi="Palatino Linotype"/>
          <w:sz w:val="23"/>
          <w:szCs w:val="23"/>
          <w:lang w:val="es-ES_tradnl"/>
        </w:rPr>
        <w:t xml:space="preserve"> </w:t>
      </w:r>
      <w:r w:rsidR="00723296">
        <w:rPr>
          <w:rFonts w:ascii="Palatino Linotype" w:hAnsi="Palatino Linotype"/>
          <w:sz w:val="23"/>
          <w:szCs w:val="23"/>
          <w:lang w:val="es-ES_tradnl"/>
        </w:rPr>
        <w:t>la ponencia determinó</w:t>
      </w:r>
      <w:r w:rsidR="00545923">
        <w:rPr>
          <w:rFonts w:ascii="Palatino Linotype" w:hAnsi="Palatino Linotype"/>
          <w:sz w:val="23"/>
          <w:szCs w:val="23"/>
          <w:lang w:val="es-ES_tradnl"/>
        </w:rPr>
        <w:t xml:space="preserve"> que</w:t>
      </w:r>
      <w:r w:rsidR="00EE49A8" w:rsidRPr="00EE49A8">
        <w:rPr>
          <w:rFonts w:ascii="Palatino Linotype" w:hAnsi="Palatino Linotype"/>
          <w:sz w:val="23"/>
          <w:szCs w:val="23"/>
          <w:lang w:val="es-ES_tradnl"/>
        </w:rPr>
        <w:t xml:space="preserve"> </w:t>
      </w:r>
      <w:r w:rsidR="00545923">
        <w:rPr>
          <w:rFonts w:ascii="Palatino Linotype" w:hAnsi="Palatino Linotype"/>
          <w:sz w:val="23"/>
          <w:szCs w:val="23"/>
          <w:lang w:val="es-ES_tradnl"/>
        </w:rPr>
        <w:t>dich</w:t>
      </w:r>
      <w:r w:rsidR="009E03BD">
        <w:rPr>
          <w:rFonts w:ascii="Palatino Linotype" w:hAnsi="Palatino Linotype"/>
          <w:sz w:val="23"/>
          <w:szCs w:val="23"/>
          <w:lang w:val="es-ES_tradnl"/>
        </w:rPr>
        <w:t>a</w:t>
      </w:r>
      <w:r w:rsidR="0014177A">
        <w:rPr>
          <w:rFonts w:ascii="Palatino Linotype" w:hAnsi="Palatino Linotype"/>
          <w:sz w:val="23"/>
          <w:szCs w:val="23"/>
          <w:lang w:val="es-ES_tradnl"/>
        </w:rPr>
        <w:t>s</w:t>
      </w:r>
      <w:r w:rsidR="009E03BD">
        <w:rPr>
          <w:rFonts w:ascii="Palatino Linotype" w:hAnsi="Palatino Linotype"/>
          <w:sz w:val="23"/>
          <w:szCs w:val="23"/>
          <w:lang w:val="es-ES_tradnl"/>
        </w:rPr>
        <w:t xml:space="preserve"> respuesta</w:t>
      </w:r>
      <w:r w:rsidR="0014177A">
        <w:rPr>
          <w:rFonts w:ascii="Palatino Linotype" w:hAnsi="Palatino Linotype"/>
          <w:sz w:val="23"/>
          <w:szCs w:val="23"/>
          <w:lang w:val="es-ES_tradnl"/>
        </w:rPr>
        <w:t>s</w:t>
      </w:r>
      <w:r w:rsidR="00545923">
        <w:rPr>
          <w:rFonts w:ascii="Palatino Linotype" w:hAnsi="Palatino Linotype"/>
          <w:sz w:val="23"/>
          <w:szCs w:val="23"/>
          <w:lang w:val="es-ES_tradnl"/>
        </w:rPr>
        <w:t xml:space="preserve"> no satisface</w:t>
      </w:r>
      <w:r w:rsidR="0014177A">
        <w:rPr>
          <w:rFonts w:ascii="Palatino Linotype" w:hAnsi="Palatino Linotype"/>
          <w:sz w:val="23"/>
          <w:szCs w:val="23"/>
          <w:lang w:val="es-ES_tradnl"/>
        </w:rPr>
        <w:t>n</w:t>
      </w:r>
      <w:r>
        <w:rPr>
          <w:rFonts w:ascii="Palatino Linotype" w:hAnsi="Palatino Linotype"/>
          <w:sz w:val="23"/>
          <w:szCs w:val="23"/>
          <w:lang w:val="es-ES_tradnl"/>
        </w:rPr>
        <w:t xml:space="preserve"> los</w:t>
      </w:r>
      <w:r w:rsidR="00EE49A8" w:rsidRPr="00EE49A8">
        <w:rPr>
          <w:rFonts w:ascii="Palatino Linotype" w:hAnsi="Palatino Linotype"/>
          <w:sz w:val="23"/>
          <w:szCs w:val="23"/>
          <w:lang w:val="es-ES_tradnl"/>
        </w:rPr>
        <w:t xml:space="preserve"> requerimiento</w:t>
      </w:r>
      <w:r>
        <w:rPr>
          <w:rFonts w:ascii="Palatino Linotype" w:hAnsi="Palatino Linotype"/>
          <w:sz w:val="23"/>
          <w:szCs w:val="23"/>
          <w:lang w:val="es-ES_tradnl"/>
        </w:rPr>
        <w:t>s</w:t>
      </w:r>
      <w:r w:rsidR="00EE49A8" w:rsidRPr="00EE49A8">
        <w:rPr>
          <w:rFonts w:ascii="Palatino Linotype" w:hAnsi="Palatino Linotype"/>
          <w:sz w:val="23"/>
          <w:szCs w:val="23"/>
          <w:lang w:val="es-ES_tradnl"/>
        </w:rPr>
        <w:t xml:space="preserve"> inicial</w:t>
      </w:r>
      <w:r>
        <w:rPr>
          <w:rFonts w:ascii="Palatino Linotype" w:hAnsi="Palatino Linotype"/>
          <w:sz w:val="23"/>
          <w:szCs w:val="23"/>
          <w:lang w:val="es-ES_tradnl"/>
        </w:rPr>
        <w:t>es</w:t>
      </w:r>
      <w:r w:rsidR="0014177A" w:rsidRPr="0014177A">
        <w:t xml:space="preserve"> </w:t>
      </w:r>
      <w:r w:rsidR="0014177A" w:rsidRPr="0014177A">
        <w:rPr>
          <w:rFonts w:ascii="Palatino Linotype" w:hAnsi="Palatino Linotype"/>
          <w:sz w:val="23"/>
          <w:szCs w:val="23"/>
          <w:lang w:val="es-ES_tradnl"/>
        </w:rPr>
        <w:t xml:space="preserve">en atención a que la Comisión de Conciliación y Arbitraje Médico del Estado de México, no realizó pronunciamiento alguno, de la existencia o no de información en sus archivos, por lo que </w:t>
      </w:r>
      <w:r w:rsidR="0014177A">
        <w:rPr>
          <w:rFonts w:ascii="Palatino Linotype" w:hAnsi="Palatino Linotype"/>
          <w:sz w:val="23"/>
          <w:szCs w:val="23"/>
          <w:lang w:val="es-ES_tradnl"/>
        </w:rPr>
        <w:t>fue procedente establecer supuestos que debió</w:t>
      </w:r>
      <w:r w:rsidR="0014177A" w:rsidRPr="0014177A">
        <w:rPr>
          <w:rFonts w:ascii="Palatino Linotype" w:hAnsi="Palatino Linotype"/>
          <w:sz w:val="23"/>
          <w:szCs w:val="23"/>
          <w:lang w:val="es-ES_tradnl"/>
        </w:rPr>
        <w:t xml:space="preserve"> atender el </w:t>
      </w:r>
      <w:r w:rsidR="0014177A" w:rsidRPr="0014177A">
        <w:rPr>
          <w:rFonts w:ascii="Palatino Linotype" w:hAnsi="Palatino Linotype"/>
          <w:b/>
          <w:sz w:val="23"/>
          <w:szCs w:val="23"/>
          <w:lang w:val="es-ES_tradnl"/>
        </w:rPr>
        <w:t>SUJETO OBLIGADO</w:t>
      </w:r>
      <w:r w:rsidR="0014177A" w:rsidRPr="0014177A">
        <w:rPr>
          <w:rFonts w:ascii="Palatino Linotype" w:hAnsi="Palatino Linotype"/>
          <w:sz w:val="23"/>
          <w:szCs w:val="23"/>
          <w:lang w:val="es-ES_tradnl"/>
        </w:rPr>
        <w:t xml:space="preserve">, en caso de contar información que encuadre en el </w:t>
      </w:r>
      <w:r w:rsidR="0014177A">
        <w:rPr>
          <w:rFonts w:ascii="Palatino Linotype" w:hAnsi="Palatino Linotype"/>
          <w:sz w:val="23"/>
          <w:szCs w:val="23"/>
          <w:lang w:val="es-ES_tradnl"/>
        </w:rPr>
        <w:t>los supuestos desarrollados en el estudio de la resolución</w:t>
      </w:r>
      <w:r w:rsidR="0014177A" w:rsidRPr="0014177A">
        <w:rPr>
          <w:rFonts w:ascii="Palatino Linotype" w:hAnsi="Palatino Linotype"/>
          <w:sz w:val="23"/>
          <w:szCs w:val="23"/>
          <w:lang w:val="es-ES_tradnl"/>
        </w:rPr>
        <w:t>.</w:t>
      </w:r>
    </w:p>
    <w:p w14:paraId="683F38E3" w14:textId="77777777" w:rsidR="0014177A" w:rsidRDefault="00545923" w:rsidP="00723296">
      <w:pPr>
        <w:autoSpaceDE w:val="0"/>
        <w:autoSpaceDN w:val="0"/>
        <w:adjustRightInd w:val="0"/>
        <w:spacing w:after="0" w:line="360" w:lineRule="auto"/>
        <w:jc w:val="both"/>
        <w:rPr>
          <w:rFonts w:ascii="Palatino Linotype" w:hAnsi="Palatino Linotype"/>
          <w:sz w:val="23"/>
          <w:szCs w:val="23"/>
        </w:rPr>
      </w:pPr>
      <w:r>
        <w:rPr>
          <w:rFonts w:ascii="Palatino Linotype" w:hAnsi="Palatino Linotype"/>
          <w:sz w:val="23"/>
          <w:szCs w:val="23"/>
        </w:rPr>
        <w:lastRenderedPageBreak/>
        <w:t>Por lo que, previo análisis de las constancias y de la naturaleza de la información la Ponencia Resolutora determ</w:t>
      </w:r>
      <w:r w:rsidR="00AE517B">
        <w:rPr>
          <w:rFonts w:ascii="Palatino Linotype" w:hAnsi="Palatino Linotype"/>
          <w:sz w:val="23"/>
          <w:szCs w:val="23"/>
        </w:rPr>
        <w:t>inó</w:t>
      </w:r>
      <w:r>
        <w:rPr>
          <w:rFonts w:ascii="Palatino Linotype" w:hAnsi="Palatino Linotype"/>
          <w:sz w:val="23"/>
          <w:szCs w:val="23"/>
        </w:rPr>
        <w:t xml:space="preserve"> ordenar:</w:t>
      </w:r>
      <w:r w:rsidR="00244751">
        <w:rPr>
          <w:rFonts w:ascii="Palatino Linotype" w:hAnsi="Palatino Linotype"/>
          <w:sz w:val="23"/>
          <w:szCs w:val="23"/>
        </w:rPr>
        <w:t xml:space="preserve"> </w:t>
      </w:r>
    </w:p>
    <w:p w14:paraId="474F440B" w14:textId="77777777" w:rsidR="0014177A" w:rsidRDefault="0014177A" w:rsidP="0014177A">
      <w:pPr>
        <w:spacing w:after="0" w:line="360" w:lineRule="auto"/>
        <w:contextualSpacing/>
        <w:rPr>
          <w:rFonts w:cs="Tahoma"/>
          <w:b/>
          <w:bCs/>
        </w:rPr>
      </w:pPr>
    </w:p>
    <w:p w14:paraId="5E173725" w14:textId="3AB9E907" w:rsidR="0014177A" w:rsidRPr="0014177A" w:rsidRDefault="0014177A" w:rsidP="00226E3B">
      <w:pPr>
        <w:spacing w:after="0" w:line="360" w:lineRule="auto"/>
        <w:ind w:left="851" w:right="990"/>
        <w:contextualSpacing/>
        <w:jc w:val="both"/>
        <w:rPr>
          <w:rFonts w:ascii="Palatino Linotype" w:eastAsia="Calibri" w:hAnsi="Palatino Linotype" w:cs="Tahoma"/>
          <w:bCs/>
          <w:i/>
        </w:rPr>
      </w:pPr>
      <w:r w:rsidRPr="0014177A">
        <w:rPr>
          <w:rFonts w:ascii="Palatino Linotype" w:hAnsi="Palatino Linotype" w:cs="Tahoma"/>
          <w:b/>
          <w:bCs/>
          <w:i/>
        </w:rPr>
        <w:t>“</w:t>
      </w:r>
      <w:r w:rsidR="003F36A9">
        <w:rPr>
          <w:rFonts w:ascii="Palatino Linotype" w:hAnsi="Palatino Linotype" w:cs="Tahoma"/>
          <w:b/>
          <w:bCs/>
          <w:i/>
        </w:rPr>
        <w:t>…</w:t>
      </w:r>
    </w:p>
    <w:p w14:paraId="3BAB6FA4" w14:textId="676E7D3C" w:rsidR="0014177A" w:rsidRPr="0014177A" w:rsidRDefault="0014177A" w:rsidP="0014177A">
      <w:pPr>
        <w:autoSpaceDE w:val="0"/>
        <w:autoSpaceDN w:val="0"/>
        <w:adjustRightInd w:val="0"/>
        <w:spacing w:after="0" w:line="360" w:lineRule="auto"/>
        <w:ind w:left="851" w:right="990"/>
        <w:jc w:val="both"/>
        <w:rPr>
          <w:rFonts w:ascii="Palatino Linotype" w:eastAsia="Calibri" w:hAnsi="Palatino Linotype" w:cs="Tahoma"/>
          <w:i/>
          <w:iCs/>
          <w:lang w:eastAsia="es-ES_tradnl"/>
        </w:rPr>
      </w:pPr>
      <w:r w:rsidRPr="0014177A">
        <w:rPr>
          <w:rFonts w:ascii="Palatino Linotype" w:hAnsi="Palatino Linotype" w:cs="Tahoma"/>
          <w:b/>
          <w:bCs/>
          <w:i/>
        </w:rPr>
        <w:t xml:space="preserve">SEGUNDO. </w:t>
      </w:r>
      <w:r w:rsidRPr="0014177A">
        <w:rPr>
          <w:rFonts w:ascii="Palatino Linotype" w:hAnsi="Palatino Linotype" w:cs="Tahoma"/>
          <w:i/>
        </w:rPr>
        <w:t xml:space="preserve">Se </w:t>
      </w:r>
      <w:r w:rsidRPr="0014177A">
        <w:rPr>
          <w:rFonts w:ascii="Palatino Linotype" w:hAnsi="Palatino Linotype" w:cs="Tahoma"/>
          <w:b/>
          <w:i/>
        </w:rPr>
        <w:t xml:space="preserve">ORDENA </w:t>
      </w:r>
      <w:r w:rsidRPr="0014177A">
        <w:rPr>
          <w:rFonts w:ascii="Palatino Linotype" w:hAnsi="Palatino Linotype" w:cs="Tahoma"/>
          <w:bCs/>
          <w:i/>
        </w:rPr>
        <w:t xml:space="preserve">al </w:t>
      </w:r>
      <w:r w:rsidRPr="0014177A">
        <w:rPr>
          <w:rFonts w:ascii="Palatino Linotype" w:hAnsi="Palatino Linotype" w:cs="Tahoma"/>
          <w:i/>
        </w:rPr>
        <w:t>Ente Recurrido, a efecto de</w:t>
      </w:r>
      <w:r w:rsidRPr="0014177A">
        <w:rPr>
          <w:rFonts w:ascii="Palatino Linotype" w:eastAsia="Calibri" w:hAnsi="Palatino Linotype" w:cs="Tahoma"/>
          <w:i/>
          <w:lang w:eastAsia="es-MX"/>
        </w:rPr>
        <w:t xml:space="preserve"> que entregue</w:t>
      </w:r>
      <w:r w:rsidRPr="0014177A">
        <w:rPr>
          <w:rFonts w:ascii="Palatino Linotype" w:hAnsi="Palatino Linotype" w:cs="Tahoma"/>
          <w:i/>
        </w:rPr>
        <w:t xml:space="preserve">, a través del Sistema de Acceso a la Información Mexiquense (SAIMEX), previa búsqueda exhaustiva y razonable de la información, en su caso, en versión pública, los documentos que den cuenta, respecto de todos los servidores públicos de la Comisión, </w:t>
      </w:r>
      <w:r w:rsidRPr="0014177A">
        <w:rPr>
          <w:rFonts w:ascii="Palatino Linotype" w:eastAsia="Calibri" w:hAnsi="Palatino Linotype" w:cs="Tahoma"/>
          <w:bCs/>
          <w:i/>
          <w:iCs/>
          <w:lang w:eastAsia="es-ES_tradnl"/>
        </w:rPr>
        <w:t>del periodo comprendido del catorce de diciembre de dos mil veinte al trece de d</w:t>
      </w:r>
      <w:r w:rsidR="00226E3B">
        <w:rPr>
          <w:rFonts w:ascii="Palatino Linotype" w:eastAsia="Calibri" w:hAnsi="Palatino Linotype" w:cs="Tahoma"/>
          <w:bCs/>
          <w:i/>
          <w:iCs/>
          <w:lang w:eastAsia="es-ES_tradnl"/>
        </w:rPr>
        <w:t>iciembre del dos mil veintiuno,</w:t>
      </w:r>
      <w:r w:rsidRPr="0014177A">
        <w:rPr>
          <w:rFonts w:ascii="Palatino Linotype" w:hAnsi="Palatino Linotype" w:cs="Tahoma"/>
          <w:i/>
        </w:rPr>
        <w:t xml:space="preserve"> lo siguiente</w:t>
      </w:r>
      <w:r w:rsidRPr="0014177A">
        <w:rPr>
          <w:rFonts w:ascii="Palatino Linotype" w:eastAsia="Calibri" w:hAnsi="Palatino Linotype" w:cs="Tahoma"/>
          <w:i/>
          <w:iCs/>
          <w:lang w:eastAsia="es-ES_tradnl"/>
        </w:rPr>
        <w:t>:</w:t>
      </w:r>
    </w:p>
    <w:p w14:paraId="3AE6C151" w14:textId="77777777" w:rsidR="0014177A" w:rsidRPr="0014177A" w:rsidRDefault="0014177A" w:rsidP="0014177A">
      <w:pPr>
        <w:autoSpaceDE w:val="0"/>
        <w:autoSpaceDN w:val="0"/>
        <w:adjustRightInd w:val="0"/>
        <w:spacing w:after="0" w:line="360" w:lineRule="auto"/>
        <w:ind w:left="567" w:right="990"/>
        <w:jc w:val="both"/>
        <w:rPr>
          <w:rFonts w:ascii="Palatino Linotype" w:eastAsia="Calibri" w:hAnsi="Palatino Linotype" w:cs="Tahoma"/>
          <w:i/>
          <w:iCs/>
          <w:lang w:eastAsia="es-ES_tradnl"/>
        </w:rPr>
      </w:pPr>
    </w:p>
    <w:p w14:paraId="14C764E7" w14:textId="2D37012E" w:rsidR="00226E3B" w:rsidRPr="008E21A9" w:rsidRDefault="0014177A" w:rsidP="008E21A9">
      <w:pPr>
        <w:pStyle w:val="Prrafodelista"/>
        <w:numPr>
          <w:ilvl w:val="0"/>
          <w:numId w:val="4"/>
        </w:numPr>
        <w:autoSpaceDE w:val="0"/>
        <w:autoSpaceDN w:val="0"/>
        <w:adjustRightInd w:val="0"/>
        <w:spacing w:line="360" w:lineRule="auto"/>
        <w:ind w:left="1418" w:right="990" w:hanging="425"/>
        <w:jc w:val="both"/>
        <w:rPr>
          <w:rFonts w:ascii="Palatino Linotype" w:eastAsia="Calibri" w:hAnsi="Palatino Linotype" w:cs="Tahoma"/>
          <w:bCs/>
          <w:i/>
          <w:iCs/>
          <w:sz w:val="22"/>
          <w:szCs w:val="22"/>
          <w:lang w:eastAsia="es-ES_tradnl"/>
        </w:rPr>
      </w:pPr>
      <w:r w:rsidRPr="0014177A">
        <w:rPr>
          <w:rFonts w:ascii="Palatino Linotype" w:eastAsia="Calibri" w:hAnsi="Palatino Linotype" w:cs="Tahoma"/>
          <w:bCs/>
          <w:i/>
          <w:iCs/>
          <w:sz w:val="22"/>
          <w:szCs w:val="22"/>
          <w:lang w:eastAsia="es-ES_tradnl"/>
        </w:rPr>
        <w:t>De los expedientes de responsabilidades administrativas en trámite deberá entregar el acuerdo del Comité de Transparencia, donde se confirme la clasificación, como información reservada en términos del artículo 140, fracciones VI, de la Ley de Transparencia y Acceso a la Información Pública del Estado de México y Municipios.</w:t>
      </w:r>
    </w:p>
    <w:p w14:paraId="5571B783" w14:textId="514BD4A7" w:rsidR="0014177A" w:rsidRDefault="0014177A" w:rsidP="003F36A9">
      <w:pPr>
        <w:pStyle w:val="Prrafodelista"/>
        <w:autoSpaceDE w:val="0"/>
        <w:autoSpaceDN w:val="0"/>
        <w:adjustRightInd w:val="0"/>
        <w:spacing w:line="360" w:lineRule="auto"/>
        <w:ind w:left="1418" w:right="990"/>
        <w:jc w:val="both"/>
        <w:rPr>
          <w:rFonts w:ascii="Palatino Linotype" w:eastAsia="Calibri" w:hAnsi="Palatino Linotype" w:cs="Tahoma"/>
          <w:bCs/>
          <w:i/>
          <w:iCs/>
          <w:sz w:val="22"/>
          <w:szCs w:val="22"/>
          <w:lang w:eastAsia="es-ES_tradnl"/>
        </w:rPr>
      </w:pPr>
      <w:r w:rsidRPr="0014177A">
        <w:rPr>
          <w:rFonts w:ascii="Palatino Linotype" w:eastAsia="Calibri" w:hAnsi="Palatino Linotype" w:cs="Tahoma"/>
          <w:bCs/>
          <w:i/>
          <w:iCs/>
          <w:sz w:val="22"/>
          <w:szCs w:val="22"/>
          <w:lang w:eastAsia="es-ES_tradnl"/>
        </w:rPr>
        <w:t>Para el caso de expedientes relacionados con faltas administrativas relacionados con actos de corrupción o violaciones a derechos humanos, se deberá entregar el expediente en versión pública.</w:t>
      </w:r>
    </w:p>
    <w:p w14:paraId="092D859E" w14:textId="77777777" w:rsidR="00226E3B" w:rsidRPr="003F36A9" w:rsidRDefault="00226E3B" w:rsidP="003F36A9">
      <w:pPr>
        <w:pStyle w:val="Prrafodelista"/>
        <w:autoSpaceDE w:val="0"/>
        <w:autoSpaceDN w:val="0"/>
        <w:adjustRightInd w:val="0"/>
        <w:spacing w:line="360" w:lineRule="auto"/>
        <w:ind w:left="1418" w:right="990"/>
        <w:jc w:val="both"/>
        <w:rPr>
          <w:rFonts w:ascii="Palatino Linotype" w:eastAsia="Calibri" w:hAnsi="Palatino Linotype" w:cs="Tahoma"/>
          <w:bCs/>
          <w:i/>
          <w:iCs/>
          <w:sz w:val="22"/>
          <w:szCs w:val="22"/>
          <w:lang w:eastAsia="es-ES_tradnl"/>
        </w:rPr>
      </w:pPr>
    </w:p>
    <w:p w14:paraId="4076C04B" w14:textId="05AB9E54" w:rsidR="00226E3B" w:rsidRPr="008E21A9" w:rsidRDefault="0014177A" w:rsidP="008E21A9">
      <w:pPr>
        <w:pStyle w:val="Prrafodelista"/>
        <w:numPr>
          <w:ilvl w:val="0"/>
          <w:numId w:val="4"/>
        </w:numPr>
        <w:autoSpaceDE w:val="0"/>
        <w:autoSpaceDN w:val="0"/>
        <w:adjustRightInd w:val="0"/>
        <w:spacing w:line="360" w:lineRule="auto"/>
        <w:ind w:left="1418" w:right="990" w:hanging="425"/>
        <w:jc w:val="both"/>
        <w:rPr>
          <w:rFonts w:ascii="Palatino Linotype" w:eastAsia="Calibri" w:hAnsi="Palatino Linotype" w:cs="Tahoma"/>
          <w:bCs/>
          <w:i/>
          <w:iCs/>
          <w:sz w:val="22"/>
          <w:szCs w:val="22"/>
          <w:lang w:eastAsia="es-ES_tradnl"/>
        </w:rPr>
      </w:pPr>
      <w:r w:rsidRPr="0014177A">
        <w:rPr>
          <w:rFonts w:ascii="Palatino Linotype" w:eastAsia="Calibri" w:hAnsi="Palatino Linotype" w:cs="Tahoma"/>
          <w:bCs/>
          <w:i/>
          <w:iCs/>
          <w:sz w:val="22"/>
          <w:szCs w:val="22"/>
          <w:lang w:eastAsia="es-ES_tradnl"/>
        </w:rPr>
        <w:t xml:space="preserve">Versión pública de los expedientes de responsabilidades administrativas concluidos por faltas no graves o en donde haya recaído una resolución </w:t>
      </w:r>
      <w:r w:rsidRPr="0014177A">
        <w:rPr>
          <w:rFonts w:ascii="Palatino Linotype" w:eastAsia="Calibri" w:hAnsi="Palatino Linotype" w:cs="Tahoma"/>
          <w:bCs/>
          <w:i/>
          <w:iCs/>
          <w:sz w:val="22"/>
          <w:szCs w:val="22"/>
          <w:lang w:eastAsia="es-ES_tradnl"/>
        </w:rPr>
        <w:lastRenderedPageBreak/>
        <w:t xml:space="preserve">absolutoria, en donde se eliminen juntos con el nombre de los servidores públicos, los datos personales confidenciales. </w:t>
      </w:r>
    </w:p>
    <w:p w14:paraId="32CFCEF1" w14:textId="2AB2B62F" w:rsidR="0014177A" w:rsidRPr="003F36A9" w:rsidRDefault="0014177A" w:rsidP="003F36A9">
      <w:pPr>
        <w:pStyle w:val="Prrafodelista"/>
        <w:numPr>
          <w:ilvl w:val="0"/>
          <w:numId w:val="4"/>
        </w:numPr>
        <w:tabs>
          <w:tab w:val="left" w:pos="4962"/>
        </w:tabs>
        <w:spacing w:line="360" w:lineRule="auto"/>
        <w:ind w:left="1418" w:right="990" w:hanging="425"/>
        <w:jc w:val="both"/>
        <w:rPr>
          <w:rFonts w:ascii="Palatino Linotype" w:hAnsi="Palatino Linotype" w:cs="Arial"/>
          <w:bCs/>
          <w:i/>
          <w:sz w:val="22"/>
          <w:szCs w:val="22"/>
        </w:rPr>
      </w:pPr>
      <w:r w:rsidRPr="0014177A">
        <w:rPr>
          <w:rFonts w:ascii="Palatino Linotype" w:hAnsi="Palatino Linotype" w:cs="Arial"/>
          <w:bCs/>
          <w:i/>
          <w:sz w:val="22"/>
          <w:szCs w:val="22"/>
        </w:rPr>
        <w:t>Versión pública de los expedientes concluidos por faltas administrativas graves, en contra del Jefe de la Unidad de Apoyo Administrativo.</w:t>
      </w:r>
    </w:p>
    <w:p w14:paraId="328295D5" w14:textId="77777777" w:rsidR="003F36A9" w:rsidRDefault="003F36A9" w:rsidP="003F36A9">
      <w:pPr>
        <w:tabs>
          <w:tab w:val="left" w:pos="4962"/>
        </w:tabs>
        <w:spacing w:line="360" w:lineRule="auto"/>
        <w:ind w:left="993" w:right="990"/>
        <w:jc w:val="both"/>
        <w:rPr>
          <w:rFonts w:ascii="Palatino Linotype" w:hAnsi="Palatino Linotype" w:cs="Arial"/>
          <w:bCs/>
          <w:i/>
        </w:rPr>
      </w:pPr>
    </w:p>
    <w:p w14:paraId="26BBD6F0" w14:textId="45A24B9C" w:rsidR="00226E3B" w:rsidRPr="008E21A9" w:rsidRDefault="0014177A" w:rsidP="008E21A9">
      <w:pPr>
        <w:tabs>
          <w:tab w:val="left" w:pos="4962"/>
        </w:tabs>
        <w:spacing w:line="360" w:lineRule="auto"/>
        <w:ind w:left="993" w:right="990"/>
        <w:jc w:val="both"/>
        <w:rPr>
          <w:rFonts w:ascii="Palatino Linotype" w:hAnsi="Palatino Linotype" w:cs="Arial"/>
          <w:bCs/>
          <w:i/>
        </w:rPr>
      </w:pPr>
      <w:r w:rsidRPr="003F36A9">
        <w:rPr>
          <w:rFonts w:ascii="Palatino Linotype" w:hAnsi="Palatino Linotype" w:cs="Arial"/>
          <w:bCs/>
          <w:i/>
        </w:rPr>
        <w:t>Del periodo correspondiente del primero de enero al trece de diciembre del dos mil veintiuno:</w:t>
      </w:r>
      <w:bookmarkStart w:id="0" w:name="_GoBack"/>
      <w:bookmarkEnd w:id="0"/>
    </w:p>
    <w:p w14:paraId="0F3178ED" w14:textId="6E942D7F" w:rsidR="00226E3B" w:rsidRPr="008E21A9" w:rsidRDefault="0014177A" w:rsidP="008E21A9">
      <w:pPr>
        <w:pStyle w:val="Prrafodelista"/>
        <w:numPr>
          <w:ilvl w:val="0"/>
          <w:numId w:val="4"/>
        </w:numPr>
        <w:tabs>
          <w:tab w:val="left" w:pos="4962"/>
        </w:tabs>
        <w:spacing w:line="360" w:lineRule="auto"/>
        <w:ind w:left="1418" w:right="990" w:hanging="425"/>
        <w:jc w:val="both"/>
        <w:rPr>
          <w:rFonts w:ascii="Palatino Linotype" w:hAnsi="Palatino Linotype" w:cs="Arial"/>
          <w:bCs/>
          <w:i/>
          <w:sz w:val="22"/>
          <w:szCs w:val="22"/>
        </w:rPr>
      </w:pPr>
      <w:r w:rsidRPr="0014177A">
        <w:rPr>
          <w:rFonts w:ascii="Palatino Linotype" w:hAnsi="Palatino Linotype" w:cs="Arial"/>
          <w:bCs/>
          <w:i/>
          <w:sz w:val="22"/>
          <w:szCs w:val="22"/>
        </w:rPr>
        <w:t>Documento donde conste la cantidad de denuncias interpuestas contra servidores públicos de la dependencia ante el Órgano Interno de Control y adscripción de los denunciados, cantidad de denuncias que obtuvieron sanción, sanciones que se impusieron.</w:t>
      </w:r>
    </w:p>
    <w:p w14:paraId="093066A1" w14:textId="77777777" w:rsidR="0014177A" w:rsidRPr="0014177A" w:rsidRDefault="0014177A" w:rsidP="003F36A9">
      <w:pPr>
        <w:pStyle w:val="Prrafodelista"/>
        <w:numPr>
          <w:ilvl w:val="0"/>
          <w:numId w:val="4"/>
        </w:numPr>
        <w:tabs>
          <w:tab w:val="left" w:pos="4962"/>
        </w:tabs>
        <w:spacing w:line="360" w:lineRule="auto"/>
        <w:ind w:left="1418" w:right="990" w:hanging="425"/>
        <w:jc w:val="both"/>
        <w:rPr>
          <w:rFonts w:ascii="Palatino Linotype" w:hAnsi="Palatino Linotype" w:cs="Arial"/>
          <w:bCs/>
          <w:i/>
          <w:sz w:val="22"/>
          <w:szCs w:val="22"/>
        </w:rPr>
      </w:pPr>
      <w:r w:rsidRPr="0014177A">
        <w:rPr>
          <w:rFonts w:ascii="Palatino Linotype" w:hAnsi="Palatino Linotype" w:cs="Arial"/>
          <w:bCs/>
          <w:i/>
          <w:sz w:val="22"/>
          <w:szCs w:val="22"/>
        </w:rPr>
        <w:t>Documento donde conste la cantidad de Denuncias, sanciones aplicadas a mandos medios y superiores; así como área de adscripción de quienes cometieron faltas administrativas graves.</w:t>
      </w:r>
    </w:p>
    <w:p w14:paraId="20DDF3CD" w14:textId="77777777" w:rsidR="0014177A" w:rsidRPr="0014177A" w:rsidRDefault="0014177A" w:rsidP="0014177A">
      <w:pPr>
        <w:tabs>
          <w:tab w:val="left" w:pos="4962"/>
        </w:tabs>
        <w:spacing w:after="0" w:line="360" w:lineRule="auto"/>
        <w:ind w:left="567" w:right="990"/>
        <w:jc w:val="both"/>
        <w:rPr>
          <w:rFonts w:ascii="Palatino Linotype" w:eastAsia="Calibri" w:hAnsi="Palatino Linotype" w:cs="Tahoma"/>
          <w:bCs/>
          <w:i/>
          <w:iCs/>
        </w:rPr>
      </w:pPr>
    </w:p>
    <w:p w14:paraId="7DDEB39F" w14:textId="77777777" w:rsidR="0014177A" w:rsidRPr="0014177A" w:rsidRDefault="0014177A" w:rsidP="0014177A">
      <w:pPr>
        <w:spacing w:after="0" w:line="360" w:lineRule="auto"/>
        <w:ind w:left="567" w:right="990"/>
        <w:contextualSpacing/>
        <w:jc w:val="both"/>
        <w:rPr>
          <w:rFonts w:ascii="Palatino Linotype" w:hAnsi="Palatino Linotype" w:cs="Tahoma"/>
          <w:bCs/>
          <w:i/>
          <w:iCs/>
          <w:lang w:val="es-ES"/>
        </w:rPr>
      </w:pPr>
      <w:r w:rsidRPr="0014177A">
        <w:rPr>
          <w:rFonts w:ascii="Palatino Linotype" w:hAnsi="Palatino Linotype" w:cs="Tahoma"/>
          <w:bCs/>
          <w:i/>
          <w:iCs/>
          <w:lang w:val="es-ES"/>
        </w:rPr>
        <w:t>Junto con las versiones públicas se deberá entregar el Acuerdo de su Comité de Transparencia, en donde, de manera fundada y motivada, confirme la eliminación de los datos o información clasificada, en términos del artículo 143, fracción I, de la Ley de la materia.</w:t>
      </w:r>
    </w:p>
    <w:p w14:paraId="639DC4C9" w14:textId="77777777" w:rsidR="0014177A" w:rsidRPr="0014177A" w:rsidRDefault="0014177A" w:rsidP="0014177A">
      <w:pPr>
        <w:spacing w:after="0" w:line="360" w:lineRule="auto"/>
        <w:ind w:left="567" w:right="990"/>
        <w:contextualSpacing/>
        <w:jc w:val="both"/>
        <w:rPr>
          <w:rFonts w:ascii="Palatino Linotype" w:hAnsi="Palatino Linotype" w:cs="Tahoma"/>
          <w:bCs/>
          <w:i/>
          <w:iCs/>
          <w:lang w:val="es-ES"/>
        </w:rPr>
      </w:pPr>
    </w:p>
    <w:p w14:paraId="36932DC2" w14:textId="0A729567" w:rsidR="0014177A" w:rsidRPr="0014177A" w:rsidRDefault="0014177A" w:rsidP="0014177A">
      <w:pPr>
        <w:spacing w:after="0" w:line="360" w:lineRule="auto"/>
        <w:ind w:left="567" w:right="990"/>
        <w:contextualSpacing/>
        <w:jc w:val="both"/>
        <w:rPr>
          <w:rFonts w:ascii="Palatino Linotype" w:hAnsi="Palatino Linotype" w:cs="Tahoma"/>
          <w:bCs/>
          <w:i/>
          <w:iCs/>
          <w:lang w:val="es-ES"/>
        </w:rPr>
      </w:pPr>
      <w:r w:rsidRPr="0014177A">
        <w:rPr>
          <w:rFonts w:ascii="Palatino Linotype" w:hAnsi="Palatino Linotype" w:cs="Tahoma"/>
          <w:bCs/>
          <w:i/>
          <w:iCs/>
          <w:lang w:val="es-ES"/>
        </w:rPr>
        <w:t>De no contar con información que se ordena entregar en los numerales 3, 4 y 5 por no haberse generado, deberá hacerlo del conocimiento al Recurrente de manera clara y precisa.</w:t>
      </w:r>
      <w:r w:rsidR="003F36A9">
        <w:rPr>
          <w:rFonts w:ascii="Palatino Linotype" w:hAnsi="Palatino Linotype" w:cs="Tahoma"/>
          <w:bCs/>
          <w:i/>
          <w:iCs/>
          <w:lang w:val="es-ES"/>
        </w:rPr>
        <w:t xml:space="preserve"> …” (Sic)</w:t>
      </w:r>
    </w:p>
    <w:p w14:paraId="347E3E8A" w14:textId="77777777" w:rsidR="00CF4AE7" w:rsidRPr="00CF4AE7" w:rsidRDefault="00CF4AE7" w:rsidP="00CF4AE7">
      <w:pPr>
        <w:spacing w:after="0" w:line="360" w:lineRule="auto"/>
        <w:contextualSpacing/>
        <w:jc w:val="both"/>
        <w:rPr>
          <w:rFonts w:ascii="Palatino Linotype" w:eastAsia="Calibri" w:hAnsi="Palatino Linotype" w:cs="Tahoma"/>
          <w:i/>
          <w:iCs/>
          <w:lang w:val="es-ES" w:eastAsia="es-ES_tradnl"/>
        </w:rPr>
      </w:pPr>
    </w:p>
    <w:p w14:paraId="6A321277" w14:textId="66B7A741"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051D">
        <w:rPr>
          <w:rFonts w:ascii="Palatino Linotype" w:hAnsi="Palatino Linotype"/>
          <w:sz w:val="23"/>
          <w:szCs w:val="23"/>
        </w:rPr>
        <w:t xml:space="preserve"> debe mencionarse, que</w:t>
      </w:r>
      <w:r w:rsidR="00AE3307">
        <w:rPr>
          <w:rFonts w:ascii="Palatino Linotype" w:hAnsi="Palatino Linotype"/>
          <w:sz w:val="23"/>
          <w:szCs w:val="23"/>
        </w:rPr>
        <w:t xml:space="preserve"> como fue acordado,</w:t>
      </w:r>
      <w:r w:rsidR="00EE051D">
        <w:rPr>
          <w:rFonts w:ascii="Palatino Linotype" w:hAnsi="Palatino Linotype"/>
          <w:sz w:val="23"/>
          <w:szCs w:val="23"/>
        </w:rPr>
        <w:t xml:space="preserve"> t</w:t>
      </w:r>
      <w:r w:rsidR="00EE051D" w:rsidRPr="00EE051D">
        <w:rPr>
          <w:rFonts w:ascii="Palatino Linotype" w:hAnsi="Palatino Linotype"/>
          <w:sz w:val="23"/>
          <w:szCs w:val="23"/>
        </w:rPr>
        <w:t>ratándose de información reservada</w:t>
      </w:r>
      <w:r w:rsidR="00723296">
        <w:rPr>
          <w:rFonts w:ascii="Palatino Linotype" w:hAnsi="Palatino Linotype"/>
          <w:sz w:val="23"/>
          <w:szCs w:val="23"/>
        </w:rPr>
        <w:t xml:space="preserve"> como lo son </w:t>
      </w:r>
      <w:r w:rsidR="00723296" w:rsidRPr="00AE3307">
        <w:rPr>
          <w:rFonts w:ascii="Palatino Linotype" w:hAnsi="Palatino Linotype"/>
          <w:b/>
          <w:sz w:val="23"/>
          <w:szCs w:val="23"/>
        </w:rPr>
        <w:t>los procesos o procedimientos en trámite</w:t>
      </w:r>
      <w:r w:rsidR="001C5DB4">
        <w:rPr>
          <w:rFonts w:ascii="Palatino Linotype" w:hAnsi="Palatino Linotype"/>
          <w:b/>
          <w:sz w:val="23"/>
          <w:szCs w:val="23"/>
        </w:rPr>
        <w:t xml:space="preserve"> de las quejas o denuncias</w:t>
      </w:r>
      <w:r w:rsidR="00EE051D" w:rsidRPr="00AE3307">
        <w:rPr>
          <w:rFonts w:ascii="Palatino Linotype" w:hAnsi="Palatino Linotype"/>
          <w:b/>
          <w:sz w:val="23"/>
          <w:szCs w:val="23"/>
        </w:rPr>
        <w:t>,</w:t>
      </w:r>
      <w:r w:rsidR="00723296" w:rsidRPr="00723296">
        <w:rPr>
          <w:rFonts w:ascii="Palatino Linotype" w:hAnsi="Palatino Linotype"/>
          <w:sz w:val="23"/>
          <w:szCs w:val="23"/>
        </w:rPr>
        <w:t xml:space="preserve"> se deberá clasificar como información reservada aquella que sea re</w:t>
      </w:r>
      <w:r w:rsidR="001C5DB4">
        <w:rPr>
          <w:rFonts w:ascii="Palatino Linotype" w:hAnsi="Palatino Linotype"/>
          <w:sz w:val="23"/>
          <w:szCs w:val="23"/>
        </w:rPr>
        <w:t>lativa a expedientes en trámite,</w:t>
      </w:r>
      <w:r w:rsidR="00723296" w:rsidRPr="00723296">
        <w:rPr>
          <w:rFonts w:ascii="Palatino Linotype" w:hAnsi="Palatino Linotype"/>
          <w:sz w:val="23"/>
          <w:szCs w:val="23"/>
        </w:rPr>
        <w:t xml:space="preserve"> para lo que es necesario el desarrollo de la </w:t>
      </w:r>
      <w:r w:rsidR="00723296" w:rsidRPr="001C5DB4">
        <w:rPr>
          <w:rFonts w:ascii="Palatino Linotype" w:hAnsi="Palatino Linotype"/>
          <w:b/>
          <w:sz w:val="23"/>
          <w:szCs w:val="23"/>
        </w:rPr>
        <w:t>prueba de daño,</w:t>
      </w:r>
      <w:r w:rsidR="00723296">
        <w:rPr>
          <w:rFonts w:ascii="Palatino Linotype" w:hAnsi="Palatino Linotype"/>
          <w:sz w:val="23"/>
          <w:szCs w:val="23"/>
        </w:rPr>
        <w:t xml:space="preserve"> </w:t>
      </w:r>
      <w:r w:rsidR="00EE051D" w:rsidRPr="00EE051D">
        <w:rPr>
          <w:rFonts w:ascii="Palatino Linotype" w:hAnsi="Palatino Linotype"/>
          <w:sz w:val="23"/>
          <w:szCs w:val="23"/>
        </w:rPr>
        <w:t xml:space="preserve"> </w:t>
      </w:r>
      <w:r w:rsidR="00723296" w:rsidRPr="00723296">
        <w:rPr>
          <w:rFonts w:ascii="Palatino Linotype" w:hAnsi="Palatino Linotype"/>
          <w:b/>
          <w:sz w:val="23"/>
          <w:szCs w:val="23"/>
        </w:rPr>
        <w:t>debiendo</w:t>
      </w:r>
      <w:r w:rsidR="00EE051D" w:rsidRPr="00723296">
        <w:rPr>
          <w:rFonts w:ascii="Palatino Linotype" w:hAnsi="Palatino Linotype"/>
          <w:b/>
          <w:sz w:val="23"/>
          <w:szCs w:val="23"/>
        </w:rPr>
        <w:t xml:space="preserv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00EE051D" w:rsidRPr="00EE051D">
        <w:rPr>
          <w:rFonts w:ascii="Palatino Linotype" w:hAnsi="Palatino Linotype"/>
          <w:sz w:val="23"/>
          <w:szCs w:val="23"/>
        </w:rPr>
        <w:t xml:space="preserve">. En otras palabras, la determinación que Confirme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w:t>
      </w:r>
      <w:r w:rsidR="00EE051D" w:rsidRPr="00EE051D">
        <w:rPr>
          <w:rFonts w:ascii="Palatino Linotype" w:hAnsi="Palatino Linotype"/>
          <w:sz w:val="23"/>
          <w:szCs w:val="23"/>
        </w:rPr>
        <w:t xml:space="preserve">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1DFB535F" w14:textId="7777777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w:t>
      </w:r>
      <w:r w:rsidRPr="00A408AE">
        <w:rPr>
          <w:rFonts w:ascii="Palatino Linotype" w:hAnsi="Palatino Linotype"/>
          <w:sz w:val="23"/>
          <w:szCs w:val="23"/>
        </w:rPr>
        <w:lastRenderedPageBreak/>
        <w:t xml:space="preserve">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4DBA2BD1" w14:textId="77777777"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14:paraId="7A2FD5A0"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18236020"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202B6EFD"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14:paraId="3D4D9EB3"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65CE1B1B"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2EF2D219"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3472C327" w14:textId="77777777" w:rsidR="00A408AE" w:rsidRPr="00B770CB" w:rsidRDefault="00A408AE" w:rsidP="00A408AE">
      <w:pPr>
        <w:pStyle w:val="Sinespaciad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31B5803E" w14:textId="77777777" w:rsidR="00A25CE9" w:rsidRDefault="00A25CE9" w:rsidP="00EE051D">
      <w:pPr>
        <w:spacing w:line="360" w:lineRule="auto"/>
        <w:jc w:val="both"/>
        <w:rPr>
          <w:rFonts w:ascii="Palatino Linotype" w:hAnsi="Palatino Linotype"/>
          <w:sz w:val="23"/>
          <w:szCs w:val="23"/>
        </w:rPr>
      </w:pPr>
    </w:p>
    <w:p w14:paraId="1B059288" w14:textId="77777777" w:rsidR="00EE051D" w:rsidRDefault="00EE051D" w:rsidP="00EE051D">
      <w:pPr>
        <w:spacing w:line="360" w:lineRule="auto"/>
        <w:jc w:val="both"/>
        <w:rPr>
          <w:rFonts w:ascii="Palatino Linotype" w:hAnsi="Palatino Linotype"/>
          <w:sz w:val="23"/>
          <w:szCs w:val="23"/>
        </w:rPr>
      </w:pPr>
      <w:r>
        <w:rPr>
          <w:rFonts w:ascii="Palatino Linotype" w:hAnsi="Palatino Linotype"/>
          <w:sz w:val="23"/>
          <w:szCs w:val="23"/>
        </w:rPr>
        <w:t xml:space="preserve">En </w:t>
      </w:r>
      <w:r w:rsidR="00A408AE">
        <w:rPr>
          <w:rFonts w:ascii="Palatino Linotype" w:hAnsi="Palatino Linotype"/>
          <w:sz w:val="23"/>
          <w:szCs w:val="23"/>
        </w:rPr>
        <w:t>conclusión</w:t>
      </w:r>
      <w:r>
        <w:rPr>
          <w:rFonts w:ascii="Palatino Linotype" w:hAnsi="Palatino Linotype"/>
          <w:sz w:val="23"/>
          <w:szCs w:val="23"/>
        </w:rPr>
        <w:t>,</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3FD3343D" w14:textId="77F8D75D" w:rsidR="00A408AE" w:rsidRPr="00A408AE" w:rsidRDefault="00413E76" w:rsidP="00413E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D10A2F">
        <w:rPr>
          <w:rFonts w:ascii="Palatino Linotype" w:hAnsi="Palatino Linotype"/>
          <w:b/>
          <w:sz w:val="23"/>
          <w:szCs w:val="23"/>
        </w:rPr>
        <w:t>0</w:t>
      </w:r>
      <w:r w:rsidR="001C5DB4" w:rsidRPr="00D10A2F">
        <w:rPr>
          <w:rFonts w:ascii="Palatino Linotype" w:hAnsi="Palatino Linotype"/>
          <w:b/>
          <w:sz w:val="23"/>
          <w:szCs w:val="23"/>
        </w:rPr>
        <w:t>0266/INFOEM/IP/RR/2022 y Acumulados</w:t>
      </w:r>
      <w:r>
        <w:rPr>
          <w:rFonts w:ascii="Palatino Linotype" w:hAnsi="Palatino Linotype"/>
          <w:sz w:val="23"/>
          <w:szCs w:val="23"/>
        </w:rPr>
        <w:t>, en la cual</w:t>
      </w:r>
      <w:r w:rsidR="00AB2896">
        <w:rPr>
          <w:rFonts w:ascii="Palatino Linotype" w:hAnsi="Palatino Linotype"/>
          <w:sz w:val="23"/>
          <w:szCs w:val="23"/>
        </w:rPr>
        <w:t>,</w:t>
      </w:r>
      <w:r>
        <w:rPr>
          <w:rFonts w:ascii="Palatino Linotype" w:hAnsi="Palatino Linotype"/>
          <w:sz w:val="23"/>
          <w:szCs w:val="23"/>
        </w:rPr>
        <w:t xml:space="preserve"> el Comisionado</w:t>
      </w:r>
      <w:r w:rsidRPr="000D7039">
        <w:rPr>
          <w:rFonts w:ascii="Palatino Linotype" w:hAnsi="Palatino Linotype"/>
          <w:sz w:val="23"/>
          <w:szCs w:val="23"/>
        </w:rPr>
        <w:t xml:space="preserve"> </w:t>
      </w:r>
      <w:r>
        <w:rPr>
          <w:rFonts w:ascii="Palatino Linotype" w:hAnsi="Palatino Linotype"/>
          <w:sz w:val="23"/>
          <w:szCs w:val="23"/>
        </w:rPr>
        <w:t>Luis Gustavo Parra Noriega, realiza la prueba de daño</w:t>
      </w:r>
      <w:r w:rsidR="00AB2896">
        <w:rPr>
          <w:rFonts w:ascii="Palatino Linotype" w:hAnsi="Palatino Linotype"/>
          <w:sz w:val="23"/>
          <w:szCs w:val="23"/>
        </w:rPr>
        <w:t xml:space="preserve"> a partir de los elementos proporcionados por las partes</w:t>
      </w:r>
      <w:r>
        <w:rPr>
          <w:rFonts w:ascii="Palatino Linotype" w:hAnsi="Palatino Linotype"/>
          <w:sz w:val="23"/>
          <w:szCs w:val="23"/>
        </w:rPr>
        <w:t>,  c</w:t>
      </w:r>
      <w:r w:rsidR="00EE051D">
        <w:rPr>
          <w:rFonts w:ascii="Palatino Linotype" w:hAnsi="Palatino Linotype"/>
          <w:sz w:val="23"/>
          <w:szCs w:val="23"/>
        </w:rPr>
        <w:t xml:space="preserve">ircunstancias </w:t>
      </w:r>
      <w:r w:rsidR="007B2F7B">
        <w:rPr>
          <w:rFonts w:ascii="Palatino Linotype" w:hAnsi="Palatino Linotype"/>
          <w:sz w:val="23"/>
          <w:szCs w:val="23"/>
        </w:rPr>
        <w:t>que,</w:t>
      </w:r>
      <w:r w:rsidR="00EE051D">
        <w:rPr>
          <w:rFonts w:ascii="Palatino Linotype" w:hAnsi="Palatino Linotype"/>
          <w:sz w:val="23"/>
          <w:szCs w:val="23"/>
        </w:rPr>
        <w:t xml:space="preserve"> </w:t>
      </w:r>
      <w:r w:rsidR="009E03BD">
        <w:rPr>
          <w:rFonts w:ascii="Palatino Linotype" w:hAnsi="Palatino Linotype"/>
          <w:sz w:val="23"/>
          <w:szCs w:val="23"/>
        </w:rPr>
        <w:t>a consideración de la suscrita y derivado de lo antes señalado,</w:t>
      </w:r>
      <w:r w:rsidR="007B2F7B">
        <w:rPr>
          <w:rFonts w:ascii="Palatino Linotype" w:hAnsi="Palatino Linotype"/>
          <w:sz w:val="23"/>
          <w:szCs w:val="23"/>
        </w:rPr>
        <w:t xml:space="preserve"> </w:t>
      </w:r>
      <w:r w:rsidR="009E03BD">
        <w:rPr>
          <w:rFonts w:ascii="Palatino Linotype" w:hAnsi="Palatino Linotype"/>
          <w:b/>
          <w:sz w:val="23"/>
          <w:szCs w:val="23"/>
        </w:rPr>
        <w:t>les corresponde</w:t>
      </w:r>
      <w:r w:rsidR="00A408AE" w:rsidRPr="00A25CE9">
        <w:rPr>
          <w:rFonts w:ascii="Palatino Linotype" w:hAnsi="Palatino Linotype"/>
          <w:b/>
          <w:sz w:val="23"/>
          <w:szCs w:val="23"/>
        </w:rPr>
        <w:t xml:space="preserve"> comprobar a los Sujetos Obligados</w:t>
      </w:r>
      <w:r w:rsidR="00A408AE">
        <w:rPr>
          <w:rFonts w:ascii="Palatino Linotype" w:hAnsi="Palatino Linotype"/>
          <w:sz w:val="23"/>
          <w:szCs w:val="23"/>
        </w:rPr>
        <w:t xml:space="preserve">, en razón de que, </w:t>
      </w:r>
      <w:r w:rsidR="001C5DB4">
        <w:rPr>
          <w:rFonts w:ascii="Palatino Linotype" w:hAnsi="Palatino Linotype"/>
          <w:sz w:val="23"/>
          <w:szCs w:val="23"/>
        </w:rPr>
        <w:t>inmersa a</w:t>
      </w:r>
      <w:r w:rsidR="00A408AE" w:rsidRPr="00A408AE">
        <w:rPr>
          <w:rFonts w:ascii="Palatino Linotype" w:hAnsi="Palatino Linotype"/>
          <w:sz w:val="23"/>
          <w:szCs w:val="23"/>
        </w:rPr>
        <w:t xml:space="preserv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2487D0EB" w14:textId="77777777" w:rsidR="00A408AE" w:rsidRPr="00D732F2" w:rsidRDefault="00A408AE" w:rsidP="00A408AE">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09668929" w14:textId="77777777" w:rsidR="00A408AE" w:rsidRDefault="00A408AE" w:rsidP="00A408AE">
      <w:pPr>
        <w:jc w:val="both"/>
        <w:rPr>
          <w:rStyle w:val="normaltextrun"/>
          <w:rFonts w:ascii="Palatino Linotype" w:hAnsi="Palatino Linotype" w:cs="Segoe UI"/>
        </w:rPr>
      </w:pPr>
    </w:p>
    <w:p w14:paraId="3DA8AFCE" w14:textId="7777777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lastRenderedPageBreak/>
        <w:t xml:space="preserve">Precepto legal en donde establece que </w:t>
      </w:r>
      <w:r w:rsidRPr="00AE3307">
        <w:rPr>
          <w:rFonts w:ascii="Palatino Linotype" w:hAnsi="Palatino Linotype"/>
          <w:b/>
          <w:sz w:val="23"/>
          <w:szCs w:val="23"/>
        </w:rPr>
        <w:t>los encargados de realizar la prueba de daño, son los Sujeto Obligados;</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6FC19A68" w14:textId="1F04DBA7" w:rsidR="009E03BD" w:rsidRPr="00FF681E" w:rsidRDefault="00A408AE" w:rsidP="00FF681E">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w:t>
      </w:r>
      <w:r w:rsidR="00AE517B" w:rsidRPr="007B2F7B">
        <w:rPr>
          <w:rFonts w:ascii="Palatino Linotype" w:hAnsi="Palatino Linotype"/>
          <w:sz w:val="23"/>
          <w:szCs w:val="23"/>
        </w:rPr>
        <w:t>que,</w:t>
      </w:r>
      <w:r w:rsidRPr="007B2F7B">
        <w:rPr>
          <w:rFonts w:ascii="Palatino Linotype" w:hAnsi="Palatino Linotype"/>
          <w:sz w:val="23"/>
          <w:szCs w:val="23"/>
        </w:rPr>
        <w:t xml:space="preserve"> a través de la prueba de daño, </w:t>
      </w:r>
      <w:r w:rsidR="00824987" w:rsidRPr="00AE3307">
        <w:rPr>
          <w:rFonts w:ascii="Palatino Linotype" w:hAnsi="Palatino Linotype"/>
          <w:b/>
          <w:sz w:val="23"/>
          <w:szCs w:val="23"/>
        </w:rPr>
        <w:t xml:space="preserve">los sujetos </w:t>
      </w:r>
      <w:r w:rsidR="00F029C2" w:rsidRPr="00AE3307">
        <w:rPr>
          <w:rFonts w:ascii="Palatino Linotype" w:hAnsi="Palatino Linotype"/>
          <w:b/>
          <w:sz w:val="23"/>
          <w:szCs w:val="23"/>
        </w:rPr>
        <w:t>obligados expongan</w:t>
      </w:r>
      <w:r w:rsidR="00824987" w:rsidRPr="00AE3307">
        <w:rPr>
          <w:rFonts w:ascii="Palatino Linotype" w:hAnsi="Palatino Linotype"/>
          <w:b/>
          <w:sz w:val="23"/>
          <w:szCs w:val="23"/>
        </w:rPr>
        <w:t xml:space="preserve"> </w:t>
      </w:r>
      <w:r w:rsidRPr="00AE3307">
        <w:rPr>
          <w:rFonts w:ascii="Palatino Linotype" w:hAnsi="Palatino Linotype"/>
          <w:b/>
          <w:sz w:val="23"/>
          <w:szCs w:val="23"/>
        </w:rPr>
        <w:t>las razones, motivos o circunsta</w:t>
      </w:r>
      <w:r w:rsidR="00824987" w:rsidRPr="00AE3307">
        <w:rPr>
          <w:rFonts w:ascii="Palatino Linotype" w:hAnsi="Palatino Linotype"/>
          <w:b/>
          <w:sz w:val="23"/>
          <w:szCs w:val="23"/>
        </w:rPr>
        <w:t xml:space="preserve">ncias especiales que los lleven a </w:t>
      </w:r>
      <w:r w:rsidRPr="00AE3307">
        <w:rPr>
          <w:rFonts w:ascii="Palatino Linotype" w:hAnsi="Palatino Linotype"/>
          <w:b/>
          <w:sz w:val="23"/>
          <w:szCs w:val="23"/>
        </w:rPr>
        <w:t>concluir</w:t>
      </w:r>
      <w:r w:rsidR="00824987" w:rsidRPr="00AE3307">
        <w:rPr>
          <w:rFonts w:ascii="Palatino Linotype" w:hAnsi="Palatino Linotype"/>
          <w:b/>
          <w:sz w:val="23"/>
          <w:szCs w:val="23"/>
        </w:rPr>
        <w:t xml:space="preserve"> </w:t>
      </w:r>
      <w:r w:rsidR="00F029C2" w:rsidRPr="00AE3307">
        <w:rPr>
          <w:rFonts w:ascii="Palatino Linotype" w:hAnsi="Palatino Linotype"/>
          <w:b/>
          <w:sz w:val="23"/>
          <w:szCs w:val="23"/>
        </w:rPr>
        <w:t>que la</w:t>
      </w:r>
      <w:r w:rsidR="00824987" w:rsidRPr="00AE3307">
        <w:rPr>
          <w:rFonts w:ascii="Palatino Linotype" w:hAnsi="Palatino Linotype"/>
          <w:b/>
          <w:sz w:val="23"/>
          <w:szCs w:val="23"/>
        </w:rPr>
        <w:t xml:space="preserve"> </w:t>
      </w:r>
      <w:r w:rsidRPr="00AE3307">
        <w:rPr>
          <w:rFonts w:ascii="Palatino Linotype" w:hAnsi="Palatino Linotype"/>
          <w:b/>
          <w:sz w:val="23"/>
          <w:szCs w:val="23"/>
        </w:rPr>
        <w:t xml:space="preserve">información </w:t>
      </w:r>
      <w:r w:rsidR="00824987" w:rsidRPr="00AE3307">
        <w:rPr>
          <w:rFonts w:ascii="Palatino Linotype" w:hAnsi="Palatino Linotype"/>
          <w:b/>
          <w:sz w:val="23"/>
          <w:szCs w:val="23"/>
        </w:rPr>
        <w:t xml:space="preserve">adquiere el carácter de </w:t>
      </w:r>
      <w:r w:rsidRPr="00AE3307">
        <w:rPr>
          <w:rFonts w:ascii="Palatino Linotype" w:hAnsi="Palatino Linotype"/>
          <w:b/>
          <w:sz w:val="23"/>
          <w:szCs w:val="23"/>
        </w:rPr>
        <w:t xml:space="preserve">reservada, </w:t>
      </w:r>
      <w:r w:rsidR="00824987" w:rsidRPr="00AE3307">
        <w:rPr>
          <w:rFonts w:ascii="Palatino Linotype" w:hAnsi="Palatino Linotype"/>
          <w:b/>
          <w:sz w:val="23"/>
          <w:szCs w:val="23"/>
        </w:rPr>
        <w:t>y se ajusta</w:t>
      </w:r>
      <w:r w:rsidRPr="00AE3307">
        <w:rPr>
          <w:rFonts w:ascii="Palatino Linotype" w:hAnsi="Palatino Linotype"/>
          <w:b/>
          <w:sz w:val="23"/>
          <w:szCs w:val="23"/>
        </w:rPr>
        <w:t xml:space="preserve"> a los supuestos previstos en la normatividad como fundamento. </w:t>
      </w:r>
    </w:p>
    <w:p w14:paraId="0C228360" w14:textId="61CCFA96" w:rsidR="00413E76" w:rsidRDefault="00413E76" w:rsidP="001755B0">
      <w:pPr>
        <w:spacing w:before="240" w:after="240" w:line="360" w:lineRule="auto"/>
        <w:jc w:val="both"/>
        <w:rPr>
          <w:rFonts w:ascii="Palatino Linotype" w:hAnsi="Palatino Linotype"/>
          <w:sz w:val="23"/>
          <w:szCs w:val="23"/>
        </w:rPr>
      </w:pPr>
      <w:r>
        <w:rPr>
          <w:rFonts w:ascii="Palatino Linotype" w:hAnsi="Palatino Linotype"/>
          <w:sz w:val="23"/>
          <w:szCs w:val="23"/>
        </w:rPr>
        <w:t xml:space="preserve">Por lo que, </w:t>
      </w:r>
      <w:r w:rsidR="00FB40AC">
        <w:rPr>
          <w:rFonts w:ascii="Palatino Linotype" w:hAnsi="Palatino Linotype"/>
          <w:sz w:val="23"/>
          <w:szCs w:val="23"/>
        </w:rPr>
        <w:t xml:space="preserve">en opinión de la Suscrita, y en términos de lo dispuesto por la normatividad en la materia </w:t>
      </w:r>
      <w:r w:rsidR="00FB40AC" w:rsidRPr="00FF681E">
        <w:rPr>
          <w:rFonts w:ascii="Palatino Linotype" w:hAnsi="Palatino Linotype"/>
          <w:b/>
          <w:sz w:val="23"/>
          <w:szCs w:val="23"/>
        </w:rPr>
        <w:t xml:space="preserve">son los </w:t>
      </w:r>
      <w:r w:rsidRPr="00FF681E">
        <w:rPr>
          <w:rFonts w:ascii="Palatino Linotype" w:hAnsi="Palatino Linotype"/>
          <w:b/>
          <w:sz w:val="23"/>
          <w:szCs w:val="23"/>
        </w:rPr>
        <w:t>Sujeto</w:t>
      </w:r>
      <w:r w:rsidR="00FB40AC" w:rsidRPr="00FF681E">
        <w:rPr>
          <w:rFonts w:ascii="Palatino Linotype" w:hAnsi="Palatino Linotype"/>
          <w:b/>
          <w:sz w:val="23"/>
          <w:szCs w:val="23"/>
        </w:rPr>
        <w:t>s</w:t>
      </w:r>
      <w:r w:rsidRPr="00FF681E">
        <w:rPr>
          <w:rFonts w:ascii="Palatino Linotype" w:hAnsi="Palatino Linotype"/>
          <w:b/>
          <w:sz w:val="23"/>
          <w:szCs w:val="23"/>
        </w:rPr>
        <w:t xml:space="preserve"> Obligado</w:t>
      </w:r>
      <w:r w:rsidR="00FB40AC" w:rsidRPr="00FF681E">
        <w:rPr>
          <w:rFonts w:ascii="Palatino Linotype" w:hAnsi="Palatino Linotype"/>
          <w:b/>
          <w:sz w:val="23"/>
          <w:szCs w:val="23"/>
        </w:rPr>
        <w:t>s</w:t>
      </w:r>
      <w:r w:rsidRPr="00FF681E">
        <w:rPr>
          <w:rFonts w:ascii="Palatino Linotype" w:hAnsi="Palatino Linotype"/>
          <w:b/>
          <w:sz w:val="23"/>
          <w:szCs w:val="23"/>
        </w:rPr>
        <w:t xml:space="preserve"> </w:t>
      </w:r>
      <w:r w:rsidR="00FB40AC" w:rsidRPr="00FF681E">
        <w:rPr>
          <w:rFonts w:ascii="Palatino Linotype" w:hAnsi="Palatino Linotype"/>
          <w:b/>
          <w:sz w:val="23"/>
          <w:szCs w:val="23"/>
        </w:rPr>
        <w:t xml:space="preserve">los que deben aportar los elementos desarrollar </w:t>
      </w:r>
      <w:r w:rsidRPr="00FF681E">
        <w:rPr>
          <w:rFonts w:ascii="Palatino Linotype" w:hAnsi="Palatino Linotype"/>
          <w:b/>
          <w:sz w:val="23"/>
          <w:szCs w:val="23"/>
        </w:rPr>
        <w:t xml:space="preserve"> la prueba de daño necesaria y suficiente, a fin de garantizar la reserva de información y la adecuada temporalidad de esta,</w:t>
      </w:r>
      <w:r w:rsidR="00AE0B32" w:rsidRPr="00FF681E">
        <w:rPr>
          <w:rFonts w:ascii="Palatino Linotype" w:hAnsi="Palatino Linotype"/>
          <w:b/>
          <w:sz w:val="23"/>
          <w:szCs w:val="23"/>
        </w:rPr>
        <w:t xml:space="preserve"> aportando</w:t>
      </w:r>
      <w:r w:rsidR="001755B0" w:rsidRPr="00FF681E">
        <w:rPr>
          <w:rFonts w:ascii="Palatino Linotype" w:hAnsi="Palatino Linotype"/>
          <w:b/>
          <w:sz w:val="23"/>
          <w:szCs w:val="23"/>
        </w:rPr>
        <w:t xml:space="preserve"> elementos necesarios para su clasificación y</w:t>
      </w:r>
      <w:r w:rsidRPr="00FF681E">
        <w:rPr>
          <w:rFonts w:ascii="Palatino Linotype" w:hAnsi="Palatino Linotype"/>
          <w:b/>
          <w:sz w:val="23"/>
          <w:szCs w:val="23"/>
        </w:rPr>
        <w:t xml:space="preserve"> favoreciendo la entrega de documentos</w:t>
      </w:r>
      <w:r w:rsidR="00AB2896" w:rsidRPr="00FF681E">
        <w:rPr>
          <w:rFonts w:ascii="Palatino Linotype" w:hAnsi="Palatino Linotype"/>
          <w:b/>
          <w:sz w:val="23"/>
          <w:szCs w:val="23"/>
        </w:rPr>
        <w:t xml:space="preserve"> mediante la </w:t>
      </w:r>
      <w:r w:rsidRPr="00FF681E">
        <w:rPr>
          <w:rFonts w:ascii="Palatino Linotype" w:hAnsi="Palatino Linotype"/>
          <w:b/>
          <w:sz w:val="23"/>
          <w:szCs w:val="23"/>
        </w:rPr>
        <w:t>versión pública</w:t>
      </w:r>
      <w:r>
        <w:rPr>
          <w:rFonts w:ascii="Palatino Linotype" w:hAnsi="Palatino Linotype"/>
          <w:sz w:val="23"/>
          <w:szCs w:val="23"/>
        </w:rPr>
        <w:t>.</w:t>
      </w:r>
    </w:p>
    <w:p w14:paraId="77F20090" w14:textId="2316A76F" w:rsidR="00F029C2" w:rsidRDefault="00413E76" w:rsidP="00FF4A05">
      <w:pPr>
        <w:spacing w:before="240" w:after="240" w:line="360" w:lineRule="auto"/>
        <w:jc w:val="both"/>
        <w:rPr>
          <w:rFonts w:ascii="Palatino Linotype" w:hAnsi="Palatino Linotype"/>
          <w:sz w:val="23"/>
          <w:szCs w:val="23"/>
        </w:rPr>
      </w:pPr>
      <w:r>
        <w:rPr>
          <w:rFonts w:ascii="Palatino Linotype" w:hAnsi="Palatino Linotype"/>
          <w:sz w:val="23"/>
          <w:szCs w:val="23"/>
        </w:rPr>
        <w:t xml:space="preserve"> </w:t>
      </w:r>
      <w:r w:rsidR="00FF4A05" w:rsidRPr="000D7039">
        <w:rPr>
          <w:rFonts w:ascii="Palatino Linotype" w:hAnsi="Palatino Linotype"/>
          <w:sz w:val="23"/>
          <w:szCs w:val="23"/>
        </w:rPr>
        <w:t xml:space="preserve">Lo expuesto, constituyen las razones y fundamentos que me llevan a emitir la opinión particular que se ha expresado. </w:t>
      </w:r>
    </w:p>
    <w:p w14:paraId="1A0C9857" w14:textId="186B65B2" w:rsidR="00F029C2" w:rsidRDefault="00F029C2" w:rsidP="00FF4A05">
      <w:pPr>
        <w:spacing w:before="240" w:after="240" w:line="360" w:lineRule="auto"/>
        <w:jc w:val="both"/>
        <w:rPr>
          <w:rFonts w:ascii="Palatino Linotype" w:hAnsi="Palatino Linotype"/>
          <w:sz w:val="23"/>
          <w:szCs w:val="23"/>
        </w:rPr>
      </w:pPr>
    </w:p>
    <w:p w14:paraId="703CF72D" w14:textId="77777777" w:rsidR="00F029C2" w:rsidRDefault="00F029C2" w:rsidP="00FF4A05">
      <w:pPr>
        <w:spacing w:before="240" w:after="240" w:line="360" w:lineRule="auto"/>
        <w:jc w:val="both"/>
        <w:rPr>
          <w:rFonts w:ascii="Palatino Linotype" w:hAnsi="Palatino Linotype"/>
          <w:sz w:val="23"/>
          <w:szCs w:val="23"/>
        </w:rPr>
        <w:sectPr w:rsidR="00F029C2"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pPr>
    </w:p>
    <w:p w14:paraId="6DE374AD" w14:textId="77777777" w:rsidR="00FF4A05" w:rsidRPr="000D7039" w:rsidRDefault="00FF4A05" w:rsidP="00FF4A05">
      <w:pPr>
        <w:spacing w:before="240" w:after="240" w:line="360" w:lineRule="auto"/>
        <w:jc w:val="both"/>
        <w:rPr>
          <w:rFonts w:ascii="Palatino Linotype" w:hAnsi="Palatino Linotype"/>
          <w:sz w:val="23"/>
          <w:szCs w:val="23"/>
        </w:rPr>
      </w:pPr>
    </w:p>
    <w:p w14:paraId="4A001073" w14:textId="77777777" w:rsidR="00FF4A05" w:rsidRPr="000D7039" w:rsidRDefault="00FF4A05" w:rsidP="00FF4A05">
      <w:pPr>
        <w:spacing w:before="240" w:after="240" w:line="360" w:lineRule="auto"/>
        <w:jc w:val="center"/>
        <w:rPr>
          <w:rFonts w:ascii="Palatino Linotype" w:hAnsi="Palatino Linotype"/>
          <w:b/>
          <w:sz w:val="23"/>
          <w:szCs w:val="23"/>
        </w:rPr>
      </w:pPr>
    </w:p>
    <w:p w14:paraId="7F83F280" w14:textId="77777777" w:rsidR="00FF4A05" w:rsidRPr="000D7039" w:rsidRDefault="00FF4A05" w:rsidP="00FF4A05">
      <w:pPr>
        <w:spacing w:after="0" w:line="240" w:lineRule="auto"/>
        <w:jc w:val="center"/>
        <w:rPr>
          <w:rFonts w:ascii="Palatino Linotype" w:hAnsi="Palatino Linotype"/>
          <w:sz w:val="23"/>
          <w:szCs w:val="23"/>
        </w:rPr>
      </w:pPr>
    </w:p>
    <w:p w14:paraId="03FB19D5" w14:textId="77777777" w:rsidR="00FF4A05" w:rsidRPr="000D7039" w:rsidRDefault="00FF4A05" w:rsidP="00FF4A05">
      <w:pPr>
        <w:spacing w:before="240" w:after="240" w:line="360" w:lineRule="auto"/>
        <w:rPr>
          <w:rFonts w:ascii="Palatino Linotype" w:hAnsi="Palatino Linotype"/>
          <w:sz w:val="24"/>
          <w:szCs w:val="24"/>
        </w:rPr>
      </w:pPr>
    </w:p>
    <w:p w14:paraId="531AA146" w14:textId="77777777" w:rsidR="00FF4A05" w:rsidRDefault="00FF4A05" w:rsidP="00FF4A05"/>
    <w:p w14:paraId="3FA9CA4E" w14:textId="77777777" w:rsidR="001556B4" w:rsidRDefault="001628DC"/>
    <w:sectPr w:rsidR="001556B4" w:rsidSect="00115CE3">
      <w:headerReference w:type="defaul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9A4EC" w14:textId="77777777" w:rsidR="001628DC" w:rsidRDefault="001628DC" w:rsidP="00FF4A05">
      <w:pPr>
        <w:spacing w:after="0" w:line="240" w:lineRule="auto"/>
      </w:pPr>
      <w:r>
        <w:separator/>
      </w:r>
    </w:p>
  </w:endnote>
  <w:endnote w:type="continuationSeparator" w:id="0">
    <w:p w14:paraId="192DA172" w14:textId="77777777" w:rsidR="001628DC" w:rsidRDefault="001628DC" w:rsidP="00F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3A1D4" w14:textId="77777777" w:rsidR="00765456" w:rsidRPr="00986599" w:rsidRDefault="005C707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E21A9">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E21A9">
      <w:rPr>
        <w:rFonts w:ascii="Arial" w:hAnsi="Arial" w:cs="Arial"/>
        <w:b/>
        <w:bCs/>
        <w:noProof/>
        <w:sz w:val="20"/>
        <w:szCs w:val="20"/>
      </w:rPr>
      <w:t>9</w:t>
    </w:r>
    <w:r w:rsidRPr="00986599">
      <w:rPr>
        <w:rFonts w:ascii="Arial" w:hAnsi="Arial" w:cs="Arial"/>
        <w:b/>
        <w:bCs/>
        <w:sz w:val="20"/>
        <w:szCs w:val="20"/>
      </w:rPr>
      <w:fldChar w:fldCharType="end"/>
    </w:r>
  </w:p>
  <w:p w14:paraId="19441770" w14:textId="77777777" w:rsidR="00D758BE" w:rsidRDefault="001628D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EDEFF" w14:textId="77777777" w:rsidR="001628DC" w:rsidRDefault="001628DC" w:rsidP="00FF4A05">
      <w:pPr>
        <w:spacing w:after="0" w:line="240" w:lineRule="auto"/>
      </w:pPr>
      <w:r>
        <w:separator/>
      </w:r>
    </w:p>
  </w:footnote>
  <w:footnote w:type="continuationSeparator" w:id="0">
    <w:p w14:paraId="208FC816" w14:textId="77777777" w:rsidR="001628DC" w:rsidRDefault="001628DC" w:rsidP="00F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326E4" w14:textId="77777777" w:rsidR="00D758BE" w:rsidRDefault="001628DC">
    <w:pPr>
      <w:pStyle w:val="Encabezado"/>
    </w:pPr>
    <w:r>
      <w:rPr>
        <w:noProof/>
      </w:rPr>
      <w:pict w14:anchorId="2185B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5168;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C707F">
      <w:rPr>
        <w:noProof/>
        <w:lang w:val="es-MX" w:eastAsia="es-MX"/>
      </w:rPr>
      <mc:AlternateContent>
        <mc:Choice Requires="wps">
          <w:drawing>
            <wp:anchor distT="0" distB="0" distL="114300" distR="114300" simplePos="0" relativeHeight="251659264" behindDoc="1" locked="0" layoutInCell="0" allowOverlap="1" wp14:anchorId="20CCAA85" wp14:editId="66B68103">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CCAA85"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5219" w14:textId="77777777" w:rsidR="00CB7EBA" w:rsidRPr="000D4A99" w:rsidRDefault="005C707F"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28041FC" wp14:editId="0D70179F">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79739EF" w14:textId="77777777" w:rsidR="00D758BE" w:rsidRPr="000D4A99" w:rsidRDefault="001628DC" w:rsidP="007263BB">
    <w:pPr>
      <w:pStyle w:val="Encabezado"/>
      <w:jc w:val="right"/>
      <w:rPr>
        <w:rFonts w:ascii="Arial" w:hAnsi="Arial" w:cs="Arial"/>
        <w:sz w:val="20"/>
        <w:szCs w:val="20"/>
      </w:rPr>
    </w:pPr>
  </w:p>
  <w:p w14:paraId="0F967027" w14:textId="77777777" w:rsidR="00D758BE" w:rsidRPr="000D4A99" w:rsidRDefault="001628DC" w:rsidP="007263BB">
    <w:pPr>
      <w:pStyle w:val="Encabezado"/>
      <w:jc w:val="right"/>
      <w:rPr>
        <w:rFonts w:ascii="Arial" w:hAnsi="Arial" w:cs="Arial"/>
        <w:sz w:val="20"/>
        <w:szCs w:val="20"/>
      </w:rPr>
    </w:pPr>
  </w:p>
  <w:p w14:paraId="195931FB" w14:textId="77777777" w:rsidR="00706042" w:rsidRPr="000D4A99" w:rsidRDefault="005C707F" w:rsidP="00352C9D">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00B45FED">
      <w:rPr>
        <w:rFonts w:ascii="Palatino Linotype" w:hAnsi="Palatino Linotype" w:cs="Arial"/>
        <w:b/>
        <w:sz w:val="20"/>
        <w:szCs w:val="20"/>
      </w:rPr>
      <w:t>OPINIÓ</w:t>
    </w:r>
    <w:r w:rsidR="00797DB7">
      <w:rPr>
        <w:rFonts w:ascii="Palatino Linotype" w:hAnsi="Palatino Linotype" w:cs="Arial"/>
        <w:b/>
        <w:sz w:val="20"/>
        <w:szCs w:val="20"/>
      </w:rPr>
      <w:t>N</w:t>
    </w:r>
    <w:r w:rsidRPr="000D4A99">
      <w:rPr>
        <w:rFonts w:ascii="Palatino Linotype" w:hAnsi="Palatino Linotype" w:cs="Arial"/>
        <w:b/>
        <w:sz w:val="20"/>
        <w:szCs w:val="20"/>
      </w:rPr>
      <w:t xml:space="preserve"> PARTICULAR </w:t>
    </w:r>
  </w:p>
  <w:p w14:paraId="0DDF2B4D" w14:textId="22292862" w:rsidR="00EE5FB0" w:rsidRPr="000D4A99" w:rsidRDefault="005C707F"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RECURSO DE REVISIÓN 0</w:t>
    </w:r>
    <w:r w:rsidR="00566CFC">
      <w:rPr>
        <w:rFonts w:ascii="Palatino Linotype" w:hAnsi="Palatino Linotype" w:cs="Arial"/>
        <w:b/>
        <w:sz w:val="20"/>
        <w:szCs w:val="20"/>
      </w:rPr>
      <w:t>026</w:t>
    </w:r>
    <w:r w:rsidR="001403D9">
      <w:rPr>
        <w:rFonts w:ascii="Palatino Linotype" w:hAnsi="Palatino Linotype" w:cs="Arial"/>
        <w:b/>
        <w:sz w:val="20"/>
        <w:szCs w:val="20"/>
      </w:rPr>
      <w:t>6</w:t>
    </w:r>
    <w:r w:rsidR="00566CFC">
      <w:rPr>
        <w:rFonts w:ascii="Palatino Linotype" w:hAnsi="Palatino Linotype" w:cs="Arial"/>
        <w:b/>
        <w:sz w:val="20"/>
        <w:szCs w:val="20"/>
      </w:rPr>
      <w:t>/INFOEM/IP/RR/2022</w:t>
    </w:r>
    <w:r w:rsidR="00B1168F">
      <w:rPr>
        <w:rFonts w:ascii="Palatino Linotype" w:hAnsi="Palatino Linotype" w:cs="Arial"/>
        <w:b/>
        <w:sz w:val="20"/>
        <w:szCs w:val="20"/>
      </w:rPr>
      <w:t xml:space="preserve"> y Acumulados</w:t>
    </w:r>
  </w:p>
  <w:p w14:paraId="458CD687" w14:textId="77777777" w:rsidR="00D758BE" w:rsidRPr="000D4A99" w:rsidRDefault="001628DC" w:rsidP="007263BB">
    <w:pPr>
      <w:pStyle w:val="Encabezado"/>
      <w:jc w:val="right"/>
      <w:rPr>
        <w:rFonts w:ascii="Palatino Linotype" w:hAnsi="Palatino Linotype" w:cs="Arial"/>
        <w:sz w:val="20"/>
        <w:szCs w:val="20"/>
      </w:rPr>
    </w:pPr>
  </w:p>
  <w:p w14:paraId="470EE3AA" w14:textId="77777777" w:rsidR="00233AB2" w:rsidRPr="000D4A99" w:rsidRDefault="001628DC"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B347" w14:textId="77777777" w:rsidR="00D758BE" w:rsidRDefault="001628DC">
    <w:pPr>
      <w:pStyle w:val="Encabezado"/>
    </w:pPr>
    <w:r>
      <w:rPr>
        <w:noProof/>
      </w:rPr>
      <w:pict w14:anchorId="2046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312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286B9" w14:textId="77777777" w:rsidR="00F029C2" w:rsidRPr="000D4A99" w:rsidRDefault="00F029C2" w:rsidP="007263BB">
    <w:pPr>
      <w:pStyle w:val="Encabezado"/>
      <w:jc w:val="right"/>
      <w:rPr>
        <w:rFonts w:ascii="Arial" w:hAnsi="Arial" w:cs="Arial"/>
        <w:sz w:val="20"/>
        <w:szCs w:val="20"/>
      </w:rPr>
    </w:pPr>
  </w:p>
  <w:p w14:paraId="20272746" w14:textId="77777777" w:rsidR="00F029C2" w:rsidRPr="000D4A99" w:rsidRDefault="00F029C2" w:rsidP="007263BB">
    <w:pPr>
      <w:pStyle w:val="Encabezado"/>
      <w:jc w:val="right"/>
      <w:rPr>
        <w:rFonts w:ascii="Arial" w:hAnsi="Arial" w:cs="Arial"/>
        <w:sz w:val="20"/>
        <w:szCs w:val="20"/>
      </w:rPr>
    </w:pPr>
  </w:p>
  <w:p w14:paraId="191A7306" w14:textId="77777777" w:rsidR="00F029C2" w:rsidRPr="000D4A99" w:rsidRDefault="00F029C2" w:rsidP="007263BB">
    <w:pPr>
      <w:pStyle w:val="Encabezado"/>
      <w:jc w:val="right"/>
      <w:rPr>
        <w:rFonts w:ascii="Arial" w:hAnsi="Arial" w:cs="Arial"/>
        <w:sz w:val="20"/>
        <w:szCs w:val="20"/>
      </w:rPr>
    </w:pPr>
  </w:p>
  <w:p w14:paraId="26BB6D0F" w14:textId="77777777" w:rsidR="00F029C2" w:rsidRPr="000D4A99" w:rsidRDefault="00F029C2"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7F53994C" w14:textId="77777777" w:rsidR="00F029C2" w:rsidRPr="000D4A99" w:rsidRDefault="00F029C2" w:rsidP="007263BB">
    <w:pPr>
      <w:pStyle w:val="Encabezado"/>
      <w:jc w:val="right"/>
      <w:rPr>
        <w:rFonts w:ascii="Palatino Linotype" w:hAnsi="Palatino Linotype" w:cs="Arial"/>
        <w:sz w:val="20"/>
        <w:szCs w:val="20"/>
      </w:rPr>
    </w:pPr>
  </w:p>
  <w:p w14:paraId="452CEDAF" w14:textId="77777777" w:rsidR="00F029C2" w:rsidRPr="000D4A99" w:rsidRDefault="00F029C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9592D"/>
    <w:multiLevelType w:val="hybridMultilevel"/>
    <w:tmpl w:val="311C4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2B6B3A"/>
    <w:multiLevelType w:val="hybridMultilevel"/>
    <w:tmpl w:val="59489BAA"/>
    <w:lvl w:ilvl="0" w:tplc="FFFFFFFF">
      <w:start w:val="1"/>
      <w:numFmt w:val="decimal"/>
      <w:lvlText w:val="%1."/>
      <w:lvlJc w:val="left"/>
      <w:pPr>
        <w:ind w:left="2345" w:hanging="360"/>
      </w:pPr>
      <w:rPr>
        <w:rFonts w:ascii="Palatino Linotype" w:eastAsiaTheme="minorHAnsi" w:hAnsi="Palatino Linotype" w:cstheme="minorBidi"/>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2"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7602532"/>
    <w:multiLevelType w:val="hybridMultilevel"/>
    <w:tmpl w:val="2D266B1A"/>
    <w:lvl w:ilvl="0" w:tplc="FFFFFFFF">
      <w:start w:val="1"/>
      <w:numFmt w:val="decimal"/>
      <w:lvlText w:val="%1."/>
      <w:lvlJc w:val="left"/>
      <w:pPr>
        <w:ind w:left="2912" w:hanging="360"/>
      </w:pPr>
      <w:rPr>
        <w:rFonts w:ascii="Palatino Linotype" w:eastAsiaTheme="minorHAnsi" w:hAnsi="Palatino Linotype" w:cstheme="minorBidi"/>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05"/>
    <w:rsid w:val="00007CA9"/>
    <w:rsid w:val="000846E9"/>
    <w:rsid w:val="00084E68"/>
    <w:rsid w:val="000C5ABB"/>
    <w:rsid w:val="000F69CA"/>
    <w:rsid w:val="0013260F"/>
    <w:rsid w:val="00133581"/>
    <w:rsid w:val="001403D9"/>
    <w:rsid w:val="0014177A"/>
    <w:rsid w:val="001628DC"/>
    <w:rsid w:val="001755B0"/>
    <w:rsid w:val="001C5DB4"/>
    <w:rsid w:val="001E64B7"/>
    <w:rsid w:val="00226E3B"/>
    <w:rsid w:val="00244751"/>
    <w:rsid w:val="00255A06"/>
    <w:rsid w:val="002B6CD5"/>
    <w:rsid w:val="00330C4C"/>
    <w:rsid w:val="00361187"/>
    <w:rsid w:val="003E7227"/>
    <w:rsid w:val="003F36A9"/>
    <w:rsid w:val="00413E76"/>
    <w:rsid w:val="004B7F65"/>
    <w:rsid w:val="004C7F7E"/>
    <w:rsid w:val="00545923"/>
    <w:rsid w:val="00566CFC"/>
    <w:rsid w:val="005B7A2A"/>
    <w:rsid w:val="005C707F"/>
    <w:rsid w:val="0062311E"/>
    <w:rsid w:val="00642D4B"/>
    <w:rsid w:val="006B2B9E"/>
    <w:rsid w:val="00716A35"/>
    <w:rsid w:val="00723296"/>
    <w:rsid w:val="00726C9D"/>
    <w:rsid w:val="00797DB7"/>
    <w:rsid w:val="007B2F7B"/>
    <w:rsid w:val="00824987"/>
    <w:rsid w:val="008E21A9"/>
    <w:rsid w:val="009C6C73"/>
    <w:rsid w:val="009E03BD"/>
    <w:rsid w:val="00A25CE9"/>
    <w:rsid w:val="00A408AE"/>
    <w:rsid w:val="00A90E1F"/>
    <w:rsid w:val="00AB2896"/>
    <w:rsid w:val="00AE0B32"/>
    <w:rsid w:val="00AE3307"/>
    <w:rsid w:val="00AE517B"/>
    <w:rsid w:val="00AE7C2F"/>
    <w:rsid w:val="00B1168F"/>
    <w:rsid w:val="00B45FED"/>
    <w:rsid w:val="00B52780"/>
    <w:rsid w:val="00B8649B"/>
    <w:rsid w:val="00C32ADF"/>
    <w:rsid w:val="00C92CB7"/>
    <w:rsid w:val="00CF4AE7"/>
    <w:rsid w:val="00D10A2F"/>
    <w:rsid w:val="00DF3FF9"/>
    <w:rsid w:val="00E6601C"/>
    <w:rsid w:val="00ED592B"/>
    <w:rsid w:val="00EE051D"/>
    <w:rsid w:val="00EE49A8"/>
    <w:rsid w:val="00F029C2"/>
    <w:rsid w:val="00F21DC0"/>
    <w:rsid w:val="00FB40AC"/>
    <w:rsid w:val="00FC05F4"/>
    <w:rsid w:val="00FF4A05"/>
    <w:rsid w:val="00FF6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E2A87"/>
  <w15:chartTrackingRefBased/>
  <w15:docId w15:val="{A9746F59-322D-4670-8D6E-F115F2D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0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4A0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4A05"/>
    <w:rPr>
      <w:rFonts w:ascii="Times New Roman" w:eastAsia="Times New Roman" w:hAnsi="Times New Roman" w:cs="Times New Roman"/>
      <w:sz w:val="24"/>
      <w:szCs w:val="24"/>
      <w:lang w:eastAsia="es-ES"/>
    </w:rPr>
  </w:style>
  <w:style w:type="paragraph" w:styleId="NormalWeb">
    <w:name w:val="Normal (Web)"/>
    <w:basedOn w:val="Normal"/>
    <w:uiPriority w:val="99"/>
    <w:rsid w:val="00FF4A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F4A0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A0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F4A05"/>
    <w:rPr>
      <w:vertAlign w:val="superscript"/>
    </w:rPr>
  </w:style>
  <w:style w:type="paragraph" w:customStyle="1" w:styleId="m5127500252372250437gmail-paragraph">
    <w:name w:val="m_5127500252372250437gmail-paragraph"/>
    <w:basedOn w:val="Normal"/>
    <w:rsid w:val="00FF4A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5ABB"/>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EE49A8"/>
    <w:rPr>
      <w:color w:val="0000FF"/>
      <w:u w:val="single"/>
    </w:rPr>
  </w:style>
  <w:style w:type="paragraph" w:customStyle="1" w:styleId="Default">
    <w:name w:val="Default"/>
    <w:rsid w:val="00EE051D"/>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normaltextrun">
    <w:name w:val="normaltextrun"/>
    <w:basedOn w:val="Fuentedeprrafopredeter"/>
    <w:rsid w:val="00A408AE"/>
  </w:style>
  <w:style w:type="paragraph" w:styleId="Sinespaciado">
    <w:name w:val="No Spacing"/>
    <w:aliases w:val="Francesa"/>
    <w:link w:val="SinespaciadoCar"/>
    <w:uiPriority w:val="1"/>
    <w:qFormat/>
    <w:rsid w:val="00A408AE"/>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A408AE"/>
    <w:rPr>
      <w:rFonts w:ascii="Times New Roman" w:eastAsia="Times New Roman" w:hAnsi="Times New Roman" w:cs="Times New Roman"/>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32ADF"/>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B52780"/>
    <w:rPr>
      <w:sz w:val="16"/>
      <w:szCs w:val="16"/>
    </w:rPr>
  </w:style>
  <w:style w:type="paragraph" w:styleId="Textocomentario">
    <w:name w:val="annotation text"/>
    <w:basedOn w:val="Normal"/>
    <w:link w:val="TextocomentarioCar"/>
    <w:uiPriority w:val="99"/>
    <w:semiHidden/>
    <w:unhideWhenUsed/>
    <w:rsid w:val="00B527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278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52780"/>
    <w:rPr>
      <w:b/>
      <w:bCs/>
    </w:rPr>
  </w:style>
  <w:style w:type="character" w:customStyle="1" w:styleId="AsuntodelcomentarioCar">
    <w:name w:val="Asunto del comentario Car"/>
    <w:basedOn w:val="TextocomentarioCar"/>
    <w:link w:val="Asuntodelcomentario"/>
    <w:uiPriority w:val="99"/>
    <w:semiHidden/>
    <w:rsid w:val="00B52780"/>
    <w:rPr>
      <w:b/>
      <w:bCs/>
      <w:sz w:val="20"/>
      <w:szCs w:val="20"/>
      <w:lang w:val="es-MX"/>
    </w:rPr>
  </w:style>
  <w:style w:type="paragraph" w:styleId="Textodeglobo">
    <w:name w:val="Balloon Text"/>
    <w:basedOn w:val="Normal"/>
    <w:link w:val="TextodegloboCar"/>
    <w:uiPriority w:val="99"/>
    <w:semiHidden/>
    <w:unhideWhenUsed/>
    <w:rsid w:val="00B527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780"/>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C144-9E8A-4352-A570-556F6598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1853</Words>
  <Characters>10197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sonyy</dc:creator>
  <cp:keywords/>
  <dc:description/>
  <cp:lastModifiedBy>Cuenta Microsoft</cp:lastModifiedBy>
  <cp:revision>8</cp:revision>
  <cp:lastPrinted>2022-01-21T00:31:00Z</cp:lastPrinted>
  <dcterms:created xsi:type="dcterms:W3CDTF">2022-02-15T02:44:00Z</dcterms:created>
  <dcterms:modified xsi:type="dcterms:W3CDTF">2022-04-18T16:49:00Z</dcterms:modified>
</cp:coreProperties>
</file>