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0A4" w:rsidRDefault="007C7F3F">
      <w:pPr>
        <w:widowControl w:val="0"/>
        <w:pBdr>
          <w:top w:val="nil"/>
          <w:left w:val="nil"/>
          <w:bottom w:val="nil"/>
          <w:right w:val="nil"/>
          <w:between w:val="nil"/>
        </w:pBdr>
        <w:spacing w:after="0" w:line="276" w:lineRule="auto"/>
      </w:pPr>
      <w:r>
        <w:pict w14:anchorId="2FE84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7216;visibility:hidden">
            <o:lock v:ext="edit" selection="t"/>
          </v:shape>
        </w:pict>
      </w:r>
      <w:r>
        <w:pict w14:anchorId="7CD87D4A">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p>
    <w:p w:rsidR="00C300A4" w:rsidRDefault="007C7F3F">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 xml:space="preserve">LA </w:t>
      </w:r>
      <w:r w:rsidR="006C2ADC" w:rsidRPr="006C2ADC">
        <w:rPr>
          <w:rFonts w:ascii="Palatino Linotype" w:eastAsia="Palatino Linotype" w:hAnsi="Palatino Linotype" w:cs="Palatino Linotype"/>
          <w:b/>
          <w:sz w:val="24"/>
          <w:szCs w:val="24"/>
        </w:rPr>
        <w:t>CUADRAGÉSIMA</w:t>
      </w:r>
      <w:r>
        <w:rPr>
          <w:rFonts w:ascii="Palatino Linotype" w:eastAsia="Palatino Linotype" w:hAnsi="Palatino Linotype" w:cs="Palatino Linotype"/>
          <w:b/>
          <w:sz w:val="24"/>
          <w:szCs w:val="24"/>
        </w:rPr>
        <w:t xml:space="preserve"> QUINTA SESIÓN ORDINARIA DEL </w:t>
      </w:r>
      <w:r w:rsidR="006C2ADC" w:rsidRPr="006C2ADC">
        <w:rPr>
          <w:rFonts w:ascii="Palatino Linotype" w:eastAsia="Palatino Linotype" w:hAnsi="Palatino Linotype" w:cs="Palatino Linotype"/>
          <w:b/>
          <w:sz w:val="24"/>
          <w:szCs w:val="24"/>
        </w:rPr>
        <w:t>CATORCE DE DICIEMBRE DE DOS MIL VEINTIDÓS</w:t>
      </w:r>
      <w:r>
        <w:rPr>
          <w:rFonts w:ascii="Palatino Linotype" w:eastAsia="Palatino Linotype" w:hAnsi="Palatino Linotype" w:cs="Palatino Linotype"/>
          <w:b/>
          <w:sz w:val="24"/>
          <w:szCs w:val="24"/>
        </w:rPr>
        <w:t>, EN EL RECURSO DE REVISIÓN 08</w:t>
      </w:r>
      <w:r w:rsidR="006C2ADC">
        <w:rPr>
          <w:rFonts w:ascii="Palatino Linotype" w:eastAsia="Palatino Linotype" w:hAnsi="Palatino Linotype" w:cs="Palatino Linotype"/>
          <w:b/>
          <w:sz w:val="24"/>
          <w:szCs w:val="24"/>
        </w:rPr>
        <w:t>751</w:t>
      </w:r>
      <w:r>
        <w:rPr>
          <w:rFonts w:ascii="Palatino Linotype" w:eastAsia="Palatino Linotype" w:hAnsi="Palatino Linotype" w:cs="Palatino Linotype"/>
          <w:b/>
          <w:sz w:val="24"/>
          <w:szCs w:val="24"/>
        </w:rPr>
        <w:t>/INFOEM/IP/RR/2022.</w:t>
      </w:r>
    </w:p>
    <w:p w:rsidR="006C2ADC" w:rsidRDefault="006C2ADC">
      <w:pPr>
        <w:spacing w:before="240" w:after="240" w:line="360" w:lineRule="auto"/>
        <w:jc w:val="both"/>
        <w:rPr>
          <w:rFonts w:ascii="Palatino Linotype" w:eastAsia="Palatino Linotype" w:hAnsi="Palatino Linotype" w:cs="Palatino Linotype"/>
          <w:sz w:val="24"/>
          <w:szCs w:val="24"/>
        </w:rPr>
      </w:pPr>
      <w:r w:rsidRPr="006C2ADC">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y Municipios, aprobó por unanimidad de votos, la resolución relativa al recurso de revisión </w:t>
      </w:r>
      <w:r w:rsidRPr="006C2ADC">
        <w:rPr>
          <w:rFonts w:ascii="Palatino Linotype" w:eastAsia="Palatino Linotype" w:hAnsi="Palatino Linotype" w:cs="Palatino Linotype"/>
          <w:b/>
          <w:sz w:val="24"/>
          <w:szCs w:val="24"/>
        </w:rPr>
        <w:t>08751/INFOEM/IP/RR/2022</w:t>
      </w:r>
      <w:r w:rsidRPr="006C2ADC">
        <w:rPr>
          <w:rFonts w:ascii="Palatino Linotype" w:eastAsia="Palatino Linotype" w:hAnsi="Palatino Linotype" w:cs="Palatino Linotype"/>
          <w:sz w:val="24"/>
          <w:szCs w:val="24"/>
        </w:rPr>
        <w:t xml:space="preserve">, presentada por el Comisionado Luis Gustavo Parra Noriega, respecto de la cual, la suscrita formula </w:t>
      </w:r>
      <w:r w:rsidRPr="006C2ADC">
        <w:rPr>
          <w:rFonts w:ascii="Palatino Linotype" w:eastAsia="Palatino Linotype" w:hAnsi="Palatino Linotype" w:cs="Palatino Linotype"/>
          <w:b/>
          <w:sz w:val="24"/>
          <w:szCs w:val="24"/>
        </w:rPr>
        <w:t>OPINIÓN PARTICULAR</w:t>
      </w:r>
      <w:r w:rsidRPr="006C2ADC">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C300A4" w:rsidRDefault="007C7F3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que suscribe, comparte en esencia el sentido del estudio realiz</w:t>
      </w:r>
      <w:r>
        <w:rPr>
          <w:rFonts w:ascii="Palatino Linotype" w:eastAsia="Palatino Linotype" w:hAnsi="Palatino Linotype" w:cs="Palatino Linotype"/>
          <w:sz w:val="24"/>
          <w:szCs w:val="24"/>
        </w:rPr>
        <w:t xml:space="preserve">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6C2ADC" w:rsidRDefault="006C2ADC">
      <w:pPr>
        <w:spacing w:before="120" w:after="120" w:line="360" w:lineRule="auto"/>
        <w:jc w:val="both"/>
        <w:rPr>
          <w:rFonts w:ascii="Palatino Linotype" w:eastAsia="Palatino Linotype" w:hAnsi="Palatino Linotype" w:cs="Palatino Linotype"/>
          <w:sz w:val="24"/>
          <w:szCs w:val="24"/>
        </w:rPr>
      </w:pPr>
      <w:bookmarkStart w:id="0" w:name="_heading=h.gjdgxs" w:colFirst="0" w:colLast="0"/>
      <w:bookmarkEnd w:id="0"/>
      <w:r w:rsidRPr="006C2ADC">
        <w:rPr>
          <w:rFonts w:ascii="Palatino Linotype" w:eastAsia="Palatino Linotype" w:hAnsi="Palatino Linotype" w:cs="Palatino Linotype"/>
          <w:sz w:val="24"/>
          <w:szCs w:val="24"/>
        </w:rPr>
        <w:lastRenderedPageBreak/>
        <w:t>En el caso concreto la parte Recurrente requirió a la Fiscalía General de Justicia el Estado de México que en esencia se le proporcionara la siguiente información:</w:t>
      </w:r>
    </w:p>
    <w:p w:rsidR="006C2ADC" w:rsidRDefault="006C2ADC" w:rsidP="006C2ADC">
      <w:pPr>
        <w:spacing w:before="120" w:after="120" w:line="240" w:lineRule="auto"/>
        <w:ind w:left="851" w:right="990"/>
        <w:jc w:val="both"/>
        <w:rPr>
          <w:rFonts w:ascii="Palatino Linotype" w:eastAsia="Palatino Linotype" w:hAnsi="Palatino Linotype" w:cs="Palatino Linotype"/>
          <w:sz w:val="24"/>
          <w:szCs w:val="24"/>
        </w:rPr>
      </w:pPr>
      <w:r w:rsidRPr="006C2ADC">
        <w:rPr>
          <w:rFonts w:ascii="Palatino Linotype" w:eastAsia="Palatino Linotype" w:hAnsi="Palatino Linotype" w:cs="Palatino Linotype"/>
          <w:i/>
          <w:szCs w:val="24"/>
        </w:rPr>
        <w:t xml:space="preserve">“Base de datos actualizada relacionada con los cuerpos no identificados documentada y en poder del Instituto de Servicios Periciales del Estado de México y/o de la Fiscalía de Justicia, donde se incluya descripción detallada, previa a la recuperación del cadáver (por ejemplo: las circunstancias del hallazgo del cadáver relacionando si se trata del resultado de una investigación judicial o si el cuerpo fue encontrado al azar); descripción del lugar de intervención; localización exacta del lugar de recuperación del cadáver; hora y fecha de la recuperación del cuerpo; descripción externa del cadáver (posición); descripción de las prendas; tipo de evidencias recuperadas (por ejemplo: prendas, proyectiles, documentos, fotografías, medicamentos, manchas de sangre o de fluidos orgánicos), su identificación y el laboratorio de destino para su análisis, lo anterior con la finalidad de posibilitar un diálogo entre las diferentes instituciones y coordinar los tiempos de respuesta; la ausencia o presencia de documentos de identificación, registro sobre el destino final del cadáver; causa de muerte; y si el deceso fue en el hospital. Esta información existe y está en poder de esta instancia dado el protocolo de tratamiento de identificación forense difundido por este Sujeto: https://fgjem.edomex.gob.mx/sites/fgjem.edomex.gob.mx/files/files/Acercade/Derechos%20Humanos/2019DICIEMBRE/PROTOCOLO%20DE%20TRATAMIENTO%20E%20IDENTIFICACI%C3%93N%20FORENSE.pdf, aquí se advierte que “Ningún cadáver no identificado o con identificación probable puede carecer del archivo básico para identificación”. Además la información debe ser pública dado que está relacionada con la posible violación de derechos humanos como es la desaparición de personas. Es el derecho de las personas desaparecidas a ser identificadas, la difusión de esta información favorecerá dicho derecho sin exponer la identidad o datos personales de las personas en cuestión.” </w:t>
      </w:r>
      <w:r w:rsidRPr="006C2ADC">
        <w:rPr>
          <w:rFonts w:ascii="Palatino Linotype" w:eastAsia="Palatino Linotype" w:hAnsi="Palatino Linotype" w:cs="Palatino Linotype"/>
          <w:sz w:val="24"/>
          <w:szCs w:val="24"/>
        </w:rPr>
        <w:t>(Sic)</w:t>
      </w:r>
    </w:p>
    <w:p w:rsidR="007C7F3F" w:rsidRDefault="007C7F3F">
      <w:pPr>
        <w:spacing w:before="240" w:after="240" w:line="360" w:lineRule="auto"/>
        <w:ind w:right="-3"/>
        <w:jc w:val="both"/>
        <w:rPr>
          <w:rFonts w:ascii="Palatino Linotype" w:eastAsia="Palatino Linotype" w:hAnsi="Palatino Linotype" w:cs="Palatino Linotype"/>
          <w:sz w:val="24"/>
          <w:szCs w:val="24"/>
        </w:rPr>
      </w:pPr>
      <w:r w:rsidRPr="007C7F3F">
        <w:rPr>
          <w:rFonts w:ascii="Palatino Linotype" w:eastAsia="Palatino Linotype" w:hAnsi="Palatino Linotype" w:cs="Palatino Linotype"/>
          <w:sz w:val="24"/>
          <w:szCs w:val="24"/>
        </w:rPr>
        <w:t xml:space="preserve">El </w:t>
      </w:r>
      <w:r w:rsidRPr="007C7F3F">
        <w:rPr>
          <w:rFonts w:ascii="Palatino Linotype" w:eastAsia="Palatino Linotype" w:hAnsi="Palatino Linotype" w:cs="Palatino Linotype"/>
          <w:b/>
          <w:sz w:val="24"/>
          <w:szCs w:val="24"/>
        </w:rPr>
        <w:t>Sujeto Obligado</w:t>
      </w:r>
      <w:r w:rsidRPr="007C7F3F">
        <w:rPr>
          <w:rFonts w:ascii="Palatino Linotype" w:eastAsia="Palatino Linotype" w:hAnsi="Palatino Linotype" w:cs="Palatino Linotype"/>
          <w:sz w:val="24"/>
          <w:szCs w:val="24"/>
        </w:rPr>
        <w:t xml:space="preserve"> notificó a través del Sistema de Acceso a la Información Mexiquense (SAIMEX), la respuesta correspondiente, en la que, a través del el Subdirector de Servicios Periciales Toluca indicó que la información solicitada no se encuentra procesada en los términos en que se solicita, toda vez que los datos que </w:t>
      </w:r>
      <w:r w:rsidRPr="007C7F3F">
        <w:rPr>
          <w:rFonts w:ascii="Palatino Linotype" w:eastAsia="Palatino Linotype" w:hAnsi="Palatino Linotype" w:cs="Palatino Linotype"/>
          <w:sz w:val="24"/>
          <w:szCs w:val="24"/>
        </w:rPr>
        <w:lastRenderedPageBreak/>
        <w:t>requiere no se desagregan al nivel en que los peticiona y esta Institución no se encuentra obligada a generarla, toda vez que los Sujetos Obligados sólo tienen el deber de proporcionar la información que obran en sus archivos de conformidad con los artículos 12 y 24 de la Ley antes citada, no obstante lo anterior, con el objeto de privilegiar el principio de máxima publicidad se informa que la Coordinación General de Servicios Periciales cuenta con la Unidad de Atención a Familiares de Cadáveres de Identidad</w:t>
      </w:r>
      <w:r>
        <w:rPr>
          <w:rFonts w:ascii="Palatino Linotype" w:eastAsia="Palatino Linotype" w:hAnsi="Palatino Linotype" w:cs="Palatino Linotype"/>
          <w:sz w:val="24"/>
          <w:szCs w:val="24"/>
        </w:rPr>
        <w:t xml:space="preserve"> </w:t>
      </w:r>
      <w:r w:rsidRPr="007C7F3F">
        <w:rPr>
          <w:rFonts w:ascii="Palatino Linotype" w:eastAsia="Palatino Linotype" w:hAnsi="Palatino Linotype" w:cs="Palatino Linotype"/>
          <w:sz w:val="24"/>
          <w:szCs w:val="24"/>
        </w:rPr>
        <w:t>Desconocida, la cual tiene la función de ofrecer información relativa de "los cadáveres de identidad desconocida", brindando atención personalizada y especializada, por lo</w:t>
      </w:r>
      <w:r>
        <w:rPr>
          <w:rFonts w:ascii="Palatino Linotype" w:eastAsia="Palatino Linotype" w:hAnsi="Palatino Linotype" w:cs="Palatino Linotype"/>
          <w:sz w:val="24"/>
          <w:szCs w:val="24"/>
        </w:rPr>
        <w:t xml:space="preserve"> </w:t>
      </w:r>
      <w:r w:rsidRPr="007C7F3F">
        <w:rPr>
          <w:rFonts w:ascii="Palatino Linotype" w:eastAsia="Palatino Linotype" w:hAnsi="Palatino Linotype" w:cs="Palatino Linotype"/>
          <w:sz w:val="24"/>
          <w:szCs w:val="24"/>
        </w:rPr>
        <w:t>cual se invita para en caso de contar con alguna Carpeta de investigación relacionada con la desaparición de personas, pueda acudir a las oficinas de la Coordinación.</w:t>
      </w:r>
    </w:p>
    <w:p w:rsidR="007C7F3F" w:rsidRDefault="007C7F3F">
      <w:pPr>
        <w:spacing w:before="240" w:after="240" w:line="360" w:lineRule="auto"/>
        <w:ind w:right="-3"/>
        <w:jc w:val="both"/>
        <w:rPr>
          <w:rFonts w:ascii="Palatino Linotype" w:eastAsia="Palatino Linotype" w:hAnsi="Palatino Linotype" w:cs="Palatino Linotype"/>
          <w:sz w:val="24"/>
          <w:szCs w:val="24"/>
        </w:rPr>
      </w:pPr>
      <w:r w:rsidRPr="007C7F3F">
        <w:rPr>
          <w:rFonts w:ascii="Palatino Linotype" w:eastAsia="Palatino Linotype" w:hAnsi="Palatino Linotype" w:cs="Palatino Linotype"/>
          <w:sz w:val="24"/>
          <w:szCs w:val="24"/>
        </w:rPr>
        <w:t>Ante este acto del Sujeto Obligado, el particular se inconformó, de manera medular arguyendo lo siguiente:</w:t>
      </w:r>
    </w:p>
    <w:p w:rsidR="007C7F3F" w:rsidRPr="007C7F3F" w:rsidRDefault="007C7F3F" w:rsidP="007C7F3F">
      <w:pPr>
        <w:spacing w:before="120" w:after="120" w:line="240" w:lineRule="auto"/>
        <w:ind w:left="851" w:right="992"/>
        <w:jc w:val="both"/>
        <w:rPr>
          <w:rFonts w:ascii="Palatino Linotype" w:eastAsia="Palatino Linotype" w:hAnsi="Palatino Linotype" w:cs="Palatino Linotype"/>
          <w:i/>
          <w:szCs w:val="24"/>
        </w:rPr>
      </w:pPr>
      <w:r w:rsidRPr="007C7F3F">
        <w:rPr>
          <w:rFonts w:ascii="Palatino Linotype" w:eastAsia="Palatino Linotype" w:hAnsi="Palatino Linotype" w:cs="Palatino Linotype"/>
          <w:i/>
          <w:szCs w:val="24"/>
        </w:rPr>
        <w:t>“Considero que el Sujeto debe proteger el derecho a la información mediante la máxima publicidad y entonces entregar la información en el formato en el que se encuentran disponibles tal como menciona en su respuesta a la solicitud” (Sic.)</w:t>
      </w:r>
    </w:p>
    <w:p w:rsidR="007C7F3F" w:rsidRDefault="007C7F3F">
      <w:pPr>
        <w:spacing w:before="240" w:after="240" w:line="360" w:lineRule="auto"/>
        <w:ind w:right="-3"/>
        <w:jc w:val="both"/>
        <w:rPr>
          <w:rFonts w:ascii="Palatino Linotype" w:eastAsia="Palatino Linotype" w:hAnsi="Palatino Linotype" w:cs="Palatino Linotype"/>
          <w:sz w:val="24"/>
          <w:szCs w:val="24"/>
        </w:rPr>
      </w:pPr>
      <w:r w:rsidRPr="007C7F3F">
        <w:rPr>
          <w:rFonts w:ascii="Palatino Linotype" w:eastAsia="Palatino Linotype" w:hAnsi="Palatino Linotype" w:cs="Palatino Linotype"/>
          <w:sz w:val="24"/>
          <w:szCs w:val="24"/>
        </w:rPr>
        <w:t>Por lo que, previo análisis de las constancias y de la naturaleza de la información, la Ponencia determinó MODIFICAR la respuesta y ordenar la entrega de información, posteriormente en su resolutivo SEGUNDO, precisa al Sujeto Obligado que deberá remitir al particular, lo siguiente:</w:t>
      </w:r>
    </w:p>
    <w:p w:rsidR="007C7F3F" w:rsidRPr="007C7F3F" w:rsidRDefault="007C7F3F" w:rsidP="007C7F3F">
      <w:pPr>
        <w:pStyle w:val="Prrafodelista"/>
        <w:numPr>
          <w:ilvl w:val="0"/>
          <w:numId w:val="2"/>
        </w:numPr>
        <w:spacing w:before="240" w:after="240" w:line="360" w:lineRule="auto"/>
        <w:ind w:right="-3"/>
        <w:jc w:val="both"/>
        <w:rPr>
          <w:rFonts w:ascii="Palatino Linotype" w:eastAsia="Palatino Linotype" w:hAnsi="Palatino Linotype" w:cs="Palatino Linotype"/>
          <w:sz w:val="24"/>
        </w:rPr>
      </w:pPr>
      <w:r w:rsidRPr="007C7F3F">
        <w:rPr>
          <w:rFonts w:ascii="Palatino Linotype" w:eastAsia="Palatino Linotype" w:hAnsi="Palatino Linotype" w:cs="Palatino Linotype"/>
          <w:sz w:val="24"/>
        </w:rPr>
        <w:t xml:space="preserve">El Acuerdo emitido por el Comité de Transparencia, en donde de manera fundada y motivada, confirme la clasificación como información reservada del </w:t>
      </w:r>
      <w:r w:rsidRPr="007C7F3F">
        <w:rPr>
          <w:rFonts w:ascii="Palatino Linotype" w:eastAsia="Palatino Linotype" w:hAnsi="Palatino Linotype" w:cs="Palatino Linotype"/>
          <w:sz w:val="24"/>
        </w:rPr>
        <w:lastRenderedPageBreak/>
        <w:t>sistema de personas no identificadas, en poder del Instituto de Servicios Periciales del Estado de México, de conformidad con los artículos 49, fracción II, 132, fracción II y 140, fracción XI de la Ley de Transparencia y Acceso a la Información Pública del Estado de México y Municipios.</w:t>
      </w:r>
    </w:p>
    <w:p w:rsidR="007C7F3F" w:rsidRDefault="007C7F3F">
      <w:pPr>
        <w:spacing w:line="360" w:lineRule="auto"/>
        <w:jc w:val="both"/>
        <w:rPr>
          <w:rFonts w:ascii="Palatino Linotype" w:eastAsia="Palatino Linotype" w:hAnsi="Palatino Linotype" w:cs="Palatino Linotype"/>
          <w:sz w:val="24"/>
          <w:szCs w:val="24"/>
        </w:rPr>
      </w:pPr>
      <w:r w:rsidRPr="007C7F3F">
        <w:rPr>
          <w:rFonts w:ascii="Palatino Linotype" w:eastAsia="Palatino Linotype" w:hAnsi="Palatino Linotype" w:cs="Palatino Linotype"/>
          <w:sz w:val="24"/>
          <w:szCs w:val="24"/>
        </w:rPr>
        <w:t xml:space="preserve">En ese sentido debe mencionarse que, toda vez que la persona solicitante requirió información que de conformidad con el pronunciamiento del Sujeto Obligado no se tiene procesada al grado de detalle solicitado, sino que obra en diferentes documentos que se localizan en diversas carpetas de investigación relacionadas con la desaparición de personas, </w:t>
      </w:r>
      <w:r w:rsidRPr="007C7F3F">
        <w:rPr>
          <w:rFonts w:ascii="Palatino Linotype" w:eastAsia="Palatino Linotype" w:hAnsi="Palatino Linotype" w:cs="Palatino Linotype"/>
          <w:b/>
          <w:sz w:val="24"/>
          <w:szCs w:val="24"/>
        </w:rPr>
        <w:t>para este Instituto resultaba pertinente la reserva de dicha información</w:t>
      </w:r>
      <w:r w:rsidRPr="007C7F3F">
        <w:rPr>
          <w:rFonts w:ascii="Palatino Linotype" w:eastAsia="Palatino Linotype" w:hAnsi="Palatino Linotype" w:cs="Palatino Linotype"/>
          <w:sz w:val="24"/>
          <w:szCs w:val="24"/>
        </w:rPr>
        <w:t xml:space="preserve">, para lo que es necesario el desarrollo de la prueba de daño, </w:t>
      </w:r>
      <w:r w:rsidRPr="007C7F3F">
        <w:rPr>
          <w:rFonts w:ascii="Palatino Linotype" w:eastAsia="Palatino Linotype" w:hAnsi="Palatino Linotype" w:cs="Palatino Linotype"/>
          <w:b/>
          <w:sz w:val="24"/>
          <w:szCs w:val="24"/>
        </w:rPr>
        <w:t>debiendo valorar el daño</w:t>
      </w:r>
      <w:r>
        <w:rPr>
          <w:rFonts w:ascii="Palatino Linotype" w:eastAsia="Palatino Linotype" w:hAnsi="Palatino Linotype" w:cs="Palatino Linotype"/>
          <w:b/>
          <w:sz w:val="24"/>
          <w:szCs w:val="24"/>
        </w:rPr>
        <w:t xml:space="preserve"> </w:t>
      </w:r>
      <w:r w:rsidRPr="007C7F3F">
        <w:rPr>
          <w:rFonts w:ascii="Palatino Linotype" w:eastAsia="Palatino Linotype" w:hAnsi="Palatino Linotype" w:cs="Palatino Linotype"/>
          <w:b/>
          <w:sz w:val="24"/>
          <w:szCs w:val="24"/>
        </w:rPr>
        <w:t>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p>
    <w:p w:rsidR="007C7F3F" w:rsidRDefault="007C7F3F">
      <w:pPr>
        <w:spacing w:line="360" w:lineRule="auto"/>
        <w:jc w:val="both"/>
        <w:rPr>
          <w:rFonts w:ascii="Palatino Linotype" w:eastAsia="Palatino Linotype" w:hAnsi="Palatino Linotype" w:cs="Palatino Linotype"/>
          <w:sz w:val="24"/>
          <w:szCs w:val="24"/>
        </w:rPr>
      </w:pPr>
      <w:r w:rsidRPr="007C7F3F">
        <w:rPr>
          <w:rFonts w:ascii="Palatino Linotype" w:eastAsia="Palatino Linotype" w:hAnsi="Palatino Linotype" w:cs="Palatino Linotype"/>
          <w:sz w:val="24"/>
          <w:szCs w:val="24"/>
        </w:rPr>
        <w:t>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w:t>
      </w:r>
    </w:p>
    <w:p w:rsidR="007C7F3F" w:rsidRDefault="007C7F3F">
      <w:pPr>
        <w:spacing w:line="360" w:lineRule="auto"/>
        <w:jc w:val="both"/>
        <w:rPr>
          <w:rFonts w:ascii="Palatino Linotype" w:eastAsia="Palatino Linotype" w:hAnsi="Palatino Linotype" w:cs="Palatino Linotype"/>
          <w:sz w:val="24"/>
          <w:szCs w:val="24"/>
        </w:rPr>
      </w:pPr>
    </w:p>
    <w:p w:rsidR="00C300A4" w:rsidRDefault="007C7F3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esta perspectiva, el Acuerdo de Clasificación de Información tiene</w:t>
      </w:r>
      <w:r>
        <w:rPr>
          <w:rFonts w:ascii="Palatino Linotype" w:eastAsia="Palatino Linotype" w:hAnsi="Palatino Linotype" w:cs="Palatino Linotype"/>
          <w:sz w:val="24"/>
          <w:szCs w:val="24"/>
        </w:rPr>
        <w:t xml:space="preserv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a través de la adecuada fundamentación y motivación de la clasificación de información, que incl</w:t>
      </w:r>
      <w:r>
        <w:rPr>
          <w:rFonts w:ascii="Palatino Linotype" w:eastAsia="Palatino Linotype" w:hAnsi="Palatino Linotype" w:cs="Palatino Linotype"/>
          <w:sz w:val="24"/>
          <w:szCs w:val="24"/>
        </w:rPr>
        <w:t>uya la prueba de daño a fin de establecer el perjuicio que podría provocar la entrega de la información, toda vez que los artículos 128 y 129 de la Ley de la Materia, disponen que para que los sujetos obligados puedan invocar una causa se deberá fundar y m</w:t>
      </w:r>
      <w:r>
        <w:rPr>
          <w:rFonts w:ascii="Palatino Linotype" w:eastAsia="Palatino Linotype" w:hAnsi="Palatino Linotype" w:cs="Palatino Linotype"/>
          <w:sz w:val="24"/>
          <w:szCs w:val="24"/>
        </w:rPr>
        <w:t>otivar, a través de la aplicación de la prueba de daño, en la cual se justifique que la divulgación de la información representa un riesgo real demostrable e identificable al superar el interés público de que se difunda atendiendo al principio de proporcio</w:t>
      </w:r>
      <w:r>
        <w:rPr>
          <w:rFonts w:ascii="Palatino Linotype" w:eastAsia="Palatino Linotype" w:hAnsi="Palatino Linotype" w:cs="Palatino Linotype"/>
          <w:sz w:val="24"/>
          <w:szCs w:val="24"/>
        </w:rPr>
        <w:t xml:space="preserve">nalidad y el medio menos restrictivo disponible para evitar perjuicio. </w:t>
      </w:r>
    </w:p>
    <w:p w:rsidR="00C300A4" w:rsidRDefault="007C7F3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elaboración de versiones públicas, establecen en su numeral T</w:t>
      </w:r>
      <w:r>
        <w:rPr>
          <w:rFonts w:ascii="Palatino Linotype" w:eastAsia="Palatino Linotype" w:hAnsi="Palatino Linotype" w:cs="Palatino Linotype"/>
          <w:sz w:val="24"/>
          <w:szCs w:val="24"/>
        </w:rPr>
        <w:t>rigésimo Tercero que, para la aplicación de la prueba de daño los sujetos obligados atenderán lo siguiente:</w:t>
      </w:r>
    </w:p>
    <w:p w:rsidR="00C300A4" w:rsidRDefault="007C7F3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7C7F3F">
        <w:rPr>
          <w:rFonts w:ascii="Palatino Linotype" w:eastAsia="Palatino Linotype" w:hAnsi="Palatino Linotype" w:cs="Palatino Linotype"/>
          <w:b/>
          <w:i/>
          <w:color w:val="000000"/>
        </w:rPr>
        <w:t>Trigésimo tercero</w:t>
      </w:r>
      <w:r>
        <w:rPr>
          <w:rFonts w:ascii="Palatino Linotype" w:eastAsia="Palatino Linotype" w:hAnsi="Palatino Linotype" w:cs="Palatino Linotype"/>
          <w:i/>
          <w:color w:val="000000"/>
        </w:rPr>
        <w:t>. Para la aplicación de la prueba de daño a la que hace referencia el artículo 104 de la Ley General, los sujetos obligados atende</w:t>
      </w:r>
      <w:r>
        <w:rPr>
          <w:rFonts w:ascii="Palatino Linotype" w:eastAsia="Palatino Linotype" w:hAnsi="Palatino Linotype" w:cs="Palatino Linotype"/>
          <w:i/>
          <w:color w:val="000000"/>
        </w:rPr>
        <w:t xml:space="preserve">rán lo siguiente: </w:t>
      </w:r>
    </w:p>
    <w:p w:rsidR="00C300A4" w:rsidRDefault="007C7F3F">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 corresponda, el supuesto normativo que expresamente le otorga el carácter d</w:t>
      </w:r>
      <w:r>
        <w:rPr>
          <w:rFonts w:ascii="Palatino Linotype" w:eastAsia="Palatino Linotype" w:hAnsi="Palatino Linotype" w:cs="Palatino Linotype"/>
          <w:i/>
          <w:color w:val="000000"/>
        </w:rPr>
        <w:t>e información reservada;</w:t>
      </w:r>
    </w:p>
    <w:p w:rsidR="00C300A4" w:rsidRDefault="007C7F3F">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II. Mediante la ponderación de los intereses en conflicto, los sujetos obligados </w:t>
      </w:r>
      <w:r>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w:t>
      </w:r>
      <w:r>
        <w:rPr>
          <w:rFonts w:ascii="Palatino Linotype" w:eastAsia="Palatino Linotype" w:hAnsi="Palatino Linotype" w:cs="Palatino Linotype"/>
          <w:b/>
          <w:i/>
          <w:color w:val="000000"/>
        </w:rPr>
        <w:t>o rebasa el interés público protegido por la reserva</w:t>
      </w:r>
      <w:r>
        <w:rPr>
          <w:rFonts w:ascii="Palatino Linotype" w:eastAsia="Palatino Linotype" w:hAnsi="Palatino Linotype" w:cs="Palatino Linotype"/>
          <w:i/>
          <w:color w:val="000000"/>
        </w:rPr>
        <w:t>;</w:t>
      </w:r>
    </w:p>
    <w:p w:rsidR="00C300A4" w:rsidRDefault="007C7F3F">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 entre la difusión de la información y la afectación del interés jurídico tutelado de que se trate;</w:t>
      </w:r>
    </w:p>
    <w:p w:rsidR="00C300A4" w:rsidRDefault="007C7F3F">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r>
      <w:r>
        <w:rPr>
          <w:rFonts w:ascii="Palatino Linotype" w:eastAsia="Palatino Linotype" w:hAnsi="Palatino Linotype" w:cs="Palatino Linotype"/>
          <w:i/>
          <w:color w:val="000000"/>
        </w:rPr>
        <w:t>Precisar las razones objetivas por las que la apertura de la información generaría una afectación, a través de los elementos de un riesgo real, demostrable e identificable;</w:t>
      </w:r>
    </w:p>
    <w:p w:rsidR="00C300A4" w:rsidRDefault="007C7F3F">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w:t>
      </w:r>
      <w:r>
        <w:rPr>
          <w:rFonts w:ascii="Palatino Linotype" w:eastAsia="Palatino Linotype" w:hAnsi="Palatino Linotype" w:cs="Palatino Linotype"/>
          <w:b/>
          <w:i/>
          <w:color w:val="000000"/>
        </w:rPr>
        <w:t>rcunstancias de modo, tiempo y lugar del daño</w:t>
      </w:r>
      <w:r>
        <w:rPr>
          <w:rFonts w:ascii="Palatino Linotype" w:eastAsia="Palatino Linotype" w:hAnsi="Palatino Linotype" w:cs="Palatino Linotype"/>
          <w:i/>
          <w:color w:val="000000"/>
        </w:rPr>
        <w:t>, y</w:t>
      </w:r>
    </w:p>
    <w:p w:rsidR="00C300A4" w:rsidRDefault="007C7F3F">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 xml:space="preserve">Deberán elegir la opción de excepción al acceso a la información que menos lo restrinja, la cual será adecuada y proporcional para la protección del interés público, y deberá inte1ferir lo menos posible </w:t>
      </w:r>
      <w:r>
        <w:rPr>
          <w:rFonts w:ascii="Palatino Linotype" w:eastAsia="Palatino Linotype" w:hAnsi="Palatino Linotype" w:cs="Palatino Linotype"/>
          <w:i/>
          <w:color w:val="000000"/>
        </w:rPr>
        <w:t>en el ejercicio efectivo del derecho de acceso a la información."(Sic)</w:t>
      </w:r>
    </w:p>
    <w:p w:rsidR="00C300A4" w:rsidRDefault="007C7F3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 xml:space="preserve">se debe efectuar el estudio de clasificación a la luz de los elementos que exigen los Lineamientos generales </w:t>
      </w:r>
      <w:r>
        <w:rPr>
          <w:rFonts w:ascii="Palatino Linotype" w:eastAsia="Palatino Linotype" w:hAnsi="Palatino Linotype" w:cs="Palatino Linotype"/>
          <w:b/>
          <w:sz w:val="24"/>
          <w:szCs w:val="24"/>
        </w:rPr>
        <w:t>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w:t>
      </w:r>
      <w:r>
        <w:rPr>
          <w:rFonts w:ascii="Palatino Linotype" w:eastAsia="Palatino Linotype" w:hAnsi="Palatino Linotype" w:cs="Palatino Linotype"/>
          <w:sz w:val="24"/>
          <w:szCs w:val="24"/>
        </w:rPr>
        <w:t>s la figura de la clasificación de la información para verificar que se acredita la prueba de daño.</w:t>
      </w:r>
    </w:p>
    <w:p w:rsidR="00C300A4" w:rsidRDefault="007C7F3F">
      <w:pPr>
        <w:spacing w:line="360" w:lineRule="auto"/>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t xml:space="preserve">Bajo este contexto, se analizó la resolución del recurso de revisión </w:t>
      </w:r>
      <w:r>
        <w:rPr>
          <w:rFonts w:ascii="Palatino Linotype" w:eastAsia="Palatino Linotype" w:hAnsi="Palatino Linotype" w:cs="Palatino Linotype"/>
          <w:b/>
          <w:sz w:val="24"/>
          <w:szCs w:val="24"/>
        </w:rPr>
        <w:t>08751</w:t>
      </w:r>
      <w:r>
        <w:rPr>
          <w:rFonts w:ascii="Palatino Linotype" w:eastAsia="Palatino Linotype" w:hAnsi="Palatino Linotype" w:cs="Palatino Linotype"/>
          <w:b/>
          <w:sz w:val="24"/>
          <w:szCs w:val="24"/>
        </w:rPr>
        <w:t>/INFOEM/IP/RR/2022,</w:t>
      </w:r>
      <w:r>
        <w:rPr>
          <w:rFonts w:ascii="Palatino Linotype" w:eastAsia="Palatino Linotype" w:hAnsi="Palatino Linotype" w:cs="Palatino Linotype"/>
          <w:sz w:val="24"/>
          <w:szCs w:val="24"/>
        </w:rPr>
        <w:t xml:space="preserve"> en la cual, el Comisionado Ponente, desarrolla la prueba de da</w:t>
      </w:r>
      <w:r>
        <w:rPr>
          <w:rFonts w:ascii="Palatino Linotype" w:eastAsia="Palatino Linotype" w:hAnsi="Palatino Linotype" w:cs="Palatino Linotype"/>
          <w:sz w:val="24"/>
          <w:szCs w:val="24"/>
        </w:rPr>
        <w:t xml:space="preserve">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xml:space="preserve">, en razón de que, dentro de la Ley de Transparencia y Acceso a la Información Pública </w:t>
      </w:r>
      <w:r>
        <w:rPr>
          <w:rFonts w:ascii="Palatino Linotype" w:eastAsia="Palatino Linotype" w:hAnsi="Palatino Linotype" w:cs="Palatino Linotype"/>
          <w:sz w:val="24"/>
          <w:szCs w:val="24"/>
        </w:rPr>
        <w:lastRenderedPageBreak/>
        <w:t>del Estado de México</w:t>
      </w:r>
      <w:r>
        <w:rPr>
          <w:rFonts w:ascii="Palatino Linotype" w:eastAsia="Palatino Linotype" w:hAnsi="Palatino Linotype" w:cs="Palatino Linotype"/>
          <w:sz w:val="24"/>
          <w:szCs w:val="24"/>
        </w:rPr>
        <w:t xml:space="preserve"> y Municipios, se encuentra que, para reservar una información, se debe aplicar una prueba de daño, la cual es definida por la Ley de la Materia en su artículo 3 fracción XXXII, como:</w:t>
      </w:r>
    </w:p>
    <w:p w:rsidR="00C300A4" w:rsidRDefault="007C7F3F">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XXXIII</w:t>
      </w:r>
      <w:r>
        <w:rPr>
          <w:rFonts w:ascii="Palatino Linotype" w:eastAsia="Palatino Linotype" w:hAnsi="Palatino Linotype" w:cs="Palatino Linotype"/>
          <w:i/>
          <w:color w:val="000000"/>
        </w:rPr>
        <w:t xml:space="preserve">. Prueba de Daño: </w:t>
      </w:r>
      <w:r>
        <w:rPr>
          <w:rFonts w:ascii="Palatino Linotype" w:eastAsia="Palatino Linotype" w:hAnsi="Palatino Linotype" w:cs="Palatino Linotype"/>
          <w:b/>
          <w:i/>
          <w:color w:val="000000"/>
          <w:u w:val="single"/>
        </w:rPr>
        <w:t>Responsabilidad de los sujetos obligados de dem</w:t>
      </w:r>
      <w:r>
        <w:rPr>
          <w:rFonts w:ascii="Palatino Linotype" w:eastAsia="Palatino Linotype" w:hAnsi="Palatino Linotype" w:cs="Palatino Linotype"/>
          <w:b/>
          <w:i/>
          <w:color w:val="000000"/>
          <w:u w:val="single"/>
        </w:rPr>
        <w:t>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consi</w:t>
      </w:r>
      <w:r>
        <w:rPr>
          <w:rFonts w:ascii="Palatino Linotype" w:eastAsia="Palatino Linotype" w:hAnsi="Palatino Linotype" w:cs="Palatino Linotype"/>
          <w:i/>
          <w:color w:val="000000"/>
        </w:rPr>
        <w:t>guiente debe clasificarse como reservada…” (Sic)</w:t>
      </w:r>
    </w:p>
    <w:p w:rsidR="00C300A4" w:rsidRDefault="007C7F3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w:t>
      </w:r>
      <w:r>
        <w:rPr>
          <w:rFonts w:ascii="Palatino Linotype" w:eastAsia="Palatino Linotype" w:hAnsi="Palatino Linotype" w:cs="Palatino Linotype"/>
          <w:sz w:val="24"/>
          <w:szCs w:val="24"/>
        </w:rPr>
        <w:t>sificada como información reservada por actualizar alguna causal de reserva señala en el artículo 140 de la Ley de la Materia, son responsables de aplicar la prueba de daño para demostrar que la divulgación de la información lesiona interés jurídicamente p</w:t>
      </w:r>
      <w:r>
        <w:rPr>
          <w:rFonts w:ascii="Palatino Linotype" w:eastAsia="Palatino Linotype" w:hAnsi="Palatino Linotype" w:cs="Palatino Linotype"/>
          <w:sz w:val="24"/>
          <w:szCs w:val="24"/>
        </w:rPr>
        <w:t>rotegido por la Ley, y que el menoscabo o daño que puede producirse con la publicidad de la información es mayor que el interés de conocerla.</w:t>
      </w:r>
    </w:p>
    <w:p w:rsidR="00C300A4" w:rsidRDefault="007C7F3F">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w:t>
      </w:r>
      <w:r>
        <w:rPr>
          <w:rFonts w:ascii="Palatino Linotype" w:eastAsia="Palatino Linotype" w:hAnsi="Palatino Linotype" w:cs="Palatino Linotype"/>
          <w:b/>
          <w:sz w:val="24"/>
          <w:szCs w:val="24"/>
        </w:rPr>
        <w:t xml:space="preserve">especiales que los lleven a concluir que la información adquiere el carácter de reservada, y se ajusta a los supuestos previstos en la normatividad como fundamento. </w:t>
      </w:r>
    </w:p>
    <w:p w:rsidR="007C7F3F" w:rsidRDefault="007C7F3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opinión de la Suscrita, y en términos de lo dispuesto por la normatividad en la materia, son los Sujetos Obligados, deben aportar los elementos </w:t>
      </w:r>
      <w:r>
        <w:rPr>
          <w:rFonts w:ascii="Palatino Linotype" w:eastAsia="Palatino Linotype" w:hAnsi="Palatino Linotype" w:cs="Palatino Linotype"/>
          <w:sz w:val="24"/>
          <w:szCs w:val="24"/>
        </w:rPr>
        <w:lastRenderedPageBreak/>
        <w:t>para desarrollar la prueba de daño necesaria y suficiente, a fin de garantizar la reserva de info</w:t>
      </w:r>
      <w:r>
        <w:rPr>
          <w:rFonts w:ascii="Palatino Linotype" w:eastAsia="Palatino Linotype" w:hAnsi="Palatino Linotype" w:cs="Palatino Linotype"/>
          <w:sz w:val="24"/>
          <w:szCs w:val="24"/>
        </w:rPr>
        <w:t>rmación y la adecuada temporalidad de esta, aportando elementos necesarios para su clasificación.</w:t>
      </w:r>
    </w:p>
    <w:p w:rsidR="00C300A4" w:rsidRDefault="007C7F3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expuesto, constituyen las razones y fundamentos que me llevan a emitir la opinión particular que se ha expresado. </w:t>
      </w:r>
    </w:p>
    <w:p w:rsidR="00C300A4" w:rsidRDefault="00C300A4">
      <w:pPr>
        <w:spacing w:before="240" w:after="240" w:line="360" w:lineRule="auto"/>
        <w:jc w:val="both"/>
        <w:rPr>
          <w:rFonts w:ascii="Palatino Linotype" w:eastAsia="Palatino Linotype" w:hAnsi="Palatino Linotype" w:cs="Palatino Linotype"/>
          <w:sz w:val="23"/>
          <w:szCs w:val="23"/>
        </w:rPr>
        <w:sectPr w:rsidR="00C300A4">
          <w:headerReference w:type="even" r:id="rId8"/>
          <w:headerReference w:type="default" r:id="rId9"/>
          <w:footerReference w:type="default" r:id="rId10"/>
          <w:headerReference w:type="first" r:id="rId11"/>
          <w:pgSz w:w="12240" w:h="15840"/>
          <w:pgMar w:top="1983" w:right="1327" w:bottom="2836" w:left="1985" w:header="709" w:footer="586" w:gutter="0"/>
          <w:pgNumType w:start="1"/>
          <w:cols w:space="720"/>
        </w:sectPr>
      </w:pPr>
      <w:bookmarkStart w:id="2" w:name="_GoBack"/>
      <w:bookmarkEnd w:id="2"/>
    </w:p>
    <w:p w:rsidR="00C300A4" w:rsidRDefault="00C300A4">
      <w:pPr>
        <w:spacing w:before="240" w:after="240" w:line="360" w:lineRule="auto"/>
        <w:jc w:val="both"/>
        <w:rPr>
          <w:rFonts w:ascii="Palatino Linotype" w:eastAsia="Palatino Linotype" w:hAnsi="Palatino Linotype" w:cs="Palatino Linotype"/>
          <w:sz w:val="23"/>
          <w:szCs w:val="23"/>
        </w:rPr>
      </w:pPr>
    </w:p>
    <w:p w:rsidR="00C300A4" w:rsidRDefault="00C300A4">
      <w:pPr>
        <w:spacing w:before="240" w:after="240" w:line="360" w:lineRule="auto"/>
        <w:jc w:val="center"/>
        <w:rPr>
          <w:rFonts w:ascii="Palatino Linotype" w:eastAsia="Palatino Linotype" w:hAnsi="Palatino Linotype" w:cs="Palatino Linotype"/>
          <w:b/>
          <w:sz w:val="23"/>
          <w:szCs w:val="23"/>
        </w:rPr>
      </w:pPr>
    </w:p>
    <w:p w:rsidR="00C300A4" w:rsidRDefault="00C300A4">
      <w:pPr>
        <w:spacing w:after="0" w:line="240" w:lineRule="auto"/>
        <w:jc w:val="center"/>
        <w:rPr>
          <w:rFonts w:ascii="Palatino Linotype" w:eastAsia="Palatino Linotype" w:hAnsi="Palatino Linotype" w:cs="Palatino Linotype"/>
          <w:sz w:val="23"/>
          <w:szCs w:val="23"/>
        </w:rPr>
      </w:pPr>
    </w:p>
    <w:p w:rsidR="00C300A4" w:rsidRDefault="00C300A4">
      <w:pPr>
        <w:spacing w:before="240" w:after="240" w:line="360" w:lineRule="auto"/>
        <w:rPr>
          <w:rFonts w:ascii="Palatino Linotype" w:eastAsia="Palatino Linotype" w:hAnsi="Palatino Linotype" w:cs="Palatino Linotype"/>
          <w:sz w:val="24"/>
          <w:szCs w:val="24"/>
        </w:rPr>
      </w:pPr>
    </w:p>
    <w:p w:rsidR="00C300A4" w:rsidRDefault="00C300A4">
      <w:pPr>
        <w:rPr>
          <w:rFonts w:ascii="Palatino Linotype" w:eastAsia="Palatino Linotype" w:hAnsi="Palatino Linotype" w:cs="Palatino Linotype"/>
        </w:rPr>
      </w:pPr>
    </w:p>
    <w:p w:rsidR="00C300A4" w:rsidRDefault="00C300A4">
      <w:pPr>
        <w:rPr>
          <w:rFonts w:ascii="Palatino Linotype" w:eastAsia="Palatino Linotype" w:hAnsi="Palatino Linotype" w:cs="Palatino Linotype"/>
        </w:rPr>
      </w:pPr>
    </w:p>
    <w:p w:rsidR="00C300A4" w:rsidRDefault="00C300A4">
      <w:pPr>
        <w:rPr>
          <w:rFonts w:ascii="Palatino Linotype" w:eastAsia="Palatino Linotype" w:hAnsi="Palatino Linotype" w:cs="Palatino Linotype"/>
        </w:rPr>
      </w:pPr>
    </w:p>
    <w:sectPr w:rsidR="00C300A4">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C7F3F">
      <w:pPr>
        <w:spacing w:after="0" w:line="240" w:lineRule="auto"/>
      </w:pPr>
      <w:r>
        <w:separator/>
      </w:r>
    </w:p>
  </w:endnote>
  <w:endnote w:type="continuationSeparator" w:id="0">
    <w:p w:rsidR="00000000" w:rsidRDefault="007C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0A4" w:rsidRDefault="007C7F3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541FF4">
      <w:rPr>
        <w:rFonts w:ascii="Arial" w:eastAsia="Arial" w:hAnsi="Arial" w:cs="Arial"/>
        <w:b/>
        <w:color w:val="000000"/>
        <w:sz w:val="20"/>
        <w:szCs w:val="20"/>
      </w:rPr>
      <w:fldChar w:fldCharType="separate"/>
    </w:r>
    <w:r>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541FF4">
      <w:rPr>
        <w:rFonts w:ascii="Arial" w:eastAsia="Arial" w:hAnsi="Arial" w:cs="Arial"/>
        <w:b/>
        <w:color w:val="000000"/>
        <w:sz w:val="20"/>
        <w:szCs w:val="20"/>
      </w:rPr>
      <w:fldChar w:fldCharType="separate"/>
    </w:r>
    <w:r>
      <w:rPr>
        <w:rFonts w:ascii="Arial" w:eastAsia="Arial" w:hAnsi="Arial" w:cs="Arial"/>
        <w:b/>
        <w:noProof/>
        <w:color w:val="000000"/>
        <w:sz w:val="20"/>
        <w:szCs w:val="20"/>
      </w:rPr>
      <w:t>9</w:t>
    </w:r>
    <w:r>
      <w:rPr>
        <w:rFonts w:ascii="Arial" w:eastAsia="Arial" w:hAnsi="Arial" w:cs="Arial"/>
        <w:b/>
        <w:color w:val="000000"/>
        <w:sz w:val="20"/>
        <w:szCs w:val="20"/>
      </w:rPr>
      <w:fldChar w:fldCharType="end"/>
    </w:r>
  </w:p>
  <w:p w:rsidR="00C300A4" w:rsidRDefault="00C300A4">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C7F3F">
      <w:pPr>
        <w:spacing w:after="0" w:line="240" w:lineRule="auto"/>
      </w:pPr>
      <w:r>
        <w:separator/>
      </w:r>
    </w:p>
  </w:footnote>
  <w:footnote w:type="continuationSeparator" w:id="0">
    <w:p w:rsidR="00000000" w:rsidRDefault="007C7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0A4" w:rsidRDefault="007C7F3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2" o:spid="_x0000_s2049" type="#_x0000_m1026" style="position:absolute;margin-left:0;margin-top:0;width:518.25pt;height:111.05pt;rotation:315;z-index:-251657216;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r>
      <w:rPr>
        <w:rFonts w:ascii="Times New Roman" w:eastAsia="Times New Roman" w:hAnsi="Times New Roman" w:cs="Times New Roman"/>
        <w:noProof/>
        <w:color w:val="000000"/>
        <w:sz w:val="24"/>
        <w:szCs w:val="24"/>
      </w:rPr>
      <mc:AlternateContent>
        <mc:Choice Requires="wps">
          <w:drawing>
            <wp:anchor distT="0" distB="0" distL="0" distR="0" simplePos="0" relativeHeight="251657216" behindDoc="1" locked="0" layoutInCell="1" hidden="0" allowOverlap="1">
              <wp:simplePos x="0" y="0"/>
              <wp:positionH relativeFrom="margin">
                <wp:align>center</wp:align>
              </wp:positionH>
              <wp:positionV relativeFrom="margin">
                <wp:align>center</wp:align>
              </wp:positionV>
              <wp:extent cx="5301943" cy="5301943"/>
              <wp:effectExtent l="0" t="0" r="0" b="0"/>
              <wp:wrapNone/>
              <wp:docPr id="3"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wps:spPr>
                    <wps:txbx>
                      <w:txbxContent>
                        <w:p w:rsidR="00C300A4" w:rsidRDefault="007C7F3F">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id="_x0000_s1026" style="position:absolute;margin-left:0;margin-top:0;width:417.5pt;height:417.5pt;rotation:-45;z-index:-25165926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" filled="f" stroked="f">
              <v:textbox inset="2.53958mm,2.53958mm,2.53958mm,2.53958mm">
                <w:txbxContent>
                  <w:p w:rsidR="00C300A4" w:rsidRDefault="007C7F3F">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0A4" w:rsidRDefault="007C7F3F">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6192" behindDoc="1" locked="0" layoutInCell="1" hidden="0" allowOverlap="1">
          <wp:simplePos x="0" y="0"/>
          <wp:positionH relativeFrom="column">
            <wp:posOffset>-1114013</wp:posOffset>
          </wp:positionH>
          <wp:positionV relativeFrom="paragraph">
            <wp:posOffset>-449579</wp:posOffset>
          </wp:positionV>
          <wp:extent cx="7510628" cy="98837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C300A4" w:rsidRDefault="007C7F3F" w:rsidP="006C2ADC">
    <w:pPr>
      <w:pBdr>
        <w:top w:val="nil"/>
        <w:left w:val="nil"/>
        <w:bottom w:val="nil"/>
        <w:right w:val="nil"/>
        <w:between w:val="nil"/>
      </w:pBdr>
      <w:tabs>
        <w:tab w:val="center" w:pos="4419"/>
        <w:tab w:val="right" w:pos="8838"/>
        <w:tab w:val="left" w:pos="5685"/>
        <w:tab w:val="right" w:pos="892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rPr>
      <w:t xml:space="preserve">OPINIÓN PARTICULAR </w:t>
    </w:r>
  </w:p>
  <w:p w:rsidR="00C300A4" w:rsidRDefault="006C2ADC">
    <w:pPr>
      <w:pBdr>
        <w:top w:val="nil"/>
        <w:left w:val="nil"/>
        <w:bottom w:val="nil"/>
        <w:right w:val="nil"/>
        <w:between w:val="nil"/>
      </w:pBdr>
      <w:tabs>
        <w:tab w:val="center" w:pos="4419"/>
        <w:tab w:val="right" w:pos="8838"/>
      </w:tabs>
      <w:spacing w:after="0" w:line="240" w:lineRule="auto"/>
      <w:ind w:left="1134"/>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 08751</w:t>
    </w:r>
    <w:r w:rsidR="007C7F3F">
      <w:rPr>
        <w:rFonts w:ascii="Palatino Linotype" w:eastAsia="Palatino Linotype" w:hAnsi="Palatino Linotype" w:cs="Palatino Linotype"/>
        <w:b/>
        <w:color w:val="000000"/>
      </w:rPr>
      <w:t>/INFOEM/IP/RR/2022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0A4" w:rsidRDefault="007C7F3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1" o:spid="_x0000_s2050" type="#_x0000_m1026" style="position:absolute;margin-left:0;margin-top:0;width:518.25pt;height:111.05pt;rotation:315;z-index:-251658240;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0A4" w:rsidRDefault="00C300A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300A4" w:rsidRDefault="00C300A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300A4" w:rsidRDefault="00C300A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300A4" w:rsidRDefault="007C7F3F">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C300A4" w:rsidRDefault="00C300A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C300A4" w:rsidRDefault="00C300A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01B2"/>
    <w:multiLevelType w:val="hybridMultilevel"/>
    <w:tmpl w:val="67C8F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35658F"/>
    <w:multiLevelType w:val="multilevel"/>
    <w:tmpl w:val="ECF2A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A4"/>
    <w:rsid w:val="00541FF4"/>
    <w:rsid w:val="006C2ADC"/>
    <w:rsid w:val="007C7F3F"/>
    <w:rsid w:val="00880ED5"/>
    <w:rsid w:val="00C30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38344BC-ECFC-45FC-B06F-3474D757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qLMQJiCnyu2RGySvxpI8BdlXLQ==">AMUW2mWbbDjiGFOq0mVOs9Q5aZuINBLzN1muYI7qPmQAepcy8Bev5hcBbxN8oha3CHbXhGg4shK9fAH8qMDckWR+uEKFBVeF+OPqhzZVf8FyVAuY1CdiRTtRAeCK5vDYcuKXzUrQDnm2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1913</Words>
  <Characters>10524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2023-10-19T20:00:00Z</dcterms:created>
  <dcterms:modified xsi:type="dcterms:W3CDTF">2023-10-19T20:16:00Z</dcterms:modified>
</cp:coreProperties>
</file>