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5FF08" w14:textId="2B82EDD5" w:rsidR="000B2A76" w:rsidRPr="0017463B" w:rsidRDefault="000B2A76" w:rsidP="000B2A76">
      <w:pPr>
        <w:spacing w:before="240" w:after="240" w:line="360" w:lineRule="auto"/>
        <w:jc w:val="both"/>
        <w:rPr>
          <w:rFonts w:ascii="Palatino Linotype" w:hAnsi="Palatino Linotype"/>
          <w:b/>
          <w:sz w:val="24"/>
          <w:szCs w:val="24"/>
        </w:rPr>
      </w:pPr>
      <w:bookmarkStart w:id="0" w:name="_GoBack"/>
      <w:bookmarkEnd w:id="0"/>
      <w:r w:rsidRPr="0017463B">
        <w:rPr>
          <w:rFonts w:ascii="Palatino Linotype" w:hAnsi="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w:t>
      </w:r>
      <w:r w:rsidR="00D7761A">
        <w:rPr>
          <w:rFonts w:ascii="Palatino Linotype" w:hAnsi="Palatino Linotype"/>
          <w:b/>
          <w:sz w:val="24"/>
          <w:szCs w:val="24"/>
        </w:rPr>
        <w:t>TRIGÉS</w:t>
      </w:r>
      <w:r w:rsidR="00391BB1">
        <w:rPr>
          <w:rFonts w:ascii="Palatino Linotype" w:hAnsi="Palatino Linotype"/>
          <w:b/>
          <w:sz w:val="24"/>
          <w:szCs w:val="24"/>
        </w:rPr>
        <w:t>I</w:t>
      </w:r>
      <w:r w:rsidR="00D7761A">
        <w:rPr>
          <w:rFonts w:ascii="Palatino Linotype" w:hAnsi="Palatino Linotype"/>
          <w:b/>
          <w:sz w:val="24"/>
          <w:szCs w:val="24"/>
        </w:rPr>
        <w:t>M</w:t>
      </w:r>
      <w:r w:rsidR="00391BB1">
        <w:rPr>
          <w:rFonts w:ascii="Palatino Linotype" w:hAnsi="Palatino Linotype"/>
          <w:b/>
          <w:sz w:val="24"/>
          <w:szCs w:val="24"/>
        </w:rPr>
        <w:t xml:space="preserve">A </w:t>
      </w:r>
      <w:r w:rsidR="007F2ABB">
        <w:rPr>
          <w:rFonts w:ascii="Palatino Linotype" w:hAnsi="Palatino Linotype"/>
          <w:b/>
          <w:sz w:val="24"/>
          <w:szCs w:val="24"/>
        </w:rPr>
        <w:t xml:space="preserve">SEGUNDA </w:t>
      </w:r>
      <w:r w:rsidRPr="0017463B">
        <w:rPr>
          <w:rFonts w:ascii="Palatino Linotype" w:hAnsi="Palatino Linotype"/>
          <w:b/>
          <w:sz w:val="24"/>
          <w:szCs w:val="24"/>
        </w:rPr>
        <w:t xml:space="preserve">SESIÓN ORDINARIA DEL </w:t>
      </w:r>
      <w:r w:rsidR="007F2ABB">
        <w:rPr>
          <w:rFonts w:ascii="Palatino Linotype" w:hAnsi="Palatino Linotype"/>
          <w:b/>
          <w:sz w:val="24"/>
          <w:szCs w:val="24"/>
        </w:rPr>
        <w:t>SIETE DE SEPTIEMBRE</w:t>
      </w:r>
      <w:r w:rsidR="00FC5E97" w:rsidRPr="0017463B">
        <w:rPr>
          <w:rFonts w:ascii="Palatino Linotype" w:hAnsi="Palatino Linotype"/>
          <w:b/>
          <w:sz w:val="24"/>
          <w:szCs w:val="24"/>
        </w:rPr>
        <w:t xml:space="preserve"> </w:t>
      </w:r>
      <w:r w:rsidRPr="0017463B">
        <w:rPr>
          <w:rFonts w:ascii="Palatino Linotype" w:hAnsi="Palatino Linotype"/>
          <w:b/>
          <w:sz w:val="24"/>
          <w:szCs w:val="24"/>
        </w:rPr>
        <w:t>DE DOS MIL VEINTI</w:t>
      </w:r>
      <w:r w:rsidR="007F2ABB">
        <w:rPr>
          <w:rFonts w:ascii="Palatino Linotype" w:hAnsi="Palatino Linotype"/>
          <w:b/>
          <w:sz w:val="24"/>
          <w:szCs w:val="24"/>
        </w:rPr>
        <w:t>DÓS, EN EL RECURSO DE REVISIÓN 1316</w:t>
      </w:r>
      <w:r w:rsidR="00582424">
        <w:rPr>
          <w:rFonts w:ascii="Palatino Linotype" w:hAnsi="Palatino Linotype"/>
          <w:b/>
          <w:sz w:val="24"/>
          <w:szCs w:val="24"/>
        </w:rPr>
        <w:t>6</w:t>
      </w:r>
      <w:r w:rsidRPr="0017463B">
        <w:rPr>
          <w:rFonts w:ascii="Palatino Linotype" w:hAnsi="Palatino Linotype"/>
          <w:b/>
          <w:sz w:val="24"/>
          <w:szCs w:val="24"/>
        </w:rPr>
        <w:t>/INFOEM/IP/RR/2022.</w:t>
      </w:r>
    </w:p>
    <w:p w14:paraId="6EB580D6" w14:textId="5C00382F" w:rsidR="000B2A76" w:rsidRPr="0017463B" w:rsidRDefault="000B2A76" w:rsidP="000B2A76">
      <w:pPr>
        <w:spacing w:before="240" w:after="240" w:line="360" w:lineRule="auto"/>
        <w:jc w:val="both"/>
        <w:rPr>
          <w:rFonts w:ascii="Palatino Linotype" w:hAnsi="Palatino Linotype"/>
          <w:sz w:val="24"/>
          <w:szCs w:val="24"/>
        </w:rPr>
      </w:pPr>
      <w:r w:rsidRPr="0017463B">
        <w:rPr>
          <w:rFonts w:ascii="Palatino Linotype" w:hAnsi="Palatino Linotype"/>
          <w:sz w:val="24"/>
          <w:szCs w:val="24"/>
        </w:rPr>
        <w:t xml:space="preserve">El pleno del Instituto de Transparencia, Acceso a la Información Pública y Protección de Datos Personales del Estado de México y Municipios, aprobó por </w:t>
      </w:r>
      <w:r w:rsidR="007F2ABB">
        <w:rPr>
          <w:rFonts w:ascii="Palatino Linotype" w:hAnsi="Palatino Linotype"/>
          <w:sz w:val="24"/>
          <w:szCs w:val="24"/>
        </w:rPr>
        <w:t>mayoría</w:t>
      </w:r>
      <w:r w:rsidR="00D36CD9" w:rsidRPr="0017463B">
        <w:rPr>
          <w:rFonts w:ascii="Palatino Linotype" w:hAnsi="Palatino Linotype"/>
          <w:sz w:val="24"/>
          <w:szCs w:val="24"/>
        </w:rPr>
        <w:t xml:space="preserve"> </w:t>
      </w:r>
      <w:r w:rsidRPr="0017463B">
        <w:rPr>
          <w:rFonts w:ascii="Palatino Linotype" w:hAnsi="Palatino Linotype"/>
          <w:sz w:val="24"/>
          <w:szCs w:val="24"/>
        </w:rPr>
        <w:t xml:space="preserve">de votos, la resolución relativa al recurso de revisión </w:t>
      </w:r>
      <w:r w:rsidR="007F2ABB">
        <w:rPr>
          <w:rFonts w:ascii="Palatino Linotype" w:hAnsi="Palatino Linotype"/>
          <w:b/>
          <w:sz w:val="24"/>
          <w:szCs w:val="24"/>
        </w:rPr>
        <w:t>1316</w:t>
      </w:r>
      <w:r w:rsidR="00582424">
        <w:rPr>
          <w:rFonts w:ascii="Palatino Linotype" w:hAnsi="Palatino Linotype"/>
          <w:b/>
          <w:sz w:val="24"/>
          <w:szCs w:val="24"/>
        </w:rPr>
        <w:t>6</w:t>
      </w:r>
      <w:r w:rsidRPr="0017463B">
        <w:rPr>
          <w:rFonts w:ascii="Palatino Linotype" w:hAnsi="Palatino Linotype"/>
          <w:b/>
          <w:sz w:val="24"/>
          <w:szCs w:val="24"/>
        </w:rPr>
        <w:t>/INFOEM/IP/RR/2022,</w:t>
      </w:r>
      <w:r w:rsidRPr="0017463B">
        <w:rPr>
          <w:rFonts w:ascii="Palatino Linotype" w:hAnsi="Palatino Linotype"/>
          <w:sz w:val="24"/>
          <w:szCs w:val="24"/>
        </w:rPr>
        <w:t xml:space="preserve"> presentada por el Comisionado Luis Gustavo Parra Noriega, respecto de la cual, la suscrita formula </w:t>
      </w:r>
      <w:r w:rsidRPr="0017463B">
        <w:rPr>
          <w:rFonts w:ascii="Palatino Linotype" w:hAnsi="Palatino Linotype"/>
          <w:b/>
          <w:sz w:val="24"/>
          <w:szCs w:val="24"/>
        </w:rPr>
        <w:t>OPINIÓN  PARTICULAR</w:t>
      </w:r>
      <w:r w:rsidRPr="0017463B">
        <w:rPr>
          <w:rFonts w:ascii="Palatino Linotype" w:hAnsi="Palatino Linotype"/>
          <w:sz w:val="24"/>
          <w:szCs w:val="24"/>
        </w:rPr>
        <w:t>,  con fundamento en el artículo 14 fracción XI del Reglamento Interior del Instituto de Transparencia, Acceso a la Información Pública y Protección de Datos Personales del Estado de México y Municipios.</w:t>
      </w:r>
    </w:p>
    <w:p w14:paraId="441C9504" w14:textId="4F4FEB3A" w:rsidR="000B2A76" w:rsidRPr="0017463B" w:rsidRDefault="000B2A76" w:rsidP="000B2A76">
      <w:pPr>
        <w:spacing w:before="240" w:after="240" w:line="360" w:lineRule="auto"/>
        <w:jc w:val="both"/>
        <w:rPr>
          <w:rFonts w:ascii="Palatino Linotype" w:hAnsi="Palatino Linotype"/>
          <w:sz w:val="24"/>
          <w:szCs w:val="24"/>
        </w:rPr>
      </w:pPr>
      <w:r w:rsidRPr="0017463B">
        <w:rPr>
          <w:rFonts w:ascii="Palatino Linotype" w:hAnsi="Palatino Linotype"/>
          <w:sz w:val="24"/>
          <w:szCs w:val="24"/>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sidRPr="0017463B">
        <w:rPr>
          <w:rFonts w:ascii="Palatino Linotype" w:hAnsi="Palatino Linotype"/>
          <w:b/>
          <w:bCs/>
          <w:sz w:val="24"/>
          <w:szCs w:val="24"/>
        </w:rPr>
        <w:t>Sujeto Obligado</w:t>
      </w:r>
      <w:r w:rsidRPr="0017463B">
        <w:rPr>
          <w:rFonts w:ascii="Palatino Linotype" w:hAnsi="Palatino Linotype"/>
          <w:sz w:val="24"/>
          <w:szCs w:val="24"/>
        </w:rPr>
        <w:t>.</w:t>
      </w:r>
    </w:p>
    <w:p w14:paraId="50ABBCB0" w14:textId="78F14248" w:rsidR="007F2ABB" w:rsidRDefault="000B2A76" w:rsidP="007F2ABB">
      <w:pPr>
        <w:spacing w:before="240" w:after="240" w:line="360" w:lineRule="auto"/>
        <w:jc w:val="both"/>
        <w:rPr>
          <w:rFonts w:ascii="Palatino Linotype" w:hAnsi="Palatino Linotype"/>
          <w:sz w:val="24"/>
          <w:szCs w:val="24"/>
        </w:rPr>
      </w:pPr>
      <w:r w:rsidRPr="0017463B">
        <w:rPr>
          <w:rFonts w:ascii="Palatino Linotype" w:hAnsi="Palatino Linotype"/>
          <w:sz w:val="24"/>
          <w:szCs w:val="24"/>
        </w:rPr>
        <w:lastRenderedPageBreak/>
        <w:t>En el caso concreto</w:t>
      </w:r>
      <w:r w:rsidR="00FC5E97" w:rsidRPr="0017463B">
        <w:rPr>
          <w:rFonts w:ascii="Palatino Linotype" w:hAnsi="Palatino Linotype"/>
          <w:sz w:val="24"/>
          <w:szCs w:val="24"/>
        </w:rPr>
        <w:t>, la parte</w:t>
      </w:r>
      <w:r w:rsidRPr="0017463B">
        <w:rPr>
          <w:rFonts w:ascii="Palatino Linotype" w:hAnsi="Palatino Linotype"/>
          <w:sz w:val="24"/>
          <w:szCs w:val="24"/>
        </w:rPr>
        <w:t xml:space="preserve"> </w:t>
      </w:r>
      <w:r w:rsidRPr="0017463B">
        <w:rPr>
          <w:rFonts w:ascii="Palatino Linotype" w:hAnsi="Palatino Linotype"/>
          <w:b/>
          <w:bCs/>
          <w:sz w:val="24"/>
          <w:szCs w:val="24"/>
        </w:rPr>
        <w:t>Recurrente</w:t>
      </w:r>
      <w:r w:rsidRPr="0017463B">
        <w:rPr>
          <w:rFonts w:ascii="Palatino Linotype" w:hAnsi="Palatino Linotype"/>
          <w:sz w:val="24"/>
          <w:szCs w:val="24"/>
        </w:rPr>
        <w:t xml:space="preserve"> requirió al </w:t>
      </w:r>
      <w:r w:rsidR="007F2ABB" w:rsidRPr="007F2ABB">
        <w:rPr>
          <w:rFonts w:ascii="Palatino Linotype" w:hAnsi="Palatino Linotype"/>
          <w:bCs/>
          <w:sz w:val="24"/>
          <w:szCs w:val="24"/>
        </w:rPr>
        <w:t xml:space="preserve">Ayuntamiento </w:t>
      </w:r>
      <w:r w:rsidR="007F2ABB">
        <w:rPr>
          <w:rFonts w:ascii="Palatino Linotype" w:hAnsi="Palatino Linotype"/>
          <w:bCs/>
          <w:sz w:val="24"/>
          <w:szCs w:val="24"/>
        </w:rPr>
        <w:t xml:space="preserve">de </w:t>
      </w:r>
      <w:r w:rsidR="007F2ABB" w:rsidRPr="007F2ABB">
        <w:rPr>
          <w:rFonts w:ascii="Palatino Linotype" w:hAnsi="Palatino Linotype"/>
          <w:bCs/>
          <w:sz w:val="24"/>
          <w:szCs w:val="24"/>
        </w:rPr>
        <w:t>Calimaya</w:t>
      </w:r>
      <w:r w:rsidR="007F2ABB">
        <w:rPr>
          <w:rFonts w:ascii="Palatino Linotype" w:hAnsi="Palatino Linotype"/>
          <w:bCs/>
          <w:sz w:val="24"/>
          <w:szCs w:val="24"/>
        </w:rPr>
        <w:t>,</w:t>
      </w:r>
      <w:r w:rsidR="009F0FA7" w:rsidRPr="0017463B">
        <w:rPr>
          <w:rFonts w:ascii="Palatino Linotype" w:hAnsi="Palatino Linotype"/>
          <w:sz w:val="24"/>
          <w:szCs w:val="24"/>
        </w:rPr>
        <w:t xml:space="preserve"> hiciera entrega </w:t>
      </w:r>
      <w:r w:rsidR="00D1633F">
        <w:rPr>
          <w:rFonts w:ascii="Palatino Linotype" w:hAnsi="Palatino Linotype"/>
          <w:sz w:val="24"/>
          <w:szCs w:val="24"/>
        </w:rPr>
        <w:t xml:space="preserve">de </w:t>
      </w:r>
      <w:bookmarkStart w:id="1" w:name="_Hlk105611386"/>
      <w:r w:rsidR="007F2ABB" w:rsidRPr="007F2ABB">
        <w:rPr>
          <w:rFonts w:ascii="Palatino Linotype" w:hAnsi="Palatino Linotype"/>
          <w:sz w:val="24"/>
          <w:szCs w:val="24"/>
        </w:rPr>
        <w:t>los recibos de nómina timbrados de cada uno de los trabajadores del ayuntamiento administración 2022</w:t>
      </w:r>
      <w:r w:rsidR="007F2ABB">
        <w:rPr>
          <w:rFonts w:ascii="Palatino Linotype" w:hAnsi="Palatino Linotype"/>
          <w:sz w:val="24"/>
          <w:szCs w:val="24"/>
        </w:rPr>
        <w:t xml:space="preserve">. </w:t>
      </w:r>
    </w:p>
    <w:p w14:paraId="2F9C5CC9" w14:textId="6AA8EE24" w:rsidR="007F2ABB" w:rsidRPr="007F2ABB" w:rsidRDefault="00081965" w:rsidP="007F2ABB">
      <w:pPr>
        <w:tabs>
          <w:tab w:val="left" w:pos="567"/>
        </w:tabs>
        <w:spacing w:line="360" w:lineRule="auto"/>
        <w:jc w:val="both"/>
        <w:rPr>
          <w:rFonts w:ascii="Palatino Linotype" w:eastAsia="Times New Roman" w:hAnsi="Palatino Linotype" w:cs="Tahoma"/>
          <w:szCs w:val="24"/>
          <w:lang w:eastAsia="es-ES"/>
        </w:rPr>
      </w:pPr>
      <w:r w:rsidRPr="00B144B7">
        <w:rPr>
          <w:rFonts w:ascii="Palatino Linotype" w:hAnsi="Palatino Linotype"/>
          <w:sz w:val="24"/>
        </w:rPr>
        <w:t xml:space="preserve">El </w:t>
      </w:r>
      <w:r w:rsidRPr="00B144B7">
        <w:rPr>
          <w:rFonts w:ascii="Palatino Linotype" w:hAnsi="Palatino Linotype"/>
          <w:b/>
          <w:bCs/>
          <w:sz w:val="24"/>
        </w:rPr>
        <w:t>Sujeto Obligado</w:t>
      </w:r>
      <w:r w:rsidRPr="00B144B7">
        <w:rPr>
          <w:rFonts w:ascii="Palatino Linotype" w:hAnsi="Palatino Linotype"/>
          <w:sz w:val="24"/>
        </w:rPr>
        <w:t xml:space="preserve"> </w:t>
      </w:r>
      <w:bookmarkEnd w:id="1"/>
      <w:r w:rsidR="00D07D24" w:rsidRPr="00B144B7">
        <w:rPr>
          <w:rFonts w:ascii="Palatino Linotype" w:eastAsia="Calibri" w:hAnsi="Palatino Linotype"/>
          <w:sz w:val="24"/>
        </w:rPr>
        <w:t xml:space="preserve">notificó, a través del Sistema de Acceso a la Información Mexiquense (SAIMEX), </w:t>
      </w:r>
      <w:r w:rsidR="007F2ABB" w:rsidRPr="007F2ABB">
        <w:rPr>
          <w:rFonts w:ascii="Palatino Linotype" w:eastAsia="Times New Roman" w:hAnsi="Palatino Linotype" w:cs="Tahoma"/>
          <w:sz w:val="24"/>
          <w:szCs w:val="24"/>
          <w:lang w:eastAsia="es-ES"/>
        </w:rPr>
        <w:t>un requerimiento de</w:t>
      </w:r>
      <w:r w:rsidR="007F2ABB">
        <w:rPr>
          <w:rFonts w:ascii="Palatino Linotype" w:eastAsia="Times New Roman" w:hAnsi="Palatino Linotype" w:cs="Tahoma"/>
          <w:sz w:val="24"/>
          <w:szCs w:val="24"/>
          <w:lang w:eastAsia="es-ES"/>
        </w:rPr>
        <w:t xml:space="preserve"> aclaración</w:t>
      </w:r>
      <w:r w:rsidR="007F2ABB" w:rsidRPr="007F2ABB">
        <w:rPr>
          <w:rFonts w:ascii="Palatino Linotype" w:eastAsia="Times New Roman" w:hAnsi="Palatino Linotype" w:cs="Tahoma"/>
          <w:sz w:val="24"/>
          <w:szCs w:val="24"/>
          <w:lang w:eastAsia="es-ES"/>
        </w:rPr>
        <w:t>, mediante el oficio sin número, del veintisiete de junio de dos mil veintidós, suscrito por la Titular de la Unidad de Transparencia y dirigido al Solicitante, por medio del cual precisa lo siguiente:</w:t>
      </w:r>
    </w:p>
    <w:p w14:paraId="1CA04BD6" w14:textId="77777777" w:rsidR="007F2ABB" w:rsidRPr="007F2ABB" w:rsidRDefault="007F2ABB" w:rsidP="007F2ABB">
      <w:pPr>
        <w:tabs>
          <w:tab w:val="left" w:pos="4667"/>
        </w:tabs>
        <w:spacing w:after="0" w:line="360" w:lineRule="auto"/>
        <w:ind w:left="567" w:right="990"/>
        <w:jc w:val="both"/>
        <w:rPr>
          <w:rFonts w:ascii="Palatino Linotype" w:eastAsia="Times New Roman" w:hAnsi="Palatino Linotype" w:cs="Tahoma"/>
          <w:bCs/>
          <w:i/>
          <w:sz w:val="20"/>
          <w:szCs w:val="20"/>
          <w:lang w:eastAsia="es-ES"/>
        </w:rPr>
      </w:pPr>
      <w:r w:rsidRPr="007F2ABB">
        <w:rPr>
          <w:rFonts w:ascii="Palatino Linotype" w:eastAsia="Times New Roman" w:hAnsi="Palatino Linotype" w:cs="Tahoma"/>
          <w:bCs/>
          <w:i/>
          <w:sz w:val="20"/>
          <w:szCs w:val="20"/>
          <w:lang w:eastAsia="es-ES"/>
        </w:rPr>
        <w:t>“…</w:t>
      </w:r>
    </w:p>
    <w:p w14:paraId="4C8A08CA" w14:textId="77777777" w:rsidR="007F2ABB" w:rsidRPr="007F2ABB" w:rsidRDefault="007F2ABB" w:rsidP="007F2ABB">
      <w:pPr>
        <w:tabs>
          <w:tab w:val="left" w:pos="4667"/>
        </w:tabs>
        <w:spacing w:after="0" w:line="360" w:lineRule="auto"/>
        <w:ind w:left="567" w:right="990"/>
        <w:jc w:val="both"/>
        <w:rPr>
          <w:rFonts w:ascii="Palatino Linotype" w:eastAsia="Times New Roman" w:hAnsi="Palatino Linotype" w:cs="Tahoma"/>
          <w:bCs/>
          <w:i/>
          <w:sz w:val="20"/>
          <w:szCs w:val="20"/>
          <w:lang w:eastAsia="es-ES"/>
        </w:rPr>
      </w:pPr>
      <w:r w:rsidRPr="007F2ABB">
        <w:rPr>
          <w:rFonts w:ascii="Palatino Linotype" w:eastAsia="Times New Roman" w:hAnsi="Palatino Linotype" w:cs="Tahoma"/>
          <w:bCs/>
          <w:i/>
          <w:sz w:val="20"/>
          <w:szCs w:val="20"/>
          <w:lang w:eastAsia="es-ES"/>
        </w:rPr>
        <w:t xml:space="preserve">LOS DOCUMENTOS DE SU SOLICITUD PUEDEN CLARAMENTE REFERIRSE A LOS SERVIDORES PÚBLICOS TITULARES DE LA ADMINISTRACIÓN PÚBLICA MUNICIPAL, A TODOS LOS MIEMBROS DEL AYUNTAMIENTO (PRESIDENTE MUNICIPAL, SÍNDICO, REGIDORES Y SECRETARIO DEL AYUNTAMIENTO, ENTENDIDO A ÉSTE CUERPO COMO ASAMBLEA EDILICIA), O BIEN A LA TOTALIDAD DE SERVIDORES PÚBLICOS ADSCRITOS AL SYUNTAMIENTO DE CALIMAYA, POR LO QUE HACE A LOS RECIBOS DE NÓMINA TIMBRADOS, ESTOS NO SE EMITEN POR ADMINISTRACIÓN ANUAL, POR TANTO LE PIDO QUE SATISFAGA Y ESPECIFIQUE POR QUINCENAS O, EN SU CASO, POR EL PERÍODO DE BÚSQUEDA DE LA INFORMACIÓN QUE RESULTE DE SU INTERÉS, POR ELLO, A FIN DE COLMAR LA BÚSQUEDA EXHAUSTIVA DE LA INFORMACIÓN SE LE PIDE ACLARE DE MANERA TOTAL Y ACLARE LO SOLICITADO CONFORME A DERECHO POR ESTA UNIDAD Y EN SU CASO, CORRIJA O COMPLEMENTE SU SOLICITUD DE INFORMACIÓN DE MANERA CLARA Y PRECISA, PARA REALIZAR LA UBICACIÓN DE LA INFORMACIÓN, </w:t>
      </w:r>
      <w:r w:rsidRPr="007F2ABB">
        <w:rPr>
          <w:rFonts w:ascii="Palatino Linotype" w:eastAsia="Times New Roman" w:hAnsi="Palatino Linotype" w:cs="Tahoma"/>
          <w:bCs/>
          <w:i/>
          <w:sz w:val="20"/>
          <w:szCs w:val="20"/>
          <w:lang w:eastAsia="es-ES"/>
        </w:rPr>
        <w:lastRenderedPageBreak/>
        <w:t>TODA VEZ QUE LOS DATOS PROPORCIONADOS RESULTAN VAGOS, INSUFICIENTES Y POCO CLAROS PARA DAR TRÁMITE A SU SOLICITUD DE INFORMACIÓN.</w:t>
      </w:r>
    </w:p>
    <w:p w14:paraId="66800220" w14:textId="77777777" w:rsidR="007F2ABB" w:rsidRPr="007F2ABB" w:rsidRDefault="007F2ABB" w:rsidP="007F2ABB">
      <w:pPr>
        <w:tabs>
          <w:tab w:val="left" w:pos="4667"/>
        </w:tabs>
        <w:spacing w:after="0" w:line="360" w:lineRule="auto"/>
        <w:ind w:left="567" w:right="567"/>
        <w:jc w:val="both"/>
        <w:rPr>
          <w:rFonts w:ascii="Palatino Linotype" w:eastAsia="Times New Roman" w:hAnsi="Palatino Linotype" w:cs="Tahoma"/>
          <w:bCs/>
          <w:i/>
          <w:sz w:val="20"/>
          <w:szCs w:val="20"/>
          <w:lang w:eastAsia="es-ES"/>
        </w:rPr>
      </w:pPr>
      <w:r w:rsidRPr="007F2ABB">
        <w:rPr>
          <w:rFonts w:ascii="Palatino Linotype" w:eastAsia="Times New Roman" w:hAnsi="Palatino Linotype" w:cs="Tahoma"/>
          <w:bCs/>
          <w:i/>
          <w:sz w:val="20"/>
          <w:szCs w:val="20"/>
          <w:lang w:eastAsia="es-ES"/>
        </w:rPr>
        <w:t>…” (Sic.)</w:t>
      </w:r>
    </w:p>
    <w:p w14:paraId="50E831AC" w14:textId="77777777" w:rsidR="007F2ABB" w:rsidRDefault="007F2ABB" w:rsidP="004B71F3">
      <w:pPr>
        <w:spacing w:after="0" w:line="360" w:lineRule="auto"/>
        <w:ind w:right="-3"/>
        <w:jc w:val="both"/>
        <w:rPr>
          <w:rFonts w:ascii="Palatino Linotype" w:eastAsia="Calibri" w:hAnsi="Palatino Linotype" w:cs="Times New Roman"/>
          <w:bCs/>
          <w:sz w:val="24"/>
          <w:szCs w:val="24"/>
          <w:lang w:val="es-ES_tradnl"/>
        </w:rPr>
      </w:pPr>
    </w:p>
    <w:p w14:paraId="1E2F8D26" w14:textId="71D92526" w:rsidR="007F2ABB" w:rsidRPr="007F2ABB" w:rsidRDefault="007F2ABB" w:rsidP="007F2ABB">
      <w:pPr>
        <w:tabs>
          <w:tab w:val="left" w:pos="567"/>
        </w:tabs>
        <w:spacing w:line="360" w:lineRule="auto"/>
        <w:jc w:val="both"/>
        <w:rPr>
          <w:rFonts w:ascii="Palatino Linotype" w:eastAsia="Times New Roman" w:hAnsi="Palatino Linotype" w:cs="Tahoma"/>
          <w:lang w:eastAsia="es-ES"/>
        </w:rPr>
      </w:pPr>
      <w:r>
        <w:rPr>
          <w:rFonts w:ascii="Palatino Linotype" w:eastAsia="Calibri" w:hAnsi="Palatino Linotype" w:cs="Times New Roman"/>
          <w:bCs/>
          <w:sz w:val="24"/>
          <w:szCs w:val="24"/>
          <w:lang w:val="es-ES_tradnl"/>
        </w:rPr>
        <w:t>A</w:t>
      </w:r>
      <w:r w:rsidR="00655552" w:rsidRPr="0017463B">
        <w:rPr>
          <w:rFonts w:ascii="Palatino Linotype" w:eastAsia="Calibri" w:hAnsi="Palatino Linotype" w:cs="Times New Roman"/>
          <w:bCs/>
          <w:sz w:val="24"/>
          <w:szCs w:val="24"/>
          <w:lang w:val="es-ES_tradnl"/>
        </w:rPr>
        <w:t>l no</w:t>
      </w:r>
      <w:r>
        <w:rPr>
          <w:rFonts w:ascii="Palatino Linotype" w:eastAsia="Calibri" w:hAnsi="Palatino Linotype" w:cs="Times New Roman"/>
          <w:bCs/>
          <w:sz w:val="24"/>
          <w:szCs w:val="24"/>
          <w:lang w:val="es-ES_tradnl"/>
        </w:rPr>
        <w:t xml:space="preserve"> atender el requerimiento de aclaración, </w:t>
      </w:r>
      <w:r w:rsidRPr="0017463B">
        <w:rPr>
          <w:rFonts w:ascii="Palatino Linotype" w:eastAsia="Calibri" w:hAnsi="Palatino Linotype" w:cs="Times New Roman"/>
          <w:bCs/>
          <w:sz w:val="24"/>
          <w:szCs w:val="24"/>
          <w:lang w:val="es-ES_tradnl"/>
        </w:rPr>
        <w:t>el</w:t>
      </w:r>
      <w:r>
        <w:rPr>
          <w:rFonts w:ascii="Palatino Linotype" w:eastAsia="Calibri" w:hAnsi="Palatino Linotype" w:cs="Times New Roman"/>
          <w:bCs/>
          <w:sz w:val="24"/>
          <w:szCs w:val="24"/>
          <w:lang w:val="es-ES_tradnl"/>
        </w:rPr>
        <w:t xml:space="preserve"> Sujeto Obligado </w:t>
      </w:r>
      <w:r w:rsidRPr="007F2ABB">
        <w:rPr>
          <w:rFonts w:ascii="Palatino Linotype" w:eastAsia="Times New Roman" w:hAnsi="Palatino Linotype" w:cs="Tahoma"/>
          <w:lang w:eastAsia="es-ES"/>
        </w:rPr>
        <w:t>tuvo por no presentada</w:t>
      </w:r>
      <w:r>
        <w:rPr>
          <w:rFonts w:ascii="Palatino Linotype" w:eastAsia="Times New Roman" w:hAnsi="Palatino Linotype" w:cs="Tahoma"/>
          <w:lang w:eastAsia="es-ES"/>
        </w:rPr>
        <w:t xml:space="preserve"> la solicitud de información, ello</w:t>
      </w:r>
      <w:r w:rsidRPr="007F2ABB">
        <w:rPr>
          <w:rFonts w:ascii="Palatino Linotype" w:eastAsia="Times New Roman" w:hAnsi="Palatino Linotype" w:cs="Tahoma"/>
          <w:lang w:eastAsia="es-ES"/>
        </w:rPr>
        <w:t>, en los términos siguientes:</w:t>
      </w:r>
    </w:p>
    <w:p w14:paraId="2146A780" w14:textId="77777777" w:rsidR="007F2ABB" w:rsidRPr="007F2ABB" w:rsidRDefault="007F2ABB" w:rsidP="007F2ABB">
      <w:pPr>
        <w:tabs>
          <w:tab w:val="left" w:pos="4667"/>
        </w:tabs>
        <w:spacing w:after="0" w:line="360" w:lineRule="auto"/>
        <w:ind w:left="567" w:right="567"/>
        <w:jc w:val="both"/>
        <w:rPr>
          <w:rFonts w:ascii="Palatino Linotype" w:eastAsia="Times New Roman" w:hAnsi="Palatino Linotype" w:cs="Tahoma"/>
          <w:bCs/>
          <w:i/>
          <w:sz w:val="20"/>
          <w:szCs w:val="20"/>
          <w:lang w:eastAsia="es-ES"/>
        </w:rPr>
      </w:pPr>
      <w:r w:rsidRPr="007F2ABB">
        <w:rPr>
          <w:rFonts w:ascii="Palatino Linotype" w:eastAsia="Times New Roman" w:hAnsi="Palatino Linotype" w:cs="Tahoma"/>
          <w:bCs/>
          <w:i/>
          <w:sz w:val="20"/>
          <w:szCs w:val="20"/>
          <w:lang w:eastAsia="es-ES"/>
        </w:rPr>
        <w:t xml:space="preserve"> “Con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2E9491EC" w14:textId="77777777" w:rsidR="007F2ABB" w:rsidRPr="007F2ABB" w:rsidRDefault="007F2ABB" w:rsidP="007F2ABB">
      <w:pPr>
        <w:tabs>
          <w:tab w:val="left" w:pos="4667"/>
        </w:tabs>
        <w:spacing w:after="0" w:line="360" w:lineRule="auto"/>
        <w:ind w:left="567" w:right="567"/>
        <w:jc w:val="both"/>
        <w:rPr>
          <w:rFonts w:ascii="Palatino Linotype" w:eastAsia="Times New Roman" w:hAnsi="Palatino Linotype" w:cs="Tahoma"/>
          <w:bCs/>
          <w:i/>
          <w:sz w:val="20"/>
          <w:szCs w:val="20"/>
          <w:lang w:eastAsia="es-ES"/>
        </w:rPr>
      </w:pPr>
    </w:p>
    <w:p w14:paraId="14AEDBF6" w14:textId="77777777" w:rsidR="007F2ABB" w:rsidRPr="007F2ABB" w:rsidRDefault="007F2ABB" w:rsidP="007F2ABB">
      <w:pPr>
        <w:tabs>
          <w:tab w:val="left" w:pos="4667"/>
        </w:tabs>
        <w:spacing w:after="0" w:line="360" w:lineRule="auto"/>
        <w:ind w:left="567" w:right="567"/>
        <w:jc w:val="both"/>
        <w:rPr>
          <w:rFonts w:ascii="Palatino Linotype" w:eastAsia="Times New Roman" w:hAnsi="Palatino Linotype" w:cs="Tahoma"/>
          <w:bCs/>
          <w:i/>
          <w:sz w:val="20"/>
          <w:szCs w:val="20"/>
          <w:lang w:eastAsia="es-ES"/>
        </w:rPr>
      </w:pPr>
      <w:r w:rsidRPr="007F2ABB">
        <w:rPr>
          <w:rFonts w:ascii="Palatino Linotype" w:eastAsia="Times New Roman" w:hAnsi="Palatino Linotype" w:cs="Tahoma"/>
          <w:bCs/>
          <w:i/>
          <w:sz w:val="20"/>
          <w:szCs w:val="20"/>
          <w:lang w:eastAsia="es-ES"/>
        </w:rPr>
        <w:t>A LA FECHA HAN TRANSCURRIDO LOS 10 DÍAS HABILES QUE CONFORME AL ARTÍCULO REFERIDO, TENÍA PARA INGRESAR LA ACLARACIÓN, CORRECCIÓN O COMPLEMENTACIÓN SOLICITADA A TRAVÉS DE ESTA UNIDAD DE TRANSPARENCIA, DE ACUERDO AL ARCHIVO ADJUNTO QUEDANDO A SALVO SUS DERECHOS PARA PODER VOLVER A INGRESAR SU SOLICITUD. SIN OTRO PARTICULAR, QUEDA DE USTED.</w:t>
      </w:r>
    </w:p>
    <w:p w14:paraId="13391BF3" w14:textId="77777777" w:rsidR="007F2ABB" w:rsidRPr="007F2ABB" w:rsidRDefault="007F2ABB" w:rsidP="007F2ABB">
      <w:pPr>
        <w:tabs>
          <w:tab w:val="left" w:pos="4667"/>
        </w:tabs>
        <w:spacing w:after="0" w:line="360" w:lineRule="auto"/>
        <w:ind w:left="567" w:right="567"/>
        <w:jc w:val="both"/>
        <w:rPr>
          <w:rFonts w:ascii="Palatino Linotype" w:eastAsia="Times New Roman" w:hAnsi="Palatino Linotype" w:cs="Tahoma"/>
          <w:bCs/>
          <w:i/>
          <w:sz w:val="20"/>
          <w:szCs w:val="20"/>
          <w:lang w:eastAsia="es-ES"/>
        </w:rPr>
      </w:pPr>
    </w:p>
    <w:p w14:paraId="10F1F9DE" w14:textId="77777777" w:rsidR="007F2ABB" w:rsidRPr="007F2ABB" w:rsidRDefault="007F2ABB" w:rsidP="007F2ABB">
      <w:pPr>
        <w:tabs>
          <w:tab w:val="left" w:pos="4667"/>
        </w:tabs>
        <w:spacing w:after="0" w:line="360" w:lineRule="auto"/>
        <w:ind w:left="567" w:right="567"/>
        <w:jc w:val="both"/>
        <w:rPr>
          <w:rFonts w:ascii="Palatino Linotype" w:eastAsia="Times New Roman" w:hAnsi="Palatino Linotype" w:cs="Tahoma"/>
          <w:bCs/>
          <w:i/>
          <w:sz w:val="20"/>
          <w:szCs w:val="20"/>
          <w:lang w:eastAsia="es-ES"/>
        </w:rPr>
      </w:pPr>
      <w:r w:rsidRPr="007F2ABB">
        <w:rPr>
          <w:rFonts w:ascii="Palatino Linotype" w:eastAsia="Times New Roman" w:hAnsi="Palatino Linotype" w:cs="Tahoma"/>
          <w:bCs/>
          <w:i/>
          <w:sz w:val="20"/>
          <w:szCs w:val="20"/>
          <w:lang w:eastAsia="es-ES"/>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(Sic.)</w:t>
      </w:r>
    </w:p>
    <w:p w14:paraId="06B0EE70" w14:textId="77777777" w:rsidR="007F2ABB" w:rsidRDefault="007F2ABB" w:rsidP="004B71F3">
      <w:pPr>
        <w:spacing w:after="0" w:line="360" w:lineRule="auto"/>
        <w:ind w:right="-3"/>
        <w:jc w:val="both"/>
        <w:rPr>
          <w:rFonts w:ascii="Palatino Linotype" w:eastAsia="Calibri" w:hAnsi="Palatino Linotype" w:cs="Times New Roman"/>
          <w:bCs/>
          <w:sz w:val="24"/>
          <w:szCs w:val="24"/>
          <w:lang w:val="es-ES_tradnl"/>
        </w:rPr>
      </w:pPr>
    </w:p>
    <w:p w14:paraId="40F57DEE" w14:textId="27D09708" w:rsidR="00655552" w:rsidRPr="0017463B" w:rsidRDefault="007F2ABB" w:rsidP="004B71F3">
      <w:pPr>
        <w:spacing w:after="0" w:line="360" w:lineRule="auto"/>
        <w:ind w:right="-3"/>
        <w:jc w:val="both"/>
        <w:rPr>
          <w:rFonts w:ascii="Palatino Linotype" w:eastAsia="Calibri" w:hAnsi="Palatino Linotype" w:cs="Times New Roman"/>
          <w:bCs/>
          <w:sz w:val="24"/>
          <w:szCs w:val="24"/>
          <w:lang w:val="es-ES_tradnl"/>
        </w:rPr>
      </w:pPr>
      <w:r>
        <w:rPr>
          <w:rFonts w:ascii="Palatino Linotype" w:eastAsia="Calibri" w:hAnsi="Palatino Linotype" w:cs="Times New Roman"/>
          <w:bCs/>
          <w:sz w:val="24"/>
          <w:szCs w:val="24"/>
          <w:lang w:val="es-ES_tradnl"/>
        </w:rPr>
        <w:lastRenderedPageBreak/>
        <w:t xml:space="preserve">Conocida esta notificación, </w:t>
      </w:r>
      <w:r w:rsidR="00655552" w:rsidRPr="0017463B">
        <w:rPr>
          <w:rFonts w:ascii="Palatino Linotype" w:eastAsia="Calibri" w:hAnsi="Palatino Linotype" w:cs="Times New Roman"/>
          <w:bCs/>
          <w:sz w:val="24"/>
          <w:szCs w:val="24"/>
          <w:lang w:val="es-ES_tradnl"/>
        </w:rPr>
        <w:t xml:space="preserve">la persona solicitante presentó el recurso de revisión mediante el cual señaló como motivo de inconformidad, en lo medular, que </w:t>
      </w:r>
      <w:r w:rsidR="0029161C">
        <w:rPr>
          <w:rFonts w:ascii="Palatino Linotype" w:eastAsia="Calibri" w:hAnsi="Palatino Linotype" w:cs="Times New Roman"/>
          <w:bCs/>
          <w:sz w:val="24"/>
          <w:szCs w:val="24"/>
          <w:lang w:val="es-ES_tradnl"/>
        </w:rPr>
        <w:t xml:space="preserve">no se le proporcionó la información solicitada </w:t>
      </w:r>
    </w:p>
    <w:p w14:paraId="3201E181" w14:textId="77777777" w:rsidR="00655552" w:rsidRPr="0017463B" w:rsidRDefault="00655552" w:rsidP="004B71F3">
      <w:pPr>
        <w:spacing w:after="0" w:line="360" w:lineRule="auto"/>
        <w:ind w:right="-3"/>
        <w:jc w:val="both"/>
        <w:rPr>
          <w:rFonts w:ascii="Palatino Linotype" w:eastAsia="Calibri" w:hAnsi="Palatino Linotype" w:cs="Times New Roman"/>
          <w:bCs/>
          <w:sz w:val="24"/>
          <w:szCs w:val="24"/>
          <w:lang w:val="es-ES_tradnl"/>
        </w:rPr>
      </w:pPr>
    </w:p>
    <w:p w14:paraId="62B3FC2C" w14:textId="739D82D2" w:rsidR="009D4C09" w:rsidRPr="0017463B" w:rsidRDefault="009D4C09" w:rsidP="009718A4">
      <w:pPr>
        <w:spacing w:line="360" w:lineRule="auto"/>
        <w:jc w:val="both"/>
        <w:rPr>
          <w:rFonts w:ascii="Palatino Linotype" w:eastAsia="Palatino Linotype" w:hAnsi="Palatino Linotype" w:cs="Palatino Linotype"/>
          <w:sz w:val="24"/>
          <w:szCs w:val="24"/>
        </w:rPr>
      </w:pPr>
      <w:r w:rsidRPr="0029161C">
        <w:rPr>
          <w:rFonts w:ascii="Palatino Linotype" w:eastAsia="Calibri" w:hAnsi="Palatino Linotype"/>
          <w:bCs/>
          <w:sz w:val="24"/>
          <w:szCs w:val="24"/>
          <w:lang w:val="es-ES_tradnl"/>
        </w:rPr>
        <w:t>Así, admitido el presente recurso de revisión, en términos del artículo 185 fracción II</w:t>
      </w:r>
      <w:r w:rsidRPr="0029161C">
        <w:rPr>
          <w:sz w:val="24"/>
          <w:szCs w:val="24"/>
          <w:lang w:val="es-ES_tradnl"/>
        </w:rPr>
        <w:footnoteReference w:id="1"/>
      </w:r>
      <w:r w:rsidRPr="0029161C">
        <w:rPr>
          <w:rFonts w:ascii="Palatino Linotype" w:eastAsia="Calibri" w:hAnsi="Palatino Linotype"/>
          <w:bCs/>
          <w:sz w:val="24"/>
          <w:szCs w:val="24"/>
          <w:lang w:val="es-ES_tradnl"/>
        </w:rPr>
        <w:t xml:space="preserve"> de la Ley de Transparencia y Acceso a la Información Pública del Estado de México</w:t>
      </w:r>
      <w:r w:rsidRPr="0029161C">
        <w:rPr>
          <w:rFonts w:ascii="Palatino Linotype" w:eastAsia="Palatino Linotype" w:hAnsi="Palatino Linotype" w:cs="Palatino Linotype"/>
          <w:sz w:val="24"/>
          <w:szCs w:val="24"/>
        </w:rPr>
        <w:t xml:space="preserve"> y Municipios, se integró el expediente y se puso a disposición de las partes para que, en un plazo máximo de siete días hábiles, manifestaran lo que a su derecho resultara conveniente, </w:t>
      </w:r>
      <w:r w:rsidR="007F2ABB">
        <w:rPr>
          <w:rFonts w:ascii="Palatino Linotype" w:eastAsia="Palatino Linotype" w:hAnsi="Palatino Linotype" w:cs="Palatino Linotype"/>
          <w:sz w:val="24"/>
          <w:szCs w:val="24"/>
        </w:rPr>
        <w:t>sin embargo, las partes fueron omisas en remitir información alguna.</w:t>
      </w:r>
    </w:p>
    <w:p w14:paraId="68E946D5" w14:textId="02061304" w:rsidR="00AF1499" w:rsidRPr="0017463B" w:rsidRDefault="000B2A76" w:rsidP="004A63C4">
      <w:pPr>
        <w:autoSpaceDE w:val="0"/>
        <w:autoSpaceDN w:val="0"/>
        <w:adjustRightInd w:val="0"/>
        <w:spacing w:line="360" w:lineRule="auto"/>
        <w:contextualSpacing/>
        <w:jc w:val="both"/>
        <w:rPr>
          <w:rFonts w:ascii="Palatino Linotype" w:hAnsi="Palatino Linotype"/>
          <w:sz w:val="24"/>
          <w:szCs w:val="24"/>
        </w:rPr>
      </w:pPr>
      <w:r w:rsidRPr="0017463B">
        <w:rPr>
          <w:rFonts w:ascii="Palatino Linotype" w:hAnsi="Palatino Linotype"/>
          <w:sz w:val="24"/>
          <w:szCs w:val="24"/>
        </w:rPr>
        <w:t xml:space="preserve">Por lo que, previo análisis de las constancias y de la naturaleza de la información, la Ponencia </w:t>
      </w:r>
      <w:r w:rsidR="009D4C09" w:rsidRPr="0017463B">
        <w:rPr>
          <w:rFonts w:ascii="Palatino Linotype" w:hAnsi="Palatino Linotype"/>
          <w:sz w:val="24"/>
          <w:szCs w:val="24"/>
        </w:rPr>
        <w:t xml:space="preserve">que resolvió </w:t>
      </w:r>
      <w:r w:rsidRPr="0017463B">
        <w:rPr>
          <w:rFonts w:ascii="Palatino Linotype" w:hAnsi="Palatino Linotype"/>
          <w:sz w:val="24"/>
          <w:szCs w:val="24"/>
        </w:rPr>
        <w:t>determinó</w:t>
      </w:r>
      <w:r w:rsidR="009D4C09" w:rsidRPr="0017463B">
        <w:rPr>
          <w:rFonts w:ascii="Palatino Linotype" w:hAnsi="Palatino Linotype"/>
          <w:sz w:val="24"/>
          <w:szCs w:val="24"/>
        </w:rPr>
        <w:t xml:space="preserve"> </w:t>
      </w:r>
      <w:r w:rsidR="007F2ABB">
        <w:rPr>
          <w:rFonts w:ascii="Palatino Linotype" w:hAnsi="Palatino Linotype"/>
          <w:iCs/>
          <w:sz w:val="24"/>
          <w:szCs w:val="24"/>
        </w:rPr>
        <w:t xml:space="preserve">que las razones y/o motivos de inconformidad del particular son fundados </w:t>
      </w:r>
      <w:r w:rsidR="008E58A8" w:rsidRPr="0017463B">
        <w:rPr>
          <w:rFonts w:ascii="Palatino Linotype" w:hAnsi="Palatino Linotype"/>
          <w:sz w:val="24"/>
          <w:szCs w:val="24"/>
        </w:rPr>
        <w:t xml:space="preserve">y </w:t>
      </w:r>
      <w:r w:rsidR="007F2ABB">
        <w:rPr>
          <w:rFonts w:ascii="Palatino Linotype" w:hAnsi="Palatino Linotype"/>
          <w:sz w:val="24"/>
          <w:szCs w:val="24"/>
        </w:rPr>
        <w:t xml:space="preserve">procedió a </w:t>
      </w:r>
      <w:r w:rsidR="00081965" w:rsidRPr="0017463B">
        <w:rPr>
          <w:rFonts w:ascii="Palatino Linotype" w:hAnsi="Palatino Linotype"/>
          <w:sz w:val="24"/>
          <w:szCs w:val="24"/>
        </w:rPr>
        <w:t>or</w:t>
      </w:r>
      <w:r w:rsidR="008E58A8" w:rsidRPr="0017463B">
        <w:rPr>
          <w:rFonts w:ascii="Palatino Linotype" w:hAnsi="Palatino Linotype"/>
          <w:sz w:val="24"/>
          <w:szCs w:val="24"/>
        </w:rPr>
        <w:t>denar la entrega de información,</w:t>
      </w:r>
      <w:r w:rsidR="009D4C09" w:rsidRPr="0017463B">
        <w:rPr>
          <w:rFonts w:ascii="Palatino Linotype" w:hAnsi="Palatino Linotype"/>
          <w:sz w:val="24"/>
          <w:szCs w:val="24"/>
        </w:rPr>
        <w:t xml:space="preserve"> como se advierte en el </w:t>
      </w:r>
      <w:r w:rsidRPr="0017463B">
        <w:rPr>
          <w:rFonts w:ascii="Palatino Linotype" w:hAnsi="Palatino Linotype"/>
          <w:b/>
          <w:sz w:val="24"/>
          <w:szCs w:val="24"/>
        </w:rPr>
        <w:t>resolutivo SEGUNDO</w:t>
      </w:r>
      <w:r w:rsidR="00AF1499" w:rsidRPr="0017463B">
        <w:rPr>
          <w:rFonts w:ascii="Palatino Linotype" w:hAnsi="Palatino Linotype"/>
          <w:sz w:val="24"/>
          <w:szCs w:val="24"/>
        </w:rPr>
        <w:t>:</w:t>
      </w:r>
    </w:p>
    <w:p w14:paraId="584F426D" w14:textId="77777777" w:rsidR="00AF1499" w:rsidRPr="0017463B" w:rsidRDefault="00AF1499" w:rsidP="00AF1499">
      <w:pPr>
        <w:autoSpaceDE w:val="0"/>
        <w:autoSpaceDN w:val="0"/>
        <w:adjustRightInd w:val="0"/>
        <w:spacing w:line="276" w:lineRule="auto"/>
        <w:ind w:left="567" w:right="990"/>
        <w:contextualSpacing/>
        <w:jc w:val="both"/>
        <w:rPr>
          <w:rFonts w:ascii="Palatino Linotype" w:hAnsi="Palatino Linotype"/>
          <w:b/>
          <w:bCs/>
          <w:i/>
          <w:szCs w:val="23"/>
        </w:rPr>
      </w:pPr>
    </w:p>
    <w:p w14:paraId="0733AB9A" w14:textId="77777777" w:rsidR="00E86A8A" w:rsidRPr="00E86A8A" w:rsidRDefault="00AF1499" w:rsidP="00E86A8A">
      <w:pPr>
        <w:autoSpaceDE w:val="0"/>
        <w:autoSpaceDN w:val="0"/>
        <w:adjustRightInd w:val="0"/>
        <w:spacing w:after="0" w:line="276" w:lineRule="auto"/>
        <w:ind w:left="851" w:right="706"/>
        <w:contextualSpacing/>
        <w:jc w:val="both"/>
        <w:rPr>
          <w:rFonts w:ascii="Palatino Linotype" w:eastAsia="Calibri" w:hAnsi="Palatino Linotype" w:cs="Tahoma"/>
          <w:b/>
          <w:bCs/>
          <w:i/>
          <w:lang w:val="es-ES"/>
        </w:rPr>
      </w:pPr>
      <w:r w:rsidRPr="009718A4">
        <w:rPr>
          <w:rFonts w:ascii="Palatino Linotype" w:hAnsi="Palatino Linotype"/>
          <w:b/>
          <w:bCs/>
          <w:i/>
          <w:szCs w:val="23"/>
        </w:rPr>
        <w:t>“</w:t>
      </w:r>
      <w:r w:rsidR="00081965" w:rsidRPr="009718A4">
        <w:rPr>
          <w:rFonts w:ascii="Palatino Linotype" w:hAnsi="Palatino Linotype"/>
          <w:b/>
          <w:bCs/>
          <w:i/>
          <w:szCs w:val="23"/>
        </w:rPr>
        <w:t>…</w:t>
      </w:r>
      <w:r w:rsidR="00E86A8A" w:rsidRPr="00E86A8A">
        <w:rPr>
          <w:rFonts w:ascii="Palatino Linotype" w:eastAsia="Calibri" w:hAnsi="Palatino Linotype" w:cs="Tahoma"/>
          <w:b/>
          <w:bCs/>
          <w:i/>
        </w:rPr>
        <w:t xml:space="preserve">SEGUNDO. </w:t>
      </w:r>
      <w:r w:rsidR="00E86A8A" w:rsidRPr="00E86A8A">
        <w:rPr>
          <w:rFonts w:ascii="Palatino Linotype" w:eastAsia="Calibri" w:hAnsi="Palatino Linotype" w:cs="Tahoma"/>
          <w:bCs/>
          <w:i/>
        </w:rPr>
        <w:t>Se ORDENA al Ayuntamiento de Calimaya, a efecto de que, de trámite a la solicitud de información y previa búsqueda exhaustiva y razonable, en todas las unidades administrativas competentes</w:t>
      </w:r>
      <w:r w:rsidR="00E86A8A" w:rsidRPr="00E86A8A">
        <w:rPr>
          <w:rFonts w:ascii="Palatino Linotype" w:eastAsia="Calibri" w:hAnsi="Palatino Linotype" w:cs="Tahoma"/>
          <w:bCs/>
          <w:i/>
          <w:iCs/>
        </w:rPr>
        <w:t xml:space="preserve">, entregue, a través del Sistema de Acceso a la Información Mexiquense (SAIMEX), </w:t>
      </w:r>
      <w:r w:rsidR="00E86A8A" w:rsidRPr="00E86A8A">
        <w:rPr>
          <w:rFonts w:ascii="Palatino Linotype" w:eastAsia="Calibri" w:hAnsi="Palatino Linotype" w:cs="Tahoma"/>
          <w:bCs/>
          <w:i/>
          <w:lang w:val="es-ES"/>
        </w:rPr>
        <w:t>en su caso, en versión pública, lo siguiente:</w:t>
      </w:r>
    </w:p>
    <w:p w14:paraId="644AF4CE" w14:textId="77777777" w:rsidR="00E86A8A" w:rsidRPr="00E86A8A" w:rsidRDefault="00E86A8A" w:rsidP="00E86A8A">
      <w:pPr>
        <w:autoSpaceDE w:val="0"/>
        <w:autoSpaceDN w:val="0"/>
        <w:adjustRightInd w:val="0"/>
        <w:spacing w:after="0" w:line="276" w:lineRule="auto"/>
        <w:ind w:left="851" w:right="706"/>
        <w:contextualSpacing/>
        <w:jc w:val="both"/>
        <w:rPr>
          <w:rFonts w:ascii="Palatino Linotype" w:eastAsia="Calibri" w:hAnsi="Palatino Linotype" w:cs="Tahoma"/>
          <w:b/>
          <w:bCs/>
          <w:i/>
          <w:lang w:val="es-ES"/>
        </w:rPr>
      </w:pPr>
    </w:p>
    <w:p w14:paraId="2A9E7614" w14:textId="77777777" w:rsidR="00E86A8A" w:rsidRPr="00E86A8A" w:rsidRDefault="00E86A8A" w:rsidP="00E86A8A">
      <w:pPr>
        <w:numPr>
          <w:ilvl w:val="0"/>
          <w:numId w:val="17"/>
        </w:numPr>
        <w:autoSpaceDE w:val="0"/>
        <w:autoSpaceDN w:val="0"/>
        <w:adjustRightInd w:val="0"/>
        <w:spacing w:after="0" w:line="276" w:lineRule="auto"/>
        <w:ind w:left="567" w:right="706" w:hanging="141"/>
        <w:contextualSpacing/>
        <w:jc w:val="both"/>
        <w:rPr>
          <w:rFonts w:ascii="Palatino Linotype" w:eastAsia="Calibri" w:hAnsi="Palatino Linotype" w:cs="Tahoma"/>
          <w:b/>
          <w:bCs/>
          <w:i/>
          <w:lang w:val="es-ES"/>
        </w:rPr>
      </w:pPr>
      <w:r w:rsidRPr="00E86A8A">
        <w:rPr>
          <w:rFonts w:ascii="Palatino Linotype" w:eastAsia="Calibri" w:hAnsi="Palatino Linotype" w:cs="Tahoma"/>
          <w:b/>
          <w:bCs/>
          <w:i/>
          <w:lang w:val="es-ES"/>
        </w:rPr>
        <w:lastRenderedPageBreak/>
        <w:t>Los Comprobantes Fiscales Digitales por Internet por concepto de Nómina, de todos los servidores públicos adscritos al Sujeto Obligado, de la primera quincena de enero a la primera de junio de dos mil veintidós.</w:t>
      </w:r>
    </w:p>
    <w:p w14:paraId="1C249EAE" w14:textId="77777777" w:rsidR="00E86A8A" w:rsidRPr="00E86A8A" w:rsidRDefault="00E86A8A" w:rsidP="00E86A8A">
      <w:pPr>
        <w:autoSpaceDE w:val="0"/>
        <w:autoSpaceDN w:val="0"/>
        <w:adjustRightInd w:val="0"/>
        <w:spacing w:after="0" w:line="276" w:lineRule="auto"/>
        <w:ind w:left="851" w:right="706"/>
        <w:contextualSpacing/>
        <w:jc w:val="both"/>
        <w:rPr>
          <w:rFonts w:ascii="Palatino Linotype" w:eastAsia="Calibri" w:hAnsi="Palatino Linotype" w:cs="Tahoma"/>
          <w:b/>
          <w:bCs/>
          <w:i/>
          <w:lang w:val="es-ES"/>
        </w:rPr>
      </w:pPr>
    </w:p>
    <w:p w14:paraId="680BD524" w14:textId="328CCBC4" w:rsidR="00AF1499" w:rsidRPr="00E86A8A" w:rsidRDefault="00E86A8A" w:rsidP="00E86A8A">
      <w:pPr>
        <w:autoSpaceDE w:val="0"/>
        <w:autoSpaceDN w:val="0"/>
        <w:adjustRightInd w:val="0"/>
        <w:spacing w:after="0" w:line="276" w:lineRule="auto"/>
        <w:ind w:left="567" w:right="706"/>
        <w:contextualSpacing/>
        <w:jc w:val="both"/>
        <w:rPr>
          <w:rFonts w:ascii="Palatino Linotype" w:eastAsia="Calibri" w:hAnsi="Palatino Linotype" w:cs="Tahoma"/>
          <w:b/>
          <w:bCs/>
          <w:i/>
          <w:iCs/>
        </w:rPr>
      </w:pPr>
      <w:r w:rsidRPr="00E86A8A">
        <w:rPr>
          <w:rFonts w:ascii="Palatino Linotype" w:eastAsia="Calibri" w:hAnsi="Palatino Linotype" w:cs="Tahoma"/>
          <w:bCs/>
          <w:i/>
          <w:iC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r w:rsidRPr="00E86A8A">
        <w:rPr>
          <w:rFonts w:ascii="Palatino Linotype" w:eastAsia="Calibri" w:hAnsi="Palatino Linotype" w:cs="Tahoma"/>
          <w:b/>
          <w:bCs/>
          <w:i/>
          <w:iCs/>
        </w:rPr>
        <w:t>.</w:t>
      </w:r>
      <w:r w:rsidR="00AF1499" w:rsidRPr="009718A4">
        <w:rPr>
          <w:rFonts w:ascii="Palatino Linotype" w:hAnsi="Palatino Linotype"/>
          <w:i/>
          <w:szCs w:val="23"/>
          <w:lang w:val="es-ES"/>
        </w:rPr>
        <w:t xml:space="preserve">” (Sic) </w:t>
      </w:r>
    </w:p>
    <w:p w14:paraId="28FCBFEA" w14:textId="77777777" w:rsidR="00AF1499" w:rsidRPr="0017463B" w:rsidRDefault="00AF1499" w:rsidP="004A63C4">
      <w:pPr>
        <w:autoSpaceDE w:val="0"/>
        <w:autoSpaceDN w:val="0"/>
        <w:adjustRightInd w:val="0"/>
        <w:spacing w:line="360" w:lineRule="auto"/>
        <w:contextualSpacing/>
        <w:jc w:val="both"/>
        <w:rPr>
          <w:rFonts w:ascii="Palatino Linotype" w:hAnsi="Palatino Linotype"/>
          <w:sz w:val="23"/>
          <w:szCs w:val="23"/>
        </w:rPr>
      </w:pPr>
    </w:p>
    <w:p w14:paraId="035B34D3" w14:textId="226F927C" w:rsidR="000B2A76" w:rsidRPr="0017463B" w:rsidRDefault="000B2A76" w:rsidP="000B2A76">
      <w:pPr>
        <w:spacing w:line="360" w:lineRule="auto"/>
        <w:jc w:val="both"/>
        <w:rPr>
          <w:rFonts w:ascii="Palatino Linotype" w:hAnsi="Palatino Linotype"/>
          <w:sz w:val="24"/>
          <w:szCs w:val="24"/>
        </w:rPr>
      </w:pPr>
      <w:r w:rsidRPr="0017463B">
        <w:rPr>
          <w:rFonts w:ascii="Palatino Linotype" w:hAnsi="Palatino Linotype"/>
          <w:sz w:val="24"/>
          <w:szCs w:val="24"/>
          <w:lang w:val="es-ES"/>
        </w:rPr>
        <w:t>En ese sentido</w:t>
      </w:r>
      <w:r w:rsidR="00EE5423" w:rsidRPr="0017463B">
        <w:rPr>
          <w:rFonts w:ascii="Palatino Linotype" w:hAnsi="Palatino Linotype"/>
          <w:sz w:val="24"/>
          <w:szCs w:val="24"/>
        </w:rPr>
        <w:t xml:space="preserve"> debe mencionarse que, toda vez que se determinó </w:t>
      </w:r>
      <w:r w:rsidR="00081965" w:rsidRPr="0017463B">
        <w:rPr>
          <w:rFonts w:ascii="Palatino Linotype" w:hAnsi="Palatino Linotype"/>
          <w:sz w:val="24"/>
          <w:szCs w:val="24"/>
        </w:rPr>
        <w:t xml:space="preserve">que el </w:t>
      </w:r>
      <w:r w:rsidR="00081965" w:rsidRPr="0017463B">
        <w:rPr>
          <w:rFonts w:ascii="Palatino Linotype" w:hAnsi="Palatino Linotype"/>
          <w:b/>
          <w:bCs/>
          <w:sz w:val="24"/>
          <w:szCs w:val="24"/>
        </w:rPr>
        <w:t>Sujeto Obligado</w:t>
      </w:r>
      <w:r w:rsidR="00081965" w:rsidRPr="0017463B">
        <w:rPr>
          <w:rFonts w:ascii="Palatino Linotype" w:hAnsi="Palatino Linotype"/>
          <w:sz w:val="24"/>
          <w:szCs w:val="24"/>
        </w:rPr>
        <w:t xml:space="preserve"> cuenta con una </w:t>
      </w:r>
      <w:r w:rsidR="00E86A8A" w:rsidRPr="00E86A8A">
        <w:rPr>
          <w:rFonts w:ascii="Palatino Linotype" w:hAnsi="Palatino Linotype"/>
          <w:b/>
          <w:bCs/>
          <w:sz w:val="24"/>
          <w:szCs w:val="24"/>
        </w:rPr>
        <w:t>Comisaría de Seguridad Pública Municipal</w:t>
      </w:r>
      <w:r w:rsidR="00081965" w:rsidRPr="0017463B">
        <w:rPr>
          <w:rFonts w:ascii="Palatino Linotype" w:hAnsi="Palatino Linotype"/>
          <w:sz w:val="24"/>
          <w:szCs w:val="24"/>
        </w:rPr>
        <w:t>, encargada de salvaguardar y garantizar el orden público y la paz social, así como de  la prevención, co</w:t>
      </w:r>
      <w:r w:rsidR="00F06A7B" w:rsidRPr="0017463B">
        <w:rPr>
          <w:rFonts w:ascii="Palatino Linotype" w:hAnsi="Palatino Linotype"/>
          <w:sz w:val="24"/>
          <w:szCs w:val="24"/>
        </w:rPr>
        <w:t xml:space="preserve">mbate y persecución de delitos, por lo que </w:t>
      </w:r>
      <w:r w:rsidR="00F06A7B" w:rsidRPr="0017463B">
        <w:rPr>
          <w:rFonts w:ascii="Palatino Linotype" w:hAnsi="Palatino Linotype"/>
          <w:b/>
          <w:sz w:val="24"/>
          <w:szCs w:val="24"/>
        </w:rPr>
        <w:t xml:space="preserve">para este Instituto </w:t>
      </w:r>
      <w:r w:rsidR="009718A4">
        <w:rPr>
          <w:rFonts w:ascii="Palatino Linotype" w:hAnsi="Palatino Linotype"/>
          <w:b/>
          <w:bCs/>
          <w:sz w:val="24"/>
          <w:szCs w:val="24"/>
        </w:rPr>
        <w:t>resulta</w:t>
      </w:r>
      <w:r w:rsidR="008E58A8" w:rsidRPr="0017463B">
        <w:rPr>
          <w:rFonts w:ascii="Palatino Linotype" w:hAnsi="Palatino Linotype"/>
          <w:b/>
          <w:bCs/>
          <w:sz w:val="24"/>
          <w:szCs w:val="24"/>
        </w:rPr>
        <w:t xml:space="preserve"> pertinente</w:t>
      </w:r>
      <w:r w:rsidR="00F06A7B" w:rsidRPr="0017463B">
        <w:rPr>
          <w:rFonts w:ascii="Palatino Linotype" w:hAnsi="Palatino Linotype"/>
          <w:b/>
          <w:bCs/>
          <w:sz w:val="24"/>
          <w:szCs w:val="24"/>
        </w:rPr>
        <w:t xml:space="preserve"> </w:t>
      </w:r>
      <w:r w:rsidR="00D07D24" w:rsidRPr="0017463B">
        <w:rPr>
          <w:rFonts w:ascii="Palatino Linotype" w:hAnsi="Palatino Linotype"/>
          <w:b/>
          <w:bCs/>
          <w:sz w:val="24"/>
          <w:szCs w:val="24"/>
        </w:rPr>
        <w:t xml:space="preserve">la reserva </w:t>
      </w:r>
      <w:r w:rsidR="004B71F3" w:rsidRPr="0017463B">
        <w:rPr>
          <w:rFonts w:ascii="Palatino Linotype" w:hAnsi="Palatino Linotype"/>
          <w:b/>
          <w:bCs/>
          <w:sz w:val="24"/>
          <w:szCs w:val="24"/>
        </w:rPr>
        <w:t xml:space="preserve">del nombre de los elementos operativos de la </w:t>
      </w:r>
      <w:r w:rsidR="00E86A8A" w:rsidRPr="00E86A8A">
        <w:rPr>
          <w:rFonts w:ascii="Palatino Linotype" w:hAnsi="Palatino Linotype"/>
          <w:b/>
          <w:bCs/>
          <w:sz w:val="24"/>
          <w:szCs w:val="24"/>
        </w:rPr>
        <w:t>Comisaría de Seguridad Pública Municipal</w:t>
      </w:r>
      <w:r w:rsidR="00F06A7B" w:rsidRPr="0017463B">
        <w:rPr>
          <w:rFonts w:ascii="Palatino Linotype" w:hAnsi="Palatino Linotype"/>
          <w:bCs/>
          <w:sz w:val="24"/>
          <w:szCs w:val="24"/>
        </w:rPr>
        <w:t xml:space="preserve">, </w:t>
      </w:r>
      <w:r w:rsidRPr="0017463B">
        <w:rPr>
          <w:rFonts w:ascii="Palatino Linotype" w:hAnsi="Palatino Linotype"/>
          <w:sz w:val="24"/>
          <w:szCs w:val="24"/>
        </w:rPr>
        <w:t xml:space="preserve">para lo que es necesario el desarrollo de la prueba de daño,  </w:t>
      </w:r>
      <w:r w:rsidRPr="0017463B">
        <w:rPr>
          <w:rFonts w:ascii="Palatino Linotype" w:hAnsi="Palatino Linotype"/>
          <w:b/>
          <w:sz w:val="24"/>
          <w:szCs w:val="24"/>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17463B">
        <w:rPr>
          <w:rFonts w:ascii="Palatino Linotype" w:hAnsi="Palatino Linotype"/>
          <w:sz w:val="24"/>
          <w:szCs w:val="24"/>
        </w:rPr>
        <w:t xml:space="preserve">.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w:t>
      </w:r>
      <w:r w:rsidRPr="0017463B">
        <w:rPr>
          <w:rFonts w:ascii="Palatino Linotype" w:hAnsi="Palatino Linotype"/>
          <w:sz w:val="24"/>
          <w:szCs w:val="24"/>
        </w:rPr>
        <w:lastRenderedPageBreak/>
        <w:t xml:space="preserve">Desclasificación de la Información, así como para la elaboración de Versiones Públicas. </w:t>
      </w:r>
    </w:p>
    <w:p w14:paraId="5D063AB2" w14:textId="77777777" w:rsidR="000B2A76" w:rsidRPr="0017463B" w:rsidRDefault="000B2A76" w:rsidP="000B2A76">
      <w:pPr>
        <w:spacing w:line="360" w:lineRule="auto"/>
        <w:jc w:val="both"/>
        <w:rPr>
          <w:rFonts w:ascii="Palatino Linotype" w:hAnsi="Palatino Linotype"/>
          <w:sz w:val="24"/>
          <w:szCs w:val="24"/>
        </w:rPr>
      </w:pPr>
      <w:r w:rsidRPr="0017463B">
        <w:rPr>
          <w:rFonts w:ascii="Palatino Linotype" w:hAnsi="Palatino Linotype"/>
          <w:sz w:val="24"/>
          <w:szCs w:val="24"/>
        </w:rPr>
        <w:t xml:space="preserve">En esta perspectiva, el Acuerdo de Clasificación de Información tiene como propósito primordial </w:t>
      </w:r>
      <w:r w:rsidRPr="0017463B">
        <w:rPr>
          <w:rFonts w:ascii="Palatino Linotype" w:hAnsi="Palatino Linotype"/>
          <w:b/>
          <w:sz w:val="24"/>
          <w:szCs w:val="24"/>
        </w:rPr>
        <w:t>que los particulares conozcan de manera completa las condiciones y circunstancias que determinaron negar el acceso a la información</w:t>
      </w:r>
      <w:r w:rsidRPr="0017463B">
        <w:rPr>
          <w:rFonts w:ascii="Palatino Linotype" w:hAnsi="Palatino Linotype"/>
          <w:sz w:val="24"/>
          <w:szCs w:val="24"/>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14:paraId="5306B9C5" w14:textId="77777777" w:rsidR="000B2A76" w:rsidRPr="0017463B" w:rsidRDefault="000B2A76" w:rsidP="000B2A76">
      <w:pPr>
        <w:spacing w:line="360" w:lineRule="auto"/>
        <w:jc w:val="both"/>
        <w:rPr>
          <w:rFonts w:ascii="Palatino Linotype" w:hAnsi="Palatino Linotype"/>
          <w:sz w:val="24"/>
          <w:szCs w:val="24"/>
        </w:rPr>
      </w:pPr>
      <w:r w:rsidRPr="0017463B">
        <w:rPr>
          <w:rFonts w:ascii="Palatino Linotype" w:hAnsi="Palatino Linotype"/>
          <w:sz w:val="24"/>
          <w:szCs w:val="24"/>
        </w:rPr>
        <w:t>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14:paraId="4411A51D" w14:textId="77777777" w:rsidR="000B2A76" w:rsidRPr="0017463B" w:rsidRDefault="000B2A76" w:rsidP="000B2A76">
      <w:pPr>
        <w:pStyle w:val="Sinespaciado"/>
        <w:spacing w:line="276" w:lineRule="auto"/>
        <w:ind w:left="851" w:right="899"/>
        <w:jc w:val="both"/>
        <w:rPr>
          <w:rFonts w:ascii="Palatino Linotype" w:hAnsi="Palatino Linotype" w:cstheme="minorHAnsi"/>
          <w:i/>
          <w:sz w:val="22"/>
          <w:szCs w:val="22"/>
        </w:rPr>
      </w:pPr>
      <w:r w:rsidRPr="0017463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14:paraId="73F82E9C" w14:textId="77777777" w:rsidR="000B2A76" w:rsidRPr="0017463B" w:rsidRDefault="000B2A76" w:rsidP="000B2A76">
      <w:pPr>
        <w:pStyle w:val="Sinespaciado"/>
        <w:spacing w:line="276" w:lineRule="auto"/>
        <w:ind w:left="851" w:right="899"/>
        <w:jc w:val="both"/>
        <w:rPr>
          <w:rFonts w:ascii="Palatino Linotype" w:hAnsi="Palatino Linotype" w:cstheme="minorHAnsi"/>
          <w:i/>
          <w:sz w:val="22"/>
          <w:szCs w:val="22"/>
        </w:rPr>
      </w:pPr>
      <w:r w:rsidRPr="0017463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14:paraId="13211827" w14:textId="77777777" w:rsidR="000B2A76" w:rsidRPr="0017463B" w:rsidRDefault="000B2A76" w:rsidP="000B2A76">
      <w:pPr>
        <w:pStyle w:val="Sinespaciado"/>
        <w:spacing w:line="276" w:lineRule="auto"/>
        <w:ind w:left="851" w:right="899"/>
        <w:jc w:val="both"/>
        <w:rPr>
          <w:rFonts w:ascii="Palatino Linotype" w:hAnsi="Palatino Linotype" w:cstheme="minorHAnsi"/>
          <w:i/>
          <w:sz w:val="22"/>
          <w:szCs w:val="22"/>
        </w:rPr>
      </w:pPr>
      <w:r w:rsidRPr="0017463B">
        <w:rPr>
          <w:rFonts w:ascii="Palatino Linotype" w:hAnsi="Palatino Linotype" w:cstheme="minorHAnsi"/>
          <w:i/>
          <w:sz w:val="22"/>
          <w:szCs w:val="22"/>
        </w:rPr>
        <w:t xml:space="preserve">II. Mediante la ponderación de los intereses en conflicto, los sujetos obligados </w:t>
      </w:r>
      <w:r w:rsidRPr="0017463B">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17463B">
        <w:rPr>
          <w:rFonts w:ascii="Palatino Linotype" w:hAnsi="Palatino Linotype" w:cstheme="minorHAnsi"/>
          <w:i/>
          <w:sz w:val="22"/>
          <w:szCs w:val="22"/>
        </w:rPr>
        <w:t>;</w:t>
      </w:r>
    </w:p>
    <w:p w14:paraId="77A83ED8" w14:textId="77777777" w:rsidR="000B2A76" w:rsidRPr="0017463B" w:rsidRDefault="000B2A76" w:rsidP="000B2A76">
      <w:pPr>
        <w:pStyle w:val="Sinespaciado"/>
        <w:spacing w:line="276" w:lineRule="auto"/>
        <w:ind w:left="851" w:right="899"/>
        <w:jc w:val="both"/>
        <w:rPr>
          <w:rFonts w:ascii="Palatino Linotype" w:hAnsi="Palatino Linotype" w:cstheme="minorHAnsi"/>
          <w:i/>
          <w:sz w:val="22"/>
          <w:szCs w:val="22"/>
        </w:rPr>
      </w:pPr>
      <w:r w:rsidRPr="0017463B">
        <w:rPr>
          <w:rFonts w:ascii="Palatino Linotype" w:hAnsi="Palatino Linotype" w:cstheme="minorHAnsi"/>
          <w:i/>
          <w:sz w:val="22"/>
          <w:szCs w:val="22"/>
        </w:rPr>
        <w:t>III.</w:t>
      </w:r>
      <w:r w:rsidRPr="0017463B">
        <w:rPr>
          <w:rFonts w:ascii="Palatino Linotype" w:hAnsi="Palatino Linotype" w:cstheme="minorHAnsi"/>
          <w:i/>
          <w:sz w:val="22"/>
          <w:szCs w:val="22"/>
        </w:rPr>
        <w:tab/>
        <w:t>Se debe de acreditar el vínculo entre la difusión de la información y la afectación del interés jurídico tutelado de que se trate;</w:t>
      </w:r>
    </w:p>
    <w:p w14:paraId="0C7FEAE5" w14:textId="77777777" w:rsidR="000B2A76" w:rsidRPr="0017463B" w:rsidRDefault="000B2A76" w:rsidP="000B2A76">
      <w:pPr>
        <w:pStyle w:val="Sinespaciado"/>
        <w:spacing w:line="276" w:lineRule="auto"/>
        <w:ind w:left="851" w:right="899"/>
        <w:jc w:val="both"/>
        <w:rPr>
          <w:rFonts w:ascii="Palatino Linotype" w:hAnsi="Palatino Linotype" w:cstheme="minorHAnsi"/>
          <w:i/>
          <w:sz w:val="22"/>
          <w:szCs w:val="22"/>
        </w:rPr>
      </w:pPr>
      <w:r w:rsidRPr="0017463B">
        <w:rPr>
          <w:rFonts w:ascii="Palatino Linotype" w:hAnsi="Palatino Linotype" w:cstheme="minorHAnsi"/>
          <w:i/>
          <w:sz w:val="22"/>
          <w:szCs w:val="22"/>
        </w:rPr>
        <w:t>IV.</w:t>
      </w:r>
      <w:r w:rsidRPr="0017463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14:paraId="22630193" w14:textId="77777777" w:rsidR="000B2A76" w:rsidRPr="0017463B" w:rsidRDefault="000B2A76" w:rsidP="000B2A76">
      <w:pPr>
        <w:pStyle w:val="Sinespaciado"/>
        <w:spacing w:line="276" w:lineRule="auto"/>
        <w:ind w:left="851" w:right="899"/>
        <w:jc w:val="both"/>
        <w:rPr>
          <w:rFonts w:ascii="Palatino Linotype" w:hAnsi="Palatino Linotype" w:cstheme="minorHAnsi"/>
          <w:i/>
          <w:sz w:val="22"/>
          <w:szCs w:val="22"/>
        </w:rPr>
      </w:pPr>
      <w:r w:rsidRPr="0017463B">
        <w:rPr>
          <w:rFonts w:ascii="Palatino Linotype" w:hAnsi="Palatino Linotype" w:cstheme="minorHAnsi"/>
          <w:i/>
          <w:sz w:val="22"/>
          <w:szCs w:val="22"/>
        </w:rPr>
        <w:t>V.</w:t>
      </w:r>
      <w:r w:rsidRPr="0017463B">
        <w:rPr>
          <w:rFonts w:ascii="Palatino Linotype" w:hAnsi="Palatino Linotype" w:cstheme="minorHAnsi"/>
          <w:i/>
          <w:sz w:val="22"/>
          <w:szCs w:val="22"/>
        </w:rPr>
        <w:tab/>
        <w:t xml:space="preserve">En la motivación de la clasificación, </w:t>
      </w:r>
      <w:r w:rsidRPr="0017463B">
        <w:rPr>
          <w:rFonts w:ascii="Palatino Linotype" w:hAnsi="Palatino Linotype" w:cstheme="minorHAnsi"/>
          <w:b/>
          <w:i/>
          <w:sz w:val="22"/>
          <w:szCs w:val="22"/>
        </w:rPr>
        <w:t>el sujeto obligado deberá acreditar las circunstancias de modo, tiempo y lugar del daño</w:t>
      </w:r>
      <w:r w:rsidRPr="0017463B">
        <w:rPr>
          <w:rFonts w:ascii="Palatino Linotype" w:hAnsi="Palatino Linotype" w:cstheme="minorHAnsi"/>
          <w:i/>
          <w:sz w:val="22"/>
          <w:szCs w:val="22"/>
        </w:rPr>
        <w:t>, y</w:t>
      </w:r>
    </w:p>
    <w:p w14:paraId="4B402896" w14:textId="77777777" w:rsidR="000B2A76" w:rsidRPr="0017463B" w:rsidRDefault="000B2A76" w:rsidP="000B2A76">
      <w:pPr>
        <w:pStyle w:val="Sinespaciado"/>
        <w:spacing w:line="276" w:lineRule="auto"/>
        <w:ind w:left="851" w:right="899"/>
        <w:jc w:val="both"/>
        <w:rPr>
          <w:rFonts w:ascii="Palatino Linotype" w:hAnsi="Palatino Linotype" w:cstheme="minorHAnsi"/>
          <w:i/>
          <w:sz w:val="22"/>
          <w:szCs w:val="22"/>
        </w:rPr>
      </w:pPr>
      <w:r w:rsidRPr="0017463B">
        <w:rPr>
          <w:rFonts w:ascii="Palatino Linotype" w:hAnsi="Palatino Linotype" w:cstheme="minorHAnsi"/>
          <w:i/>
          <w:sz w:val="22"/>
          <w:szCs w:val="22"/>
        </w:rPr>
        <w:t>VI.</w:t>
      </w:r>
      <w:r w:rsidRPr="0017463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14:paraId="7761E791" w14:textId="77777777" w:rsidR="000B2A76" w:rsidRPr="0017463B" w:rsidRDefault="000B2A76" w:rsidP="000B2A76">
      <w:pPr>
        <w:pStyle w:val="Sinespaciado"/>
        <w:spacing w:line="276" w:lineRule="auto"/>
        <w:ind w:left="851" w:right="899"/>
        <w:jc w:val="both"/>
        <w:rPr>
          <w:rFonts w:ascii="Palatino Linotype" w:hAnsi="Palatino Linotype" w:cstheme="minorHAnsi"/>
          <w:i/>
          <w:sz w:val="22"/>
          <w:szCs w:val="22"/>
        </w:rPr>
      </w:pPr>
    </w:p>
    <w:p w14:paraId="01FDA728" w14:textId="77777777" w:rsidR="000B2A76" w:rsidRPr="0017463B" w:rsidRDefault="000B2A76" w:rsidP="000B2A76">
      <w:pPr>
        <w:spacing w:line="360" w:lineRule="auto"/>
        <w:jc w:val="both"/>
        <w:rPr>
          <w:rFonts w:ascii="Palatino Linotype" w:hAnsi="Palatino Linotype"/>
          <w:sz w:val="24"/>
          <w:szCs w:val="24"/>
        </w:rPr>
      </w:pPr>
      <w:r w:rsidRPr="0017463B">
        <w:rPr>
          <w:rFonts w:ascii="Palatino Linotype" w:hAnsi="Palatino Linotype"/>
          <w:sz w:val="24"/>
          <w:szCs w:val="24"/>
        </w:rPr>
        <w:t xml:space="preserve">En conclusión, para convalidar la clasificación como información reservada, </w:t>
      </w:r>
      <w:r w:rsidRPr="0017463B">
        <w:rPr>
          <w:rFonts w:ascii="Palatino Linotype" w:hAnsi="Palatino Linotype"/>
          <w:b/>
          <w:sz w:val="24"/>
          <w:szCs w:val="24"/>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17463B">
        <w:rPr>
          <w:rFonts w:ascii="Palatino Linotype" w:hAnsi="Palatino Linotype"/>
          <w:sz w:val="24"/>
          <w:szCs w:val="24"/>
        </w:rPr>
        <w:t>, como es la figura de la clasificación de la información para verificar que se acredita la prueba de daño.</w:t>
      </w:r>
    </w:p>
    <w:p w14:paraId="7B025835" w14:textId="6645A0D8" w:rsidR="000B2A76" w:rsidRPr="0017463B" w:rsidRDefault="000B2A76" w:rsidP="000B2A76">
      <w:pPr>
        <w:spacing w:line="360" w:lineRule="auto"/>
        <w:jc w:val="both"/>
        <w:rPr>
          <w:rFonts w:ascii="Palatino Linotype" w:hAnsi="Palatino Linotype"/>
          <w:sz w:val="24"/>
          <w:szCs w:val="24"/>
        </w:rPr>
      </w:pPr>
      <w:r w:rsidRPr="0017463B">
        <w:rPr>
          <w:rFonts w:ascii="Palatino Linotype" w:hAnsi="Palatino Linotype"/>
          <w:sz w:val="24"/>
          <w:szCs w:val="24"/>
        </w:rPr>
        <w:t xml:space="preserve">Bajo este contexto, se analizó la resolución del recurso de revisión </w:t>
      </w:r>
      <w:r w:rsidR="00E86A8A">
        <w:rPr>
          <w:rFonts w:ascii="Palatino Linotype" w:hAnsi="Palatino Linotype"/>
          <w:b/>
          <w:bCs/>
          <w:sz w:val="24"/>
          <w:szCs w:val="24"/>
        </w:rPr>
        <w:t>1316</w:t>
      </w:r>
      <w:r w:rsidR="009718A4">
        <w:rPr>
          <w:rFonts w:ascii="Palatino Linotype" w:hAnsi="Palatino Linotype"/>
          <w:b/>
          <w:bCs/>
          <w:sz w:val="24"/>
          <w:szCs w:val="24"/>
        </w:rPr>
        <w:t>6</w:t>
      </w:r>
      <w:r w:rsidRPr="0017463B">
        <w:rPr>
          <w:rFonts w:ascii="Palatino Linotype" w:hAnsi="Palatino Linotype"/>
          <w:b/>
          <w:bCs/>
          <w:sz w:val="24"/>
          <w:szCs w:val="24"/>
        </w:rPr>
        <w:t>/INFOEM/IP/RR/2022</w:t>
      </w:r>
      <w:r w:rsidRPr="0017463B">
        <w:rPr>
          <w:rFonts w:ascii="Palatino Linotype" w:hAnsi="Palatino Linotype"/>
          <w:sz w:val="24"/>
          <w:szCs w:val="24"/>
        </w:rPr>
        <w:t xml:space="preserve">, en la cual, el Comisionado Ponente, desarrolla la prueba de daño, circunstancia que a consideración de la suscrita y derivado de lo antes señalado, </w:t>
      </w:r>
      <w:r w:rsidRPr="0017463B">
        <w:rPr>
          <w:rFonts w:ascii="Palatino Linotype" w:hAnsi="Palatino Linotype"/>
          <w:b/>
          <w:bCs/>
          <w:sz w:val="24"/>
          <w:szCs w:val="24"/>
        </w:rPr>
        <w:t>les corresponde comprobar y desarrollar a los Sujetos Obligados</w:t>
      </w:r>
      <w:r w:rsidRPr="0017463B">
        <w:rPr>
          <w:rFonts w:ascii="Palatino Linotype" w:hAnsi="Palatino Linotype"/>
          <w:sz w:val="24"/>
          <w:szCs w:val="24"/>
        </w:rPr>
        <w:t>,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23FEEFAE" w14:textId="77777777" w:rsidR="000B2A76" w:rsidRPr="0017463B" w:rsidRDefault="000B2A76" w:rsidP="000B2A76">
      <w:pPr>
        <w:pStyle w:val="Sinespaciado"/>
        <w:ind w:left="851" w:right="899"/>
        <w:jc w:val="both"/>
        <w:rPr>
          <w:rFonts w:ascii="Palatino Linotype" w:hAnsi="Palatino Linotype" w:cstheme="minorHAnsi"/>
          <w:i/>
          <w:sz w:val="22"/>
          <w:szCs w:val="22"/>
        </w:rPr>
      </w:pPr>
      <w:r w:rsidRPr="0017463B">
        <w:rPr>
          <w:rFonts w:ascii="Palatino Linotype" w:hAnsi="Palatino Linotype" w:cstheme="minorHAnsi"/>
          <w:i/>
          <w:sz w:val="22"/>
          <w:szCs w:val="22"/>
        </w:rPr>
        <w:t xml:space="preserve">“XXXIII. Prueba de Daño: </w:t>
      </w:r>
      <w:r w:rsidRPr="0017463B">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17463B">
        <w:rPr>
          <w:rFonts w:ascii="Palatino Linotype" w:hAnsi="Palatino Linotype" w:cstheme="minorHAnsi"/>
          <w:i/>
          <w:sz w:val="22"/>
          <w:szCs w:val="22"/>
        </w:rPr>
        <w:t xml:space="preserve"> y que el menoscabo o daño que puede producirse con la publicidad de la información es mayor que el interés de conocerla y por consiguiente debe clasificarse como reservada…” (Sic)</w:t>
      </w:r>
    </w:p>
    <w:p w14:paraId="063DAB86" w14:textId="77777777" w:rsidR="000B2A76" w:rsidRPr="0017463B" w:rsidRDefault="000B2A76" w:rsidP="000B2A76">
      <w:pPr>
        <w:jc w:val="both"/>
        <w:rPr>
          <w:rStyle w:val="normaltextrun"/>
          <w:rFonts w:ascii="Palatino Linotype" w:hAnsi="Palatino Linotype" w:cs="Segoe UI"/>
        </w:rPr>
      </w:pPr>
    </w:p>
    <w:p w14:paraId="06E9E7D5" w14:textId="77777777" w:rsidR="000B2A76" w:rsidRPr="0017463B" w:rsidRDefault="000B2A76" w:rsidP="000B2A76">
      <w:pPr>
        <w:spacing w:line="360" w:lineRule="auto"/>
        <w:jc w:val="both"/>
        <w:rPr>
          <w:rFonts w:ascii="Palatino Linotype" w:hAnsi="Palatino Linotype"/>
          <w:sz w:val="24"/>
          <w:szCs w:val="24"/>
        </w:rPr>
      </w:pPr>
      <w:r w:rsidRPr="0017463B">
        <w:rPr>
          <w:rFonts w:ascii="Palatino Linotype" w:hAnsi="Palatino Linotype"/>
          <w:sz w:val="24"/>
          <w:szCs w:val="24"/>
        </w:rPr>
        <w:t xml:space="preserve">Precepto legal en donde establece que </w:t>
      </w:r>
      <w:r w:rsidRPr="0017463B">
        <w:rPr>
          <w:rFonts w:ascii="Palatino Linotype" w:hAnsi="Palatino Linotype"/>
          <w:b/>
          <w:sz w:val="24"/>
          <w:szCs w:val="24"/>
        </w:rPr>
        <w:t>es obligación de los Sujeto Obligados, realizar la prueba de daño;</w:t>
      </w:r>
      <w:r w:rsidRPr="0017463B">
        <w:rPr>
          <w:rFonts w:ascii="Palatino Linotype" w:hAnsi="Palatino Linotype"/>
          <w:sz w:val="24"/>
          <w:szCs w:val="24"/>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566F9A0A" w14:textId="77777777" w:rsidR="000B2A76" w:rsidRPr="0017463B" w:rsidRDefault="000B2A76" w:rsidP="000B2A76">
      <w:pPr>
        <w:spacing w:line="360" w:lineRule="auto"/>
        <w:jc w:val="both"/>
        <w:rPr>
          <w:rFonts w:ascii="Palatino Linotype" w:hAnsi="Palatino Linotype"/>
          <w:b/>
          <w:sz w:val="24"/>
          <w:szCs w:val="24"/>
        </w:rPr>
      </w:pPr>
      <w:r w:rsidRPr="0017463B">
        <w:rPr>
          <w:rFonts w:ascii="Palatino Linotype" w:hAnsi="Palatino Linotype"/>
          <w:sz w:val="24"/>
          <w:szCs w:val="24"/>
        </w:rPr>
        <w:t xml:space="preserve">Esto es, que, a través de la prueba de daño, </w:t>
      </w:r>
      <w:r w:rsidRPr="0017463B">
        <w:rPr>
          <w:rFonts w:ascii="Palatino Linotype" w:hAnsi="Palatino Linotype"/>
          <w:b/>
          <w:sz w:val="24"/>
          <w:szCs w:val="24"/>
        </w:rPr>
        <w:t xml:space="preserve">los sujetos obligados expongan las razones, motivos o circunstancias especiales que los lleven a concluir que la información adquiere el carácter de reservada, y se ajusta a los supuestos previstos en la normatividad como fundamento. </w:t>
      </w:r>
    </w:p>
    <w:p w14:paraId="12754C4D" w14:textId="77777777" w:rsidR="00D36CD9" w:rsidRPr="0017463B" w:rsidRDefault="000B2A76" w:rsidP="000B2A76">
      <w:pPr>
        <w:spacing w:before="240" w:after="240" w:line="360" w:lineRule="auto"/>
        <w:jc w:val="both"/>
        <w:rPr>
          <w:rFonts w:ascii="Palatino Linotype" w:hAnsi="Palatino Linotype"/>
          <w:sz w:val="24"/>
          <w:szCs w:val="24"/>
        </w:rPr>
      </w:pPr>
      <w:r w:rsidRPr="0017463B">
        <w:rPr>
          <w:rFonts w:ascii="Palatino Linotype" w:hAnsi="Palatino Linotype"/>
          <w:sz w:val="24"/>
          <w:szCs w:val="24"/>
        </w:rPr>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sidRPr="0017463B">
        <w:rPr>
          <w:rFonts w:ascii="Palatino Linotype" w:hAnsi="Palatino Linotype"/>
          <w:sz w:val="24"/>
          <w:szCs w:val="24"/>
        </w:rPr>
        <w:t xml:space="preserve">ecesarios para su clasificación. </w:t>
      </w:r>
    </w:p>
    <w:p w14:paraId="38FCD135" w14:textId="45F3D11C" w:rsidR="000B2A76" w:rsidRPr="0017463B" w:rsidRDefault="00E86A8A" w:rsidP="000B2A76">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35AA0500" wp14:editId="218981D1">
                <wp:simplePos x="0" y="0"/>
                <wp:positionH relativeFrom="column">
                  <wp:posOffset>63499</wp:posOffset>
                </wp:positionH>
                <wp:positionV relativeFrom="paragraph">
                  <wp:posOffset>599439</wp:posOffset>
                </wp:positionV>
                <wp:extent cx="5629275" cy="57245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629275" cy="5724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631FFD"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47.2pt" to="448.25pt,4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" strokecolor="black [3200]" strokeweight=".5pt">
                <v:stroke joinstyle="miter"/>
              </v:line>
            </w:pict>
          </mc:Fallback>
        </mc:AlternateContent>
      </w:r>
      <w:r w:rsidR="000B2A76" w:rsidRPr="0017463B">
        <w:rPr>
          <w:rFonts w:ascii="Palatino Linotype" w:hAnsi="Palatino Linotype"/>
          <w:sz w:val="24"/>
          <w:szCs w:val="24"/>
        </w:rPr>
        <w:t xml:space="preserve">Lo expuesto, constituyen las razones y fundamentos que me llevan a emitir la opinión particular que se ha expresado. </w:t>
      </w:r>
    </w:p>
    <w:p w14:paraId="55F2B0AD" w14:textId="77777777" w:rsidR="000B2A76" w:rsidRPr="0017463B" w:rsidRDefault="000B2A76" w:rsidP="000B2A76">
      <w:pPr>
        <w:spacing w:before="240" w:after="240" w:line="360" w:lineRule="auto"/>
        <w:jc w:val="both"/>
        <w:rPr>
          <w:rFonts w:ascii="Palatino Linotype" w:hAnsi="Palatino Linotype"/>
          <w:sz w:val="23"/>
          <w:szCs w:val="23"/>
        </w:rPr>
      </w:pPr>
    </w:p>
    <w:p w14:paraId="5A70AF31" w14:textId="77777777" w:rsidR="000B2A76" w:rsidRPr="0017463B" w:rsidRDefault="000B2A76" w:rsidP="000B2A76">
      <w:pPr>
        <w:spacing w:before="240" w:after="240" w:line="360" w:lineRule="auto"/>
        <w:jc w:val="both"/>
        <w:rPr>
          <w:rFonts w:ascii="Palatino Linotype" w:hAnsi="Palatino Linotype"/>
          <w:sz w:val="23"/>
          <w:szCs w:val="23"/>
        </w:rPr>
        <w:sectPr w:rsidR="000B2A76" w:rsidRPr="0017463B" w:rsidSect="00FB2266">
          <w:headerReference w:type="even" r:id="rId8"/>
          <w:headerReference w:type="default" r:id="rId9"/>
          <w:footerReference w:type="default" r:id="rId10"/>
          <w:headerReference w:type="first" r:id="rId11"/>
          <w:pgSz w:w="12240" w:h="15840"/>
          <w:pgMar w:top="1983" w:right="1327" w:bottom="2836" w:left="1985" w:header="709" w:footer="586" w:gutter="0"/>
          <w:cols w:space="708"/>
          <w:docGrid w:linePitch="360"/>
        </w:sectPr>
      </w:pPr>
    </w:p>
    <w:p w14:paraId="2FFDDC8B" w14:textId="77777777" w:rsidR="000B2A76" w:rsidRPr="0017463B" w:rsidRDefault="000B2A76" w:rsidP="000B2A76">
      <w:pPr>
        <w:spacing w:before="240" w:after="240" w:line="360" w:lineRule="auto"/>
        <w:jc w:val="both"/>
        <w:rPr>
          <w:rFonts w:ascii="Palatino Linotype" w:hAnsi="Palatino Linotype"/>
          <w:sz w:val="23"/>
          <w:szCs w:val="23"/>
        </w:rPr>
      </w:pPr>
    </w:p>
    <w:p w14:paraId="39028FFF" w14:textId="77777777" w:rsidR="000B2A76" w:rsidRPr="0017463B" w:rsidRDefault="000B2A76" w:rsidP="000B2A76">
      <w:pPr>
        <w:spacing w:before="240" w:after="240" w:line="360" w:lineRule="auto"/>
        <w:jc w:val="center"/>
        <w:rPr>
          <w:rFonts w:ascii="Palatino Linotype" w:hAnsi="Palatino Linotype"/>
          <w:b/>
          <w:sz w:val="23"/>
          <w:szCs w:val="23"/>
        </w:rPr>
      </w:pPr>
    </w:p>
    <w:p w14:paraId="325AF8C3" w14:textId="77777777" w:rsidR="000B2A76" w:rsidRPr="0017463B" w:rsidRDefault="000B2A76" w:rsidP="000B2A76">
      <w:pPr>
        <w:spacing w:after="0" w:line="240" w:lineRule="auto"/>
        <w:jc w:val="center"/>
        <w:rPr>
          <w:rFonts w:ascii="Palatino Linotype" w:hAnsi="Palatino Linotype"/>
          <w:sz w:val="23"/>
          <w:szCs w:val="23"/>
        </w:rPr>
      </w:pPr>
    </w:p>
    <w:p w14:paraId="6706237C" w14:textId="77777777" w:rsidR="000B2A76" w:rsidRPr="0017463B" w:rsidRDefault="000B2A76" w:rsidP="000B2A76">
      <w:pPr>
        <w:spacing w:before="240" w:after="240" w:line="360" w:lineRule="auto"/>
        <w:rPr>
          <w:rFonts w:ascii="Palatino Linotype" w:hAnsi="Palatino Linotype"/>
          <w:sz w:val="24"/>
          <w:szCs w:val="24"/>
        </w:rPr>
      </w:pPr>
    </w:p>
    <w:p w14:paraId="718C334C" w14:textId="77777777" w:rsidR="000B2A76" w:rsidRPr="0017463B" w:rsidRDefault="000B2A76" w:rsidP="000B2A76">
      <w:pPr>
        <w:rPr>
          <w:rFonts w:ascii="Palatino Linotype" w:hAnsi="Palatino Linotype"/>
        </w:rPr>
      </w:pPr>
    </w:p>
    <w:p w14:paraId="2A98CFFD" w14:textId="77777777" w:rsidR="000B2A76" w:rsidRPr="0017463B" w:rsidRDefault="000B2A76" w:rsidP="000B2A76">
      <w:pPr>
        <w:rPr>
          <w:rFonts w:ascii="Palatino Linotype" w:hAnsi="Palatino Linotype"/>
        </w:rPr>
      </w:pPr>
    </w:p>
    <w:p w14:paraId="436FED9C" w14:textId="77777777" w:rsidR="00A1078F" w:rsidRPr="0017463B" w:rsidRDefault="001D3794">
      <w:pPr>
        <w:rPr>
          <w:rFonts w:ascii="Palatino Linotype" w:hAnsi="Palatino Linotype"/>
        </w:rPr>
      </w:pPr>
    </w:p>
    <w:sectPr w:rsidR="00A1078F" w:rsidRPr="0017463B" w:rsidSect="00115CE3">
      <w:headerReference w:type="default" r:id="rId12"/>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0889B" w14:textId="77777777" w:rsidR="000657D5" w:rsidRDefault="000657D5" w:rsidP="000B2A76">
      <w:pPr>
        <w:spacing w:after="0" w:line="240" w:lineRule="auto"/>
      </w:pPr>
      <w:r>
        <w:separator/>
      </w:r>
    </w:p>
  </w:endnote>
  <w:endnote w:type="continuationSeparator" w:id="0">
    <w:p w14:paraId="50F0508C" w14:textId="77777777" w:rsidR="000657D5" w:rsidRDefault="000657D5"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4F044" w14:textId="77777777"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D3794">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D3794">
      <w:rPr>
        <w:rFonts w:ascii="Arial" w:hAnsi="Arial" w:cs="Arial"/>
        <w:b/>
        <w:bCs/>
        <w:noProof/>
        <w:sz w:val="20"/>
        <w:szCs w:val="20"/>
      </w:rPr>
      <w:t>10</w:t>
    </w:r>
    <w:r w:rsidRPr="00986599">
      <w:rPr>
        <w:rFonts w:ascii="Arial" w:hAnsi="Arial" w:cs="Arial"/>
        <w:b/>
        <w:bCs/>
        <w:sz w:val="20"/>
        <w:szCs w:val="20"/>
      </w:rPr>
      <w:fldChar w:fldCharType="end"/>
    </w:r>
  </w:p>
  <w:p w14:paraId="2B623C9B" w14:textId="77777777" w:rsidR="00D758BE" w:rsidRDefault="001D3794"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C72E0" w14:textId="77777777" w:rsidR="000657D5" w:rsidRDefault="000657D5" w:rsidP="000B2A76">
      <w:pPr>
        <w:spacing w:after="0" w:line="240" w:lineRule="auto"/>
      </w:pPr>
      <w:r>
        <w:separator/>
      </w:r>
    </w:p>
  </w:footnote>
  <w:footnote w:type="continuationSeparator" w:id="0">
    <w:p w14:paraId="02AB93E4" w14:textId="77777777" w:rsidR="000657D5" w:rsidRDefault="000657D5" w:rsidP="000B2A76">
      <w:pPr>
        <w:spacing w:after="0" w:line="240" w:lineRule="auto"/>
      </w:pPr>
      <w:r>
        <w:continuationSeparator/>
      </w:r>
    </w:p>
  </w:footnote>
  <w:footnote w:id="1">
    <w:p w14:paraId="2DDE1CC5" w14:textId="77777777" w:rsidR="009D4C09" w:rsidRDefault="009D4C09" w:rsidP="009D4C09">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D0283EA" w14:textId="77777777" w:rsidR="009D4C09" w:rsidRDefault="009D4C09" w:rsidP="009D4C0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35CB" w14:textId="77777777" w:rsidR="00D758BE" w:rsidRDefault="001D3794">
    <w:pPr>
      <w:pStyle w:val="Encabezado"/>
    </w:pPr>
    <w:r>
      <w:rPr>
        <w:noProof/>
      </w:rPr>
      <w:pict w14:anchorId="2C664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69ECFAEF" wp14:editId="43639EAE">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336D03" w14:textId="77777777"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ECFAEF"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14:paraId="47336D03" w14:textId="77777777"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B3C8C" w14:textId="77777777"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5FCB5CB7" wp14:editId="17B0BAB7">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D9EAF9C" w14:textId="58D21998"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00FC5E97" w:rsidRPr="00FB2266">
      <w:rPr>
        <w:rFonts w:ascii="Palatino Linotype" w:hAnsi="Palatino Linotype" w:cs="Arial"/>
        <w:b/>
        <w:sz w:val="22"/>
        <w:szCs w:val="22"/>
      </w:rPr>
      <w:t>O</w:t>
    </w:r>
    <w:r w:rsidR="00FC5E97">
      <w:rPr>
        <w:rFonts w:ascii="Palatino Linotype" w:hAnsi="Palatino Linotype" w:cs="Arial"/>
        <w:b/>
        <w:sz w:val="22"/>
        <w:szCs w:val="22"/>
      </w:rPr>
      <w:t>PINIÓN PARTICULAR</w:t>
    </w:r>
    <w:r w:rsidR="00FC5E97" w:rsidRPr="00FB2266">
      <w:rPr>
        <w:rFonts w:ascii="Palatino Linotype" w:hAnsi="Palatino Linotype" w:cs="Arial"/>
        <w:b/>
        <w:sz w:val="22"/>
        <w:szCs w:val="22"/>
      </w:rPr>
      <w:t xml:space="preserve"> </w:t>
    </w:r>
  </w:p>
  <w:p w14:paraId="5BC3CAF6" w14:textId="259F7DE5" w:rsidR="00233AB2" w:rsidRPr="00475038" w:rsidRDefault="007F2ABB" w:rsidP="00EF5FC0">
    <w:pPr>
      <w:pStyle w:val="Encabezado"/>
      <w:ind w:left="1134"/>
      <w:jc w:val="right"/>
      <w:rPr>
        <w:rFonts w:ascii="Palatino Linotype" w:hAnsi="Palatino Linotype" w:cs="Arial"/>
        <w:b/>
        <w:sz w:val="18"/>
        <w:szCs w:val="18"/>
      </w:rPr>
    </w:pPr>
    <w:r>
      <w:rPr>
        <w:rFonts w:ascii="Palatino Linotype" w:hAnsi="Palatino Linotype" w:cs="Arial"/>
        <w:b/>
        <w:sz w:val="22"/>
        <w:szCs w:val="22"/>
      </w:rPr>
      <w:t>RECURSO DE REVISIÓN 1316</w:t>
    </w:r>
    <w:r w:rsidR="00391BB1">
      <w:rPr>
        <w:rFonts w:ascii="Palatino Linotype" w:hAnsi="Palatino Linotype" w:cs="Arial"/>
        <w:b/>
        <w:sz w:val="22"/>
        <w:szCs w:val="22"/>
      </w:rPr>
      <w:t>6</w:t>
    </w:r>
    <w:r w:rsidR="00E1501A" w:rsidRPr="00FB2266">
      <w:rPr>
        <w:rFonts w:ascii="Palatino Linotype" w:hAnsi="Palatino Linotype" w:cs="Arial"/>
        <w:b/>
        <w:sz w:val="22"/>
        <w:szCs w:val="22"/>
      </w:rPr>
      <w:t>/INFOEM/IP/RR/2022</w:t>
    </w:r>
  </w:p>
  <w:p w14:paraId="014E30AA" w14:textId="77777777" w:rsidR="000B1C1F" w:rsidRPr="000D4A99" w:rsidRDefault="001D3794"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28301" w14:textId="77777777" w:rsidR="00D758BE" w:rsidRDefault="001D3794">
    <w:pPr>
      <w:pStyle w:val="Encabezado"/>
    </w:pPr>
    <w:r>
      <w:rPr>
        <w:noProof/>
      </w:rPr>
      <w:pict w14:anchorId="71F7B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F79A1" w14:textId="77777777" w:rsidR="00F029C2" w:rsidRPr="000D4A99" w:rsidRDefault="001D3794" w:rsidP="007263BB">
    <w:pPr>
      <w:pStyle w:val="Encabezado"/>
      <w:jc w:val="right"/>
      <w:rPr>
        <w:rFonts w:ascii="Arial" w:hAnsi="Arial" w:cs="Arial"/>
        <w:sz w:val="20"/>
        <w:szCs w:val="20"/>
      </w:rPr>
    </w:pPr>
  </w:p>
  <w:p w14:paraId="2C2A0A74" w14:textId="77777777" w:rsidR="00F029C2" w:rsidRPr="000D4A99" w:rsidRDefault="001D3794" w:rsidP="007263BB">
    <w:pPr>
      <w:pStyle w:val="Encabezado"/>
      <w:jc w:val="right"/>
      <w:rPr>
        <w:rFonts w:ascii="Arial" w:hAnsi="Arial" w:cs="Arial"/>
        <w:sz w:val="20"/>
        <w:szCs w:val="20"/>
      </w:rPr>
    </w:pPr>
  </w:p>
  <w:p w14:paraId="63DFCC5F" w14:textId="77777777" w:rsidR="00F029C2" w:rsidRPr="000D4A99" w:rsidRDefault="001D3794" w:rsidP="007263BB">
    <w:pPr>
      <w:pStyle w:val="Encabezado"/>
      <w:jc w:val="right"/>
      <w:rPr>
        <w:rFonts w:ascii="Arial" w:hAnsi="Arial" w:cs="Arial"/>
        <w:sz w:val="20"/>
        <w:szCs w:val="20"/>
      </w:rPr>
    </w:pPr>
  </w:p>
  <w:p w14:paraId="1BB03640" w14:textId="77777777"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14:paraId="521DF1A4" w14:textId="77777777" w:rsidR="00F029C2" w:rsidRPr="000D4A99" w:rsidRDefault="001D3794" w:rsidP="007263BB">
    <w:pPr>
      <w:pStyle w:val="Encabezado"/>
      <w:jc w:val="right"/>
      <w:rPr>
        <w:rFonts w:ascii="Palatino Linotype" w:hAnsi="Palatino Linotype" w:cs="Arial"/>
        <w:sz w:val="20"/>
        <w:szCs w:val="20"/>
      </w:rPr>
    </w:pPr>
  </w:p>
  <w:p w14:paraId="61CC09DA" w14:textId="77777777" w:rsidR="00F029C2" w:rsidRPr="000D4A99" w:rsidRDefault="001D3794"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243C5828"/>
    <w:multiLevelType w:val="hybridMultilevel"/>
    <w:tmpl w:val="97566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27D2169"/>
    <w:multiLevelType w:val="hybridMultilevel"/>
    <w:tmpl w:val="60E24B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647129A"/>
    <w:multiLevelType w:val="hybridMultilevel"/>
    <w:tmpl w:val="B170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3CFA7250"/>
    <w:multiLevelType w:val="hybridMultilevel"/>
    <w:tmpl w:val="E8B29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FD0317"/>
    <w:multiLevelType w:val="hybridMultilevel"/>
    <w:tmpl w:val="4C8E6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24D18D9"/>
    <w:multiLevelType w:val="hybridMultilevel"/>
    <w:tmpl w:val="39F49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F644CED"/>
    <w:multiLevelType w:val="hybridMultilevel"/>
    <w:tmpl w:val="DA4AF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52B3F4D"/>
    <w:multiLevelType w:val="hybridMultilevel"/>
    <w:tmpl w:val="7C2C4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58C3F8A"/>
    <w:multiLevelType w:val="hybridMultilevel"/>
    <w:tmpl w:val="9F806C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779736FD"/>
    <w:multiLevelType w:val="hybridMultilevel"/>
    <w:tmpl w:val="6BEA50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12"/>
  </w:num>
  <w:num w:numId="5">
    <w:abstractNumId w:val="11"/>
  </w:num>
  <w:num w:numId="6">
    <w:abstractNumId w:val="10"/>
  </w:num>
  <w:num w:numId="7">
    <w:abstractNumId w:val="4"/>
  </w:num>
  <w:num w:numId="8">
    <w:abstractNumId w:val="5"/>
  </w:num>
  <w:num w:numId="9">
    <w:abstractNumId w:val="13"/>
  </w:num>
  <w:num w:numId="10">
    <w:abstractNumId w:val="14"/>
  </w:num>
  <w:num w:numId="11">
    <w:abstractNumId w:val="1"/>
  </w:num>
  <w:num w:numId="12">
    <w:abstractNumId w:val="15"/>
  </w:num>
  <w:num w:numId="13">
    <w:abstractNumId w:val="6"/>
  </w:num>
  <w:num w:numId="14">
    <w:abstractNumId w:val="3"/>
  </w:num>
  <w:num w:numId="15">
    <w:abstractNumId w:val="9"/>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11844"/>
    <w:rsid w:val="00043469"/>
    <w:rsid w:val="000657D5"/>
    <w:rsid w:val="00081965"/>
    <w:rsid w:val="000B2A76"/>
    <w:rsid w:val="000C0506"/>
    <w:rsid w:val="000D4D54"/>
    <w:rsid w:val="0017463B"/>
    <w:rsid w:val="00176E66"/>
    <w:rsid w:val="001D3794"/>
    <w:rsid w:val="00234BDF"/>
    <w:rsid w:val="00275288"/>
    <w:rsid w:val="0029161C"/>
    <w:rsid w:val="002A05DA"/>
    <w:rsid w:val="002E2039"/>
    <w:rsid w:val="00391BB1"/>
    <w:rsid w:val="004645E8"/>
    <w:rsid w:val="004A63C4"/>
    <w:rsid w:val="004B4A59"/>
    <w:rsid w:val="004B71F3"/>
    <w:rsid w:val="004E2E23"/>
    <w:rsid w:val="00582424"/>
    <w:rsid w:val="00596EEE"/>
    <w:rsid w:val="005B18DE"/>
    <w:rsid w:val="00655552"/>
    <w:rsid w:val="007213EF"/>
    <w:rsid w:val="007F2ABB"/>
    <w:rsid w:val="00800878"/>
    <w:rsid w:val="0081741B"/>
    <w:rsid w:val="008C34A9"/>
    <w:rsid w:val="008C438F"/>
    <w:rsid w:val="008E58A8"/>
    <w:rsid w:val="009367EE"/>
    <w:rsid w:val="00944F72"/>
    <w:rsid w:val="00953140"/>
    <w:rsid w:val="009718A4"/>
    <w:rsid w:val="00977DEC"/>
    <w:rsid w:val="009D4C09"/>
    <w:rsid w:val="009F0FA7"/>
    <w:rsid w:val="00A0212F"/>
    <w:rsid w:val="00A22313"/>
    <w:rsid w:val="00AB740D"/>
    <w:rsid w:val="00AF1499"/>
    <w:rsid w:val="00AF53CA"/>
    <w:rsid w:val="00B144B7"/>
    <w:rsid w:val="00BA53BA"/>
    <w:rsid w:val="00BD6E2C"/>
    <w:rsid w:val="00D07D24"/>
    <w:rsid w:val="00D1633F"/>
    <w:rsid w:val="00D34FC5"/>
    <w:rsid w:val="00D36CD9"/>
    <w:rsid w:val="00D7761A"/>
    <w:rsid w:val="00DC2FB0"/>
    <w:rsid w:val="00DE162D"/>
    <w:rsid w:val="00E1501A"/>
    <w:rsid w:val="00E86A8A"/>
    <w:rsid w:val="00EB4154"/>
    <w:rsid w:val="00EE5423"/>
    <w:rsid w:val="00EF5CE8"/>
    <w:rsid w:val="00F06A7B"/>
    <w:rsid w:val="00F13EF3"/>
    <w:rsid w:val="00F510B7"/>
    <w:rsid w:val="00F65E2C"/>
    <w:rsid w:val="00F7678B"/>
    <w:rsid w:val="00FC5E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F173C1"/>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F0F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57E2F-27D9-4A10-A915-40B57198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1943</Words>
  <Characters>10687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3</cp:revision>
  <cp:lastPrinted>2022-09-12T15:04:00Z</cp:lastPrinted>
  <dcterms:created xsi:type="dcterms:W3CDTF">2022-09-12T14:14:00Z</dcterms:created>
  <dcterms:modified xsi:type="dcterms:W3CDTF">2022-09-12T15:58:00Z</dcterms:modified>
</cp:coreProperties>
</file>