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76" w:rsidRPr="00940354" w:rsidRDefault="000B2A76" w:rsidP="000B2A76">
      <w:pPr>
        <w:spacing w:before="240" w:after="240" w:line="360" w:lineRule="auto"/>
        <w:jc w:val="both"/>
        <w:rPr>
          <w:rFonts w:ascii="Palatino Linotype" w:hAnsi="Palatino Linotype"/>
          <w:b/>
          <w:sz w:val="23"/>
          <w:szCs w:val="23"/>
        </w:rPr>
      </w:pPr>
      <w:bookmarkStart w:id="0" w:name="_GoBack"/>
      <w:bookmarkEnd w:id="0"/>
      <w:r w:rsidRPr="00940354">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VIGÉSI</w:t>
      </w:r>
      <w:r w:rsidRPr="00940354">
        <w:rPr>
          <w:rFonts w:ascii="Palatino Linotype" w:hAnsi="Palatino Linotype"/>
          <w:b/>
          <w:sz w:val="23"/>
          <w:szCs w:val="23"/>
        </w:rPr>
        <w:t xml:space="preserve">MA </w:t>
      </w:r>
      <w:r w:rsidR="008C438F">
        <w:rPr>
          <w:rFonts w:ascii="Palatino Linotype" w:hAnsi="Palatino Linotype"/>
          <w:b/>
          <w:sz w:val="23"/>
          <w:szCs w:val="23"/>
        </w:rPr>
        <w:t>QUIN</w:t>
      </w:r>
      <w:r w:rsidR="008E58A8">
        <w:rPr>
          <w:rFonts w:ascii="Palatino Linotype" w:hAnsi="Palatino Linotype"/>
          <w:b/>
          <w:sz w:val="23"/>
          <w:szCs w:val="23"/>
        </w:rPr>
        <w:t>T</w:t>
      </w:r>
      <w:r w:rsidR="00AF1499">
        <w:rPr>
          <w:rFonts w:ascii="Palatino Linotype" w:hAnsi="Palatino Linotype"/>
          <w:b/>
          <w:sz w:val="23"/>
          <w:szCs w:val="23"/>
        </w:rPr>
        <w:t xml:space="preserve">A </w:t>
      </w:r>
      <w:r w:rsidRPr="00940354">
        <w:rPr>
          <w:rFonts w:ascii="Palatino Linotype" w:hAnsi="Palatino Linotype"/>
          <w:b/>
          <w:sz w:val="23"/>
          <w:szCs w:val="23"/>
        </w:rPr>
        <w:t xml:space="preserve">SESIÓN ORDINARIA DEL </w:t>
      </w:r>
      <w:r w:rsidR="008C438F">
        <w:rPr>
          <w:rFonts w:ascii="Palatino Linotype" w:hAnsi="Palatino Linotype"/>
          <w:b/>
          <w:sz w:val="23"/>
          <w:szCs w:val="23"/>
        </w:rPr>
        <w:t>SEIS DE JUL</w:t>
      </w:r>
      <w:r>
        <w:rPr>
          <w:rFonts w:ascii="Palatino Linotype" w:hAnsi="Palatino Linotype"/>
          <w:b/>
          <w:sz w:val="23"/>
          <w:szCs w:val="23"/>
        </w:rPr>
        <w:t>I</w:t>
      </w:r>
      <w:r w:rsidRPr="00940354">
        <w:rPr>
          <w:rFonts w:ascii="Palatino Linotype" w:hAnsi="Palatino Linotype"/>
          <w:b/>
          <w:sz w:val="23"/>
          <w:szCs w:val="23"/>
        </w:rPr>
        <w:t>O DE DOS MIL VEINTIDÓS, EN EL RECURSO DE REVISIÓN 0</w:t>
      </w:r>
      <w:r w:rsidR="008C438F">
        <w:rPr>
          <w:rFonts w:ascii="Palatino Linotype" w:hAnsi="Palatino Linotype"/>
          <w:b/>
          <w:sz w:val="23"/>
          <w:szCs w:val="23"/>
        </w:rPr>
        <w:t>2476</w:t>
      </w:r>
      <w:r w:rsidRPr="00940354">
        <w:rPr>
          <w:rFonts w:ascii="Palatino Linotype" w:hAnsi="Palatino Linotype"/>
          <w:b/>
          <w:sz w:val="23"/>
          <w:szCs w:val="23"/>
        </w:rPr>
        <w:t>/INFOEM/IP/RR/2022.</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El pleno del Instituto de Transparencia, Acceso a la Información Pública y Protección de Datos Personales del Estado de México y Municipios, aprobó por </w:t>
      </w:r>
      <w:r w:rsidR="00AF1499">
        <w:rPr>
          <w:rFonts w:ascii="Palatino Linotype" w:hAnsi="Palatino Linotype"/>
          <w:sz w:val="23"/>
          <w:szCs w:val="23"/>
        </w:rPr>
        <w:t>unanimidad</w:t>
      </w:r>
      <w:r w:rsidR="00D36CD9">
        <w:rPr>
          <w:rFonts w:ascii="Palatino Linotype" w:hAnsi="Palatino Linotype"/>
          <w:sz w:val="23"/>
          <w:szCs w:val="23"/>
        </w:rPr>
        <w:t xml:space="preserve"> </w:t>
      </w:r>
      <w:r w:rsidRPr="00940354">
        <w:rPr>
          <w:rFonts w:ascii="Palatino Linotype" w:hAnsi="Palatino Linotype"/>
          <w:sz w:val="23"/>
          <w:szCs w:val="23"/>
        </w:rPr>
        <w:t xml:space="preserve">de votos, la resolución relativa al recurso de revisión </w:t>
      </w:r>
      <w:r w:rsidR="008C438F">
        <w:rPr>
          <w:rFonts w:ascii="Palatino Linotype" w:hAnsi="Palatino Linotype"/>
          <w:b/>
          <w:sz w:val="23"/>
          <w:szCs w:val="23"/>
        </w:rPr>
        <w:t>02476</w:t>
      </w:r>
      <w:r w:rsidRPr="00D36CD9">
        <w:rPr>
          <w:rFonts w:ascii="Palatino Linotype" w:hAnsi="Palatino Linotype"/>
          <w:b/>
          <w:sz w:val="23"/>
          <w:szCs w:val="23"/>
        </w:rPr>
        <w:t>/INFOEM/IP/RR/2022,</w:t>
      </w:r>
      <w:r w:rsidRPr="00940354">
        <w:rPr>
          <w:rFonts w:ascii="Palatino Linotype" w:hAnsi="Palatino Linotype"/>
          <w:sz w:val="23"/>
          <w:szCs w:val="23"/>
        </w:rPr>
        <w:t xml:space="preserve"> presentada por el Comisionado Luis Gustavo Parra Noriega, respecto de la cual, la suscrita formula </w:t>
      </w:r>
      <w:r w:rsidRPr="00D36CD9">
        <w:rPr>
          <w:rFonts w:ascii="Palatino Linotype" w:hAnsi="Palatino Linotype"/>
          <w:b/>
          <w:sz w:val="23"/>
          <w:szCs w:val="23"/>
        </w:rPr>
        <w:t>OPINIÓN  PARTICULAR</w:t>
      </w:r>
      <w:r w:rsidRPr="00940354">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8E58A8" w:rsidRDefault="000B2A76" w:rsidP="00081965">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En el caso concreto el hoy Recurrente requirió al </w:t>
      </w:r>
      <w:bookmarkStart w:id="1" w:name="_Hlk106220231"/>
      <w:r w:rsidR="00081965" w:rsidRPr="00081965">
        <w:rPr>
          <w:rFonts w:ascii="Palatino Linotype" w:hAnsi="Palatino Linotype"/>
          <w:bCs/>
          <w:sz w:val="23"/>
          <w:szCs w:val="23"/>
        </w:rPr>
        <w:t xml:space="preserve">Ayuntamiento de </w:t>
      </w:r>
      <w:bookmarkEnd w:id="1"/>
      <w:r w:rsidR="008C438F">
        <w:rPr>
          <w:rFonts w:ascii="Palatino Linotype" w:hAnsi="Palatino Linotype"/>
          <w:bCs/>
          <w:sz w:val="23"/>
          <w:szCs w:val="23"/>
        </w:rPr>
        <w:t>Atlacomulco</w:t>
      </w:r>
      <w:r w:rsidRPr="00940354">
        <w:rPr>
          <w:rFonts w:ascii="Palatino Linotype" w:hAnsi="Palatino Linotype"/>
          <w:sz w:val="23"/>
          <w:szCs w:val="23"/>
        </w:rPr>
        <w:t>, que en esencia se le proporcionara</w:t>
      </w:r>
      <w:r w:rsidR="00081965" w:rsidRPr="00081965">
        <w:rPr>
          <w:rFonts w:ascii="Palatino Linotype" w:hAnsi="Palatino Linotype"/>
          <w:sz w:val="23"/>
          <w:szCs w:val="23"/>
        </w:rPr>
        <w:t xml:space="preserve"> </w:t>
      </w:r>
      <w:bookmarkStart w:id="2" w:name="_Hlk105611386"/>
      <w:r w:rsidR="008C438F" w:rsidRPr="008C438F">
        <w:rPr>
          <w:rFonts w:ascii="Palatino Linotype" w:hAnsi="Palatino Linotype"/>
          <w:sz w:val="23"/>
          <w:szCs w:val="23"/>
        </w:rPr>
        <w:t>los recibos de nómina de diciembre 2021, aguinaldos, sueldos y gratificaciones de todo el personal</w:t>
      </w:r>
      <w:r w:rsidR="00D07D24">
        <w:rPr>
          <w:rFonts w:ascii="Palatino Linotype" w:hAnsi="Palatino Linotype"/>
          <w:sz w:val="23"/>
          <w:szCs w:val="23"/>
        </w:rPr>
        <w:t xml:space="preserve">. </w:t>
      </w:r>
    </w:p>
    <w:p w:rsidR="008C438F" w:rsidRPr="008C438F" w:rsidRDefault="00081965" w:rsidP="001F772C">
      <w:pPr>
        <w:spacing w:after="0" w:line="360" w:lineRule="auto"/>
        <w:jc w:val="both"/>
        <w:rPr>
          <w:rFonts w:ascii="Palatino Linotype" w:eastAsia="Calibri" w:hAnsi="Palatino Linotype" w:cs="Times New Roman"/>
          <w:color w:val="000000"/>
        </w:rPr>
      </w:pPr>
      <w:r>
        <w:rPr>
          <w:rFonts w:ascii="Palatino Linotype" w:hAnsi="Palatino Linotype"/>
          <w:sz w:val="24"/>
          <w:szCs w:val="24"/>
        </w:rPr>
        <w:lastRenderedPageBreak/>
        <w:t xml:space="preserve">El Sujeto Obligado </w:t>
      </w:r>
      <w:bookmarkEnd w:id="2"/>
      <w:r w:rsidR="00D07D24" w:rsidRPr="00D07D24">
        <w:rPr>
          <w:rFonts w:ascii="Palatino Linotype" w:eastAsia="Calibri" w:hAnsi="Palatino Linotype" w:cs="Times New Roman"/>
          <w:color w:val="000000"/>
        </w:rPr>
        <w:t xml:space="preserve">notificó, a través del Sistema de Acceso a la Información Mexiquense (SAIMEX), la respuesta a la solicitud de acceso a la información pública, </w:t>
      </w:r>
      <w:r w:rsidR="008C438F" w:rsidRPr="008C438F">
        <w:rPr>
          <w:rFonts w:ascii="Palatino Linotype" w:eastAsia="Calibri" w:hAnsi="Palatino Linotype" w:cs="Times New Roman"/>
          <w:color w:val="000000"/>
        </w:rPr>
        <w:t xml:space="preserve">mediante el oficio número TMA/STE/196/02/2022, del dieciocho de febrero de dos mil veintidós, rubricado por el Tesorero Municipal y dirigido a la Titular de la Unidad de Transparencia, manifestando y exponiendo: </w:t>
      </w:r>
    </w:p>
    <w:p w:rsidR="008C438F" w:rsidRPr="008C438F" w:rsidRDefault="008C438F" w:rsidP="008C438F">
      <w:pPr>
        <w:spacing w:after="0" w:line="360" w:lineRule="auto"/>
        <w:rPr>
          <w:rFonts w:ascii="Palatino Linotype" w:eastAsia="Calibri" w:hAnsi="Palatino Linotype" w:cs="Times New Roman"/>
          <w:color w:val="000000"/>
        </w:rPr>
      </w:pPr>
    </w:p>
    <w:p w:rsidR="008C438F" w:rsidRPr="008C438F" w:rsidRDefault="008C438F" w:rsidP="008C438F">
      <w:pPr>
        <w:spacing w:after="0" w:line="360" w:lineRule="auto"/>
        <w:ind w:left="567" w:right="990"/>
        <w:rPr>
          <w:rFonts w:ascii="Palatino Linotype" w:eastAsia="Calibri" w:hAnsi="Palatino Linotype" w:cs="Times New Roman"/>
          <w:i/>
          <w:iCs/>
          <w:color w:val="000000"/>
        </w:rPr>
      </w:pPr>
      <w:r w:rsidRPr="008C438F">
        <w:rPr>
          <w:rFonts w:ascii="Palatino Linotype" w:eastAsia="Calibri" w:hAnsi="Palatino Linotype" w:cs="Times New Roman"/>
          <w:i/>
          <w:iCs/>
          <w:color w:val="000000"/>
        </w:rPr>
        <w:t>“…</w:t>
      </w:r>
    </w:p>
    <w:p w:rsidR="008C438F" w:rsidRPr="008C438F" w:rsidRDefault="008C438F" w:rsidP="001F772C">
      <w:pPr>
        <w:spacing w:after="0" w:line="276" w:lineRule="auto"/>
        <w:ind w:left="567" w:right="990"/>
        <w:jc w:val="both"/>
        <w:rPr>
          <w:rFonts w:ascii="Palatino Linotype" w:eastAsia="Calibri" w:hAnsi="Palatino Linotype" w:cs="Times New Roman"/>
          <w:i/>
          <w:iCs/>
          <w:color w:val="000000"/>
        </w:rPr>
      </w:pPr>
      <w:r w:rsidRPr="008C438F">
        <w:rPr>
          <w:rFonts w:ascii="Palatino Linotype" w:eastAsia="Calibri" w:hAnsi="Palatino Linotype" w:cs="Times New Roman"/>
          <w:i/>
          <w:iCs/>
          <w:color w:val="000000"/>
        </w:rPr>
        <w:t xml:space="preserve">En cumplimiento a los artículos 12 y 59, fracciones I, II y III de la Ley de Transparencia y Acceso a la Información Pública del Estado de México y Municipios, esta unidad administrativa emite respuesta adjuntando en formato PDF, los siguientes documentos: </w:t>
      </w:r>
    </w:p>
    <w:p w:rsidR="008C438F" w:rsidRPr="008C438F" w:rsidRDefault="008C438F" w:rsidP="001F772C">
      <w:pPr>
        <w:spacing w:after="0" w:line="276" w:lineRule="auto"/>
        <w:ind w:left="567" w:right="990"/>
        <w:jc w:val="both"/>
        <w:rPr>
          <w:rFonts w:ascii="Palatino Linotype" w:eastAsia="Calibri" w:hAnsi="Palatino Linotype" w:cs="Times New Roman"/>
          <w:i/>
          <w:iCs/>
          <w:color w:val="000000"/>
        </w:rPr>
      </w:pPr>
    </w:p>
    <w:p w:rsidR="008C438F" w:rsidRPr="008C438F" w:rsidRDefault="008C438F" w:rsidP="001F772C">
      <w:pPr>
        <w:spacing w:after="0" w:line="276" w:lineRule="auto"/>
        <w:ind w:left="567" w:right="990"/>
        <w:jc w:val="both"/>
        <w:rPr>
          <w:rFonts w:ascii="Palatino Linotype" w:eastAsia="Calibri" w:hAnsi="Palatino Linotype" w:cs="Times New Roman"/>
          <w:i/>
          <w:iCs/>
          <w:color w:val="000000"/>
        </w:rPr>
      </w:pPr>
      <w:r w:rsidRPr="008C438F">
        <w:rPr>
          <w:rFonts w:ascii="Palatino Linotype" w:eastAsia="Calibri" w:hAnsi="Palatino Linotype" w:cs="Times New Roman"/>
          <w:i/>
          <w:iCs/>
          <w:color w:val="000000"/>
        </w:rPr>
        <w:t xml:space="preserve">1. Versión Pública, de los recibos de nómina de todos los servidores públicos que laboran en el Ayuntamiento de Atlacomulco, correspondientes al periodo del 1 al 15 de diciembre de 2021, con la información confidencial y reservada protegida. </w:t>
      </w:r>
    </w:p>
    <w:p w:rsidR="008C438F" w:rsidRPr="008C438F" w:rsidRDefault="008C438F" w:rsidP="001F772C">
      <w:pPr>
        <w:spacing w:after="0" w:line="276" w:lineRule="auto"/>
        <w:ind w:left="567" w:right="990"/>
        <w:jc w:val="both"/>
        <w:rPr>
          <w:rFonts w:ascii="Palatino Linotype" w:eastAsia="Calibri" w:hAnsi="Palatino Linotype" w:cs="Times New Roman"/>
          <w:i/>
          <w:iCs/>
          <w:color w:val="000000"/>
        </w:rPr>
      </w:pPr>
    </w:p>
    <w:p w:rsidR="008C438F" w:rsidRPr="008C438F" w:rsidRDefault="008C438F" w:rsidP="001F772C">
      <w:pPr>
        <w:spacing w:after="0" w:line="276" w:lineRule="auto"/>
        <w:ind w:left="567" w:right="990"/>
        <w:jc w:val="both"/>
        <w:rPr>
          <w:rFonts w:ascii="Palatino Linotype" w:eastAsia="Calibri" w:hAnsi="Palatino Linotype" w:cs="Times New Roman"/>
          <w:i/>
          <w:iCs/>
          <w:color w:val="000000"/>
        </w:rPr>
      </w:pPr>
      <w:r w:rsidRPr="008C438F">
        <w:rPr>
          <w:rFonts w:ascii="Palatino Linotype" w:eastAsia="Calibri" w:hAnsi="Palatino Linotype" w:cs="Times New Roman"/>
          <w:i/>
          <w:iCs/>
          <w:color w:val="000000"/>
        </w:rPr>
        <w:t xml:space="preserve">2. Versión Pública, de los recibos de nómina de todos los servidores públicos que laboran en el Ayuntamiento de Atlacomulco, correspondientes al periodo del 16 al 31 de diciembre de 2021, con la información confidencial y reservada protegida. </w:t>
      </w:r>
    </w:p>
    <w:p w:rsidR="008C438F" w:rsidRPr="008C438F" w:rsidRDefault="008C438F" w:rsidP="001F772C">
      <w:pPr>
        <w:spacing w:after="0" w:line="276" w:lineRule="auto"/>
        <w:ind w:left="567" w:right="990"/>
        <w:jc w:val="both"/>
        <w:rPr>
          <w:rFonts w:ascii="Palatino Linotype" w:eastAsia="Calibri" w:hAnsi="Palatino Linotype" w:cs="Times New Roman"/>
          <w:i/>
          <w:iCs/>
          <w:color w:val="000000"/>
        </w:rPr>
      </w:pPr>
    </w:p>
    <w:p w:rsidR="008C438F" w:rsidRPr="008C438F" w:rsidRDefault="008C438F" w:rsidP="001F772C">
      <w:pPr>
        <w:spacing w:after="0" w:line="276" w:lineRule="auto"/>
        <w:ind w:left="567" w:right="990"/>
        <w:jc w:val="both"/>
        <w:rPr>
          <w:rFonts w:ascii="Palatino Linotype" w:eastAsia="Calibri" w:hAnsi="Palatino Linotype" w:cs="Times New Roman"/>
          <w:i/>
          <w:iCs/>
          <w:color w:val="000000"/>
        </w:rPr>
      </w:pPr>
      <w:r w:rsidRPr="008C438F">
        <w:rPr>
          <w:rFonts w:ascii="Palatino Linotype" w:eastAsia="Calibri" w:hAnsi="Palatino Linotype" w:cs="Times New Roman"/>
          <w:i/>
          <w:iCs/>
          <w:color w:val="000000"/>
        </w:rPr>
        <w:t>3. Versión Pública, de los recibos de nómina de todos los servidores públicos que laboran en el Ayuntamiento de Atlacomulco, correspondiente al pago de aguinaldo en el mes de diciembre de 2021, con la información confidencial y reservada protegida.</w:t>
      </w:r>
    </w:p>
    <w:p w:rsidR="008C438F" w:rsidRPr="008C438F" w:rsidRDefault="008C438F" w:rsidP="001F772C">
      <w:pPr>
        <w:spacing w:after="0" w:line="276" w:lineRule="auto"/>
        <w:jc w:val="both"/>
        <w:rPr>
          <w:rFonts w:ascii="Palatino Linotype" w:eastAsia="Calibri" w:hAnsi="Palatino Linotype" w:cs="Times New Roman"/>
          <w:i/>
          <w:iCs/>
          <w:color w:val="000000"/>
        </w:rPr>
      </w:pPr>
    </w:p>
    <w:p w:rsidR="008C438F" w:rsidRPr="008C438F" w:rsidRDefault="008C438F" w:rsidP="001F772C">
      <w:pPr>
        <w:spacing w:after="0" w:line="276" w:lineRule="auto"/>
        <w:ind w:left="567" w:right="1131"/>
        <w:jc w:val="both"/>
        <w:rPr>
          <w:rFonts w:ascii="Palatino Linotype" w:eastAsia="Calibri" w:hAnsi="Palatino Linotype" w:cs="Times New Roman"/>
          <w:i/>
          <w:iCs/>
          <w:color w:val="000000"/>
        </w:rPr>
      </w:pPr>
      <w:r w:rsidRPr="008C438F">
        <w:rPr>
          <w:rFonts w:ascii="Palatino Linotype" w:eastAsia="Calibri" w:hAnsi="Palatino Linotype" w:cs="Times New Roman"/>
          <w:i/>
          <w:iCs/>
          <w:color w:val="000000"/>
        </w:rPr>
        <w:t>4. Versión Pública, de los recibos de nómina de todos los servidores públicos que laboran en el Ayuntamiento de Atlacomulco, correspondientes al pago de gratificaciones en el mes de diciembre de 2021, con la información confidencial y reservada protegida</w:t>
      </w:r>
    </w:p>
    <w:p w:rsidR="008C438F" w:rsidRPr="008C438F" w:rsidRDefault="008C438F" w:rsidP="001F772C">
      <w:pPr>
        <w:spacing w:after="0" w:line="276" w:lineRule="auto"/>
        <w:ind w:left="567" w:right="1131"/>
        <w:jc w:val="both"/>
        <w:rPr>
          <w:rFonts w:ascii="Palatino Linotype" w:eastAsia="Calibri" w:hAnsi="Palatino Linotype" w:cs="Times New Roman"/>
          <w:i/>
          <w:iCs/>
          <w:color w:val="000000"/>
        </w:rPr>
      </w:pPr>
    </w:p>
    <w:p w:rsidR="008C438F" w:rsidRPr="008C438F" w:rsidRDefault="008C438F" w:rsidP="001F772C">
      <w:pPr>
        <w:spacing w:after="0" w:line="276" w:lineRule="auto"/>
        <w:ind w:left="567" w:right="1131"/>
        <w:jc w:val="both"/>
        <w:rPr>
          <w:rFonts w:ascii="Palatino Linotype" w:eastAsia="Calibri" w:hAnsi="Palatino Linotype" w:cs="Times New Roman"/>
          <w:i/>
          <w:iCs/>
          <w:color w:val="000000"/>
        </w:rPr>
      </w:pPr>
      <w:r w:rsidRPr="008C438F">
        <w:rPr>
          <w:rFonts w:ascii="Palatino Linotype" w:eastAsia="Calibri" w:hAnsi="Palatino Linotype" w:cs="Times New Roman"/>
          <w:i/>
          <w:iCs/>
          <w:color w:val="000000"/>
        </w:rPr>
        <w:lastRenderedPageBreak/>
        <w:t xml:space="preserve">Asimismo, se informa que dicha versión pública fue aprobada en la Tercera Sesión Extraordinaria del Comité de Transparencia llevada a cabo el día 14 de febrero de 2022. </w:t>
      </w:r>
    </w:p>
    <w:p w:rsidR="008C438F" w:rsidRPr="008C438F" w:rsidRDefault="008C438F" w:rsidP="008C438F">
      <w:pPr>
        <w:spacing w:after="0" w:line="360" w:lineRule="auto"/>
        <w:ind w:left="567" w:right="1131"/>
        <w:rPr>
          <w:rFonts w:ascii="Palatino Linotype" w:eastAsia="Calibri" w:hAnsi="Palatino Linotype" w:cs="Times New Roman"/>
          <w:i/>
          <w:iCs/>
          <w:color w:val="000000"/>
        </w:rPr>
      </w:pPr>
      <w:r w:rsidRPr="008C438F">
        <w:rPr>
          <w:rFonts w:ascii="Palatino Linotype" w:eastAsia="Calibri" w:hAnsi="Palatino Linotype" w:cs="Times New Roman"/>
          <w:i/>
          <w:iCs/>
          <w:color w:val="000000"/>
        </w:rPr>
        <w:t xml:space="preserve">…” (Sic) </w:t>
      </w:r>
    </w:p>
    <w:p w:rsidR="008C438F" w:rsidRPr="008C438F" w:rsidRDefault="008C438F" w:rsidP="008C438F">
      <w:pPr>
        <w:spacing w:after="0" w:line="360" w:lineRule="auto"/>
        <w:rPr>
          <w:rFonts w:ascii="Palatino Linotype" w:eastAsia="Calibri" w:hAnsi="Palatino Linotype" w:cs="Times New Roman"/>
          <w:color w:val="000000"/>
        </w:rPr>
      </w:pPr>
    </w:p>
    <w:p w:rsidR="008C438F" w:rsidRDefault="008C438F" w:rsidP="008C438F">
      <w:pPr>
        <w:spacing w:after="0" w:line="360" w:lineRule="auto"/>
        <w:jc w:val="both"/>
        <w:rPr>
          <w:rFonts w:ascii="Palatino Linotype" w:eastAsia="Calibri" w:hAnsi="Palatino Linotype" w:cs="Times New Roman"/>
          <w:color w:val="000000"/>
        </w:rPr>
      </w:pPr>
      <w:r w:rsidRPr="008C438F">
        <w:rPr>
          <w:rFonts w:ascii="Palatino Linotype" w:eastAsia="Calibri" w:hAnsi="Palatino Linotype" w:cs="Times New Roman"/>
          <w:color w:val="000000"/>
        </w:rPr>
        <w:t xml:space="preserve">El Sujeto Obligado adjuntó la digitalización de la versión pública de los recibos de nómina de la primera y segunda quincena de diciembre de dos mil veintiuno, de pago de aguinaldo y prima vacacional, así como, de gratificación única, de dicho mes y año. </w:t>
      </w:r>
    </w:p>
    <w:p w:rsidR="008C438F" w:rsidRPr="008C438F" w:rsidRDefault="008C438F" w:rsidP="008C438F">
      <w:pPr>
        <w:spacing w:after="0" w:line="360" w:lineRule="auto"/>
        <w:rPr>
          <w:rFonts w:ascii="Palatino Linotype" w:eastAsia="Calibri" w:hAnsi="Palatino Linotype" w:cs="Times New Roman"/>
          <w:color w:val="000000"/>
        </w:rPr>
      </w:pPr>
    </w:p>
    <w:p w:rsidR="008C438F" w:rsidRDefault="000B2A76" w:rsidP="008C438F">
      <w:pPr>
        <w:spacing w:after="0" w:line="360" w:lineRule="auto"/>
        <w:jc w:val="both"/>
        <w:rPr>
          <w:rFonts w:ascii="Palatino Linotype" w:hAnsi="Palatino Linotype"/>
          <w:sz w:val="23"/>
          <w:szCs w:val="23"/>
        </w:rPr>
      </w:pPr>
      <w:r w:rsidRPr="00940354">
        <w:rPr>
          <w:rFonts w:ascii="Palatino Linotype" w:hAnsi="Palatino Linotype"/>
          <w:sz w:val="23"/>
          <w:szCs w:val="23"/>
        </w:rPr>
        <w:t xml:space="preserve">Ante </w:t>
      </w:r>
      <w:r w:rsidR="00081965">
        <w:rPr>
          <w:rFonts w:ascii="Palatino Linotype" w:hAnsi="Palatino Linotype"/>
          <w:sz w:val="23"/>
          <w:szCs w:val="23"/>
        </w:rPr>
        <w:t>este acto d</w:t>
      </w:r>
      <w:r w:rsidRPr="00940354">
        <w:rPr>
          <w:rFonts w:ascii="Palatino Linotype" w:hAnsi="Palatino Linotype"/>
          <w:sz w:val="23"/>
          <w:szCs w:val="23"/>
        </w:rPr>
        <w:t>el Sujeto Obliga</w:t>
      </w:r>
      <w:r w:rsidR="00275288">
        <w:rPr>
          <w:rFonts w:ascii="Palatino Linotype" w:hAnsi="Palatino Linotype"/>
          <w:sz w:val="23"/>
          <w:szCs w:val="23"/>
        </w:rPr>
        <w:t>do, el particular se inconfor</w:t>
      </w:r>
      <w:r w:rsidR="00D07D24">
        <w:rPr>
          <w:rFonts w:ascii="Palatino Linotype" w:hAnsi="Palatino Linotype"/>
          <w:sz w:val="23"/>
          <w:szCs w:val="23"/>
        </w:rPr>
        <w:t>ma, por la entrega de la información incompleta</w:t>
      </w:r>
      <w:r w:rsidR="008E58A8">
        <w:rPr>
          <w:rFonts w:ascii="Palatino Linotype" w:hAnsi="Palatino Linotype"/>
          <w:sz w:val="23"/>
          <w:szCs w:val="23"/>
        </w:rPr>
        <w:t xml:space="preserve">. </w:t>
      </w:r>
    </w:p>
    <w:p w:rsidR="008C438F" w:rsidRDefault="008C438F" w:rsidP="008C438F">
      <w:pPr>
        <w:spacing w:after="0" w:line="360" w:lineRule="auto"/>
        <w:jc w:val="both"/>
        <w:rPr>
          <w:rFonts w:ascii="Palatino Linotype" w:hAnsi="Palatino Linotype"/>
          <w:sz w:val="23"/>
          <w:szCs w:val="23"/>
        </w:rPr>
      </w:pPr>
    </w:p>
    <w:p w:rsidR="008C438F" w:rsidRPr="008C438F" w:rsidRDefault="00AF1499" w:rsidP="008C438F">
      <w:pPr>
        <w:spacing w:after="0" w:line="360" w:lineRule="auto"/>
        <w:jc w:val="both"/>
        <w:rPr>
          <w:rFonts w:ascii="Palatino Linotype" w:eastAsia="Calibri" w:hAnsi="Palatino Linotype" w:cs="Times New Roman"/>
          <w:bCs/>
          <w:color w:val="000000"/>
        </w:rPr>
      </w:pPr>
      <w:r>
        <w:rPr>
          <w:rFonts w:ascii="Palatino Linotype" w:hAnsi="Palatino Linotype"/>
          <w:sz w:val="24"/>
        </w:rPr>
        <w:t xml:space="preserve">Es de señalar que el Sujeto Obligado </w:t>
      </w:r>
      <w:r w:rsidR="00275288">
        <w:rPr>
          <w:rFonts w:ascii="Palatino Linotype" w:hAnsi="Palatino Linotype"/>
          <w:sz w:val="24"/>
        </w:rPr>
        <w:t xml:space="preserve">rindió </w:t>
      </w:r>
      <w:r w:rsidR="000B2A76" w:rsidRPr="00940354">
        <w:rPr>
          <w:rFonts w:ascii="Palatino Linotype" w:hAnsi="Palatino Linotype"/>
          <w:sz w:val="24"/>
        </w:rPr>
        <w:t>Informe Justificado</w:t>
      </w:r>
      <w:r w:rsidR="00275288">
        <w:rPr>
          <w:rFonts w:ascii="Palatino Linotype" w:hAnsi="Palatino Linotype"/>
          <w:sz w:val="24"/>
        </w:rPr>
        <w:t xml:space="preserve"> </w:t>
      </w:r>
      <w:r w:rsidR="008C438F" w:rsidRPr="008C438F">
        <w:rPr>
          <w:rFonts w:ascii="Palatino Linotype" w:eastAsia="Calibri" w:hAnsi="Palatino Linotype" w:cs="Times New Roman"/>
          <w:bCs/>
          <w:color w:val="000000"/>
        </w:rPr>
        <w:t xml:space="preserve">a través del oficio número: PM/UT/061/2022, rubricado por la Titular de la Unidad de Transparencia y dirigido al Comisionado Ponente, en los siguientes términos: </w:t>
      </w:r>
    </w:p>
    <w:p w:rsidR="008C438F" w:rsidRPr="008C438F" w:rsidRDefault="008C438F" w:rsidP="008C438F">
      <w:pPr>
        <w:spacing w:after="0" w:line="360" w:lineRule="auto"/>
        <w:jc w:val="both"/>
        <w:rPr>
          <w:rFonts w:ascii="Palatino Linotype" w:eastAsia="Calibri" w:hAnsi="Palatino Linotype" w:cs="Times New Roman"/>
          <w:bCs/>
          <w:color w:val="000000"/>
        </w:rPr>
      </w:pPr>
    </w:p>
    <w:p w:rsidR="008C438F" w:rsidRPr="008C438F" w:rsidRDefault="008C438F" w:rsidP="008C438F">
      <w:pPr>
        <w:spacing w:after="0" w:line="360" w:lineRule="auto"/>
        <w:ind w:left="567" w:right="567"/>
        <w:jc w:val="both"/>
        <w:rPr>
          <w:rFonts w:ascii="Palatino Linotype" w:eastAsia="Calibri" w:hAnsi="Palatino Linotype" w:cs="Times New Roman"/>
          <w:bCs/>
          <w:i/>
          <w:iCs/>
          <w:color w:val="000000"/>
          <w:sz w:val="20"/>
          <w:szCs w:val="20"/>
        </w:rPr>
      </w:pPr>
      <w:r w:rsidRPr="008C438F">
        <w:rPr>
          <w:rFonts w:ascii="Palatino Linotype" w:eastAsia="Calibri" w:hAnsi="Palatino Linotype" w:cs="Times New Roman"/>
          <w:bCs/>
          <w:i/>
          <w:iCs/>
          <w:color w:val="000000"/>
          <w:sz w:val="20"/>
          <w:szCs w:val="20"/>
        </w:rPr>
        <w:t>“…</w:t>
      </w:r>
    </w:p>
    <w:p w:rsidR="008C438F" w:rsidRPr="008C438F" w:rsidRDefault="008C438F" w:rsidP="008C438F">
      <w:pPr>
        <w:spacing w:after="0" w:line="276" w:lineRule="auto"/>
        <w:ind w:left="567" w:right="567"/>
        <w:jc w:val="both"/>
        <w:rPr>
          <w:rFonts w:ascii="Palatino Linotype" w:eastAsia="Calibri" w:hAnsi="Palatino Linotype" w:cs="Times New Roman"/>
          <w:bCs/>
          <w:i/>
          <w:iCs/>
          <w:color w:val="000000"/>
          <w:szCs w:val="20"/>
        </w:rPr>
      </w:pPr>
      <w:r w:rsidRPr="008C438F">
        <w:rPr>
          <w:rFonts w:ascii="Palatino Linotype" w:eastAsia="Calibri" w:hAnsi="Palatino Linotype" w:cs="Times New Roman"/>
          <w:bCs/>
          <w:i/>
          <w:iCs/>
          <w:color w:val="000000"/>
          <w:szCs w:val="20"/>
        </w:rPr>
        <w:t xml:space="preserve">Derivado de los motivos de inconformidad esta Unidad de Transparencia, hace de su conocimiento al Servidor Público Habilitado de la Tesorería Municipal, que en fecha 01 de marzo del año en curso el solicitante hizo uso de su garantía secundaria. </w:t>
      </w:r>
    </w:p>
    <w:p w:rsidR="008C438F" w:rsidRPr="008C438F" w:rsidRDefault="008C438F" w:rsidP="008C438F">
      <w:pPr>
        <w:spacing w:after="0" w:line="276" w:lineRule="auto"/>
        <w:ind w:left="567" w:right="567"/>
        <w:jc w:val="both"/>
        <w:rPr>
          <w:rFonts w:ascii="Palatino Linotype" w:eastAsia="Calibri" w:hAnsi="Palatino Linotype" w:cs="Times New Roman"/>
          <w:bCs/>
          <w:i/>
          <w:iCs/>
          <w:color w:val="000000"/>
          <w:szCs w:val="20"/>
        </w:rPr>
      </w:pPr>
    </w:p>
    <w:p w:rsidR="008C438F" w:rsidRPr="008C438F" w:rsidRDefault="008C438F" w:rsidP="008C438F">
      <w:pPr>
        <w:spacing w:after="0" w:line="276" w:lineRule="auto"/>
        <w:ind w:left="567" w:right="567"/>
        <w:jc w:val="both"/>
        <w:rPr>
          <w:rFonts w:ascii="Palatino Linotype" w:eastAsia="Calibri" w:hAnsi="Palatino Linotype" w:cs="Times New Roman"/>
          <w:bCs/>
          <w:i/>
          <w:iCs/>
          <w:color w:val="000000"/>
          <w:szCs w:val="20"/>
        </w:rPr>
      </w:pPr>
      <w:r w:rsidRPr="008C438F">
        <w:rPr>
          <w:rFonts w:ascii="Palatino Linotype" w:eastAsia="Calibri" w:hAnsi="Palatino Linotype" w:cs="Times New Roman"/>
          <w:bCs/>
          <w:i/>
          <w:iCs/>
          <w:color w:val="000000"/>
          <w:szCs w:val="20"/>
        </w:rPr>
        <w:t xml:space="preserve">Por lo anteriormente expuesto en fecha 8 de marzo de dos mil veintidós, refiere que </w:t>
      </w:r>
      <w:r w:rsidRPr="008C438F">
        <w:rPr>
          <w:rFonts w:ascii="Palatino Linotype" w:eastAsia="Calibri" w:hAnsi="Palatino Linotype" w:cs="Times New Roman"/>
          <w:b/>
          <w:i/>
          <w:iCs/>
          <w:color w:val="000000"/>
          <w:szCs w:val="20"/>
        </w:rPr>
        <w:t xml:space="preserve">RATIFICA SU RESPUESTA, </w:t>
      </w:r>
      <w:r w:rsidRPr="008C438F">
        <w:rPr>
          <w:rFonts w:ascii="Palatino Linotype" w:eastAsia="Calibri" w:hAnsi="Palatino Linotype" w:cs="Times New Roman"/>
          <w:bCs/>
          <w:i/>
          <w:iCs/>
          <w:color w:val="000000"/>
          <w:szCs w:val="20"/>
        </w:rPr>
        <w:t xml:space="preserve">la cual se anexa al presente. </w:t>
      </w:r>
    </w:p>
    <w:p w:rsidR="008C438F" w:rsidRPr="008C438F" w:rsidRDefault="008C438F" w:rsidP="008C438F">
      <w:pPr>
        <w:spacing w:after="0" w:line="276" w:lineRule="auto"/>
        <w:ind w:left="567" w:right="567"/>
        <w:jc w:val="both"/>
        <w:rPr>
          <w:rFonts w:ascii="Palatino Linotype" w:eastAsia="Calibri" w:hAnsi="Palatino Linotype" w:cs="Times New Roman"/>
          <w:bCs/>
          <w:i/>
          <w:iCs/>
          <w:color w:val="000000"/>
          <w:szCs w:val="20"/>
        </w:rPr>
      </w:pPr>
    </w:p>
    <w:p w:rsidR="008C438F" w:rsidRPr="008C438F" w:rsidRDefault="008C438F" w:rsidP="008C438F">
      <w:pPr>
        <w:spacing w:after="0" w:line="276" w:lineRule="auto"/>
        <w:ind w:left="567" w:right="850"/>
        <w:jc w:val="both"/>
        <w:rPr>
          <w:rFonts w:ascii="Palatino Linotype" w:eastAsia="Calibri" w:hAnsi="Palatino Linotype" w:cs="Times New Roman"/>
          <w:bCs/>
          <w:i/>
          <w:iCs/>
          <w:color w:val="000000"/>
          <w:szCs w:val="20"/>
        </w:rPr>
      </w:pPr>
      <w:r w:rsidRPr="008C438F">
        <w:rPr>
          <w:rFonts w:ascii="Palatino Linotype" w:eastAsia="Calibri" w:hAnsi="Palatino Linotype" w:cs="Times New Roman"/>
          <w:bCs/>
          <w:i/>
          <w:iCs/>
          <w:color w:val="000000"/>
          <w:szCs w:val="20"/>
        </w:rPr>
        <w:t xml:space="preserve">[Se transcribe el Oficio número: TMA/STE/264/03/2022, de fecha ocho de marzo de dos mil veintidós, suscrito por el Tesorero Municipal y es remitido a la Titular de la Unidad de Transparencia, manifestando lo siguiente: </w:t>
      </w:r>
    </w:p>
    <w:p w:rsidR="008C438F" w:rsidRPr="008C438F" w:rsidRDefault="008C438F" w:rsidP="008C438F">
      <w:pPr>
        <w:spacing w:after="0" w:line="276" w:lineRule="auto"/>
        <w:ind w:left="567" w:right="850"/>
        <w:jc w:val="both"/>
        <w:rPr>
          <w:rFonts w:ascii="Palatino Linotype" w:eastAsia="Calibri" w:hAnsi="Palatino Linotype" w:cs="Times New Roman"/>
          <w:bCs/>
          <w:i/>
          <w:iCs/>
          <w:color w:val="000000"/>
          <w:szCs w:val="20"/>
        </w:rPr>
      </w:pPr>
    </w:p>
    <w:p w:rsidR="008C438F" w:rsidRPr="008C438F" w:rsidRDefault="008C438F" w:rsidP="008C438F">
      <w:pPr>
        <w:spacing w:after="0" w:line="276" w:lineRule="auto"/>
        <w:ind w:left="567" w:right="850"/>
        <w:jc w:val="both"/>
        <w:rPr>
          <w:rFonts w:ascii="Palatino Linotype" w:eastAsia="Calibri" w:hAnsi="Palatino Linotype" w:cs="Times New Roman"/>
          <w:bCs/>
          <w:i/>
          <w:iCs/>
          <w:color w:val="000000"/>
          <w:szCs w:val="20"/>
        </w:rPr>
      </w:pPr>
      <w:r w:rsidRPr="008C438F">
        <w:rPr>
          <w:rFonts w:ascii="Palatino Linotype" w:eastAsia="Calibri" w:hAnsi="Palatino Linotype" w:cs="Times New Roman"/>
          <w:bCs/>
          <w:i/>
          <w:iCs/>
          <w:color w:val="000000"/>
          <w:szCs w:val="20"/>
        </w:rPr>
        <w:t xml:space="preserve">‘… </w:t>
      </w:r>
    </w:p>
    <w:p w:rsidR="008C438F" w:rsidRPr="008C438F" w:rsidRDefault="008C438F" w:rsidP="008C438F">
      <w:pPr>
        <w:spacing w:after="0" w:line="276" w:lineRule="auto"/>
        <w:ind w:left="567" w:right="850"/>
        <w:jc w:val="both"/>
        <w:rPr>
          <w:rFonts w:ascii="Palatino Linotype" w:eastAsia="Calibri" w:hAnsi="Palatino Linotype" w:cs="Times New Roman"/>
          <w:bCs/>
          <w:i/>
          <w:iCs/>
          <w:color w:val="000000"/>
          <w:szCs w:val="20"/>
        </w:rPr>
      </w:pPr>
      <w:r w:rsidRPr="008C438F">
        <w:rPr>
          <w:rFonts w:ascii="Palatino Linotype" w:eastAsia="Calibri" w:hAnsi="Palatino Linotype" w:cs="Times New Roman"/>
          <w:bCs/>
          <w:i/>
          <w:iCs/>
          <w:color w:val="000000"/>
          <w:szCs w:val="20"/>
        </w:rPr>
        <w:t>En virtud de lo anterior esta Tesorería Municipal, en atención al motivo de inconformidad del ciudadano ratifica su respuesta, toda vez que esta unidad administrativa de acuerdo a la información que obra en sus archivos proporciono la información al ciudadano en tiempo y forma</w:t>
      </w:r>
    </w:p>
    <w:p w:rsidR="008C438F" w:rsidRPr="008C438F" w:rsidRDefault="008C438F" w:rsidP="008C438F">
      <w:pPr>
        <w:spacing w:after="0" w:line="276" w:lineRule="auto"/>
        <w:ind w:left="567" w:right="850"/>
        <w:jc w:val="both"/>
        <w:rPr>
          <w:rFonts w:ascii="Palatino Linotype" w:eastAsia="Calibri" w:hAnsi="Palatino Linotype" w:cs="Times New Roman"/>
          <w:bCs/>
          <w:i/>
          <w:iCs/>
          <w:color w:val="000000"/>
          <w:szCs w:val="20"/>
        </w:rPr>
      </w:pPr>
      <w:r w:rsidRPr="008C438F">
        <w:rPr>
          <w:rFonts w:ascii="Palatino Linotype" w:eastAsia="Calibri" w:hAnsi="Palatino Linotype" w:cs="Times New Roman"/>
          <w:bCs/>
          <w:i/>
          <w:iCs/>
          <w:color w:val="000000"/>
          <w:szCs w:val="20"/>
        </w:rPr>
        <w:t xml:space="preserve">…’ (Sic)] </w:t>
      </w:r>
    </w:p>
    <w:p w:rsidR="008C438F" w:rsidRPr="008C438F" w:rsidRDefault="008C438F" w:rsidP="008C438F">
      <w:pPr>
        <w:spacing w:after="0" w:line="276" w:lineRule="auto"/>
        <w:ind w:left="567" w:right="567"/>
        <w:jc w:val="both"/>
        <w:rPr>
          <w:rFonts w:ascii="Palatino Linotype" w:eastAsia="Calibri" w:hAnsi="Palatino Linotype" w:cs="Times New Roman"/>
          <w:bCs/>
          <w:i/>
          <w:iCs/>
          <w:color w:val="000000"/>
          <w:szCs w:val="20"/>
        </w:rPr>
      </w:pPr>
    </w:p>
    <w:p w:rsidR="008C438F" w:rsidRPr="008C438F" w:rsidRDefault="008C438F" w:rsidP="008C438F">
      <w:pPr>
        <w:spacing w:after="0" w:line="276" w:lineRule="auto"/>
        <w:ind w:left="567" w:right="567"/>
        <w:jc w:val="both"/>
        <w:rPr>
          <w:rFonts w:ascii="Palatino Linotype" w:eastAsia="Calibri" w:hAnsi="Palatino Linotype" w:cs="Times New Roman"/>
          <w:bCs/>
          <w:i/>
          <w:iCs/>
          <w:color w:val="000000"/>
          <w:szCs w:val="20"/>
        </w:rPr>
      </w:pPr>
      <w:r w:rsidRPr="008C438F">
        <w:rPr>
          <w:rFonts w:ascii="Palatino Linotype" w:eastAsia="Calibri" w:hAnsi="Palatino Linotype" w:cs="Times New Roman"/>
          <w:bCs/>
          <w:i/>
          <w:iCs/>
          <w:color w:val="000000"/>
          <w:szCs w:val="20"/>
        </w:rPr>
        <w:t>Por lo anteriormente referido, y con fundamento en el artículo 185, fracción I de la Ley de Transparencia vigente en la Entidad, así como en cumplimiento a los términos en el mismo, se remite el presente informe justificado</w:t>
      </w:r>
    </w:p>
    <w:p w:rsidR="008C438F" w:rsidRPr="008C438F" w:rsidRDefault="008C438F" w:rsidP="008C438F">
      <w:pPr>
        <w:spacing w:after="0" w:line="276" w:lineRule="auto"/>
        <w:ind w:left="567" w:right="567"/>
        <w:jc w:val="both"/>
        <w:rPr>
          <w:rFonts w:ascii="Palatino Linotype" w:eastAsia="Calibri" w:hAnsi="Palatino Linotype" w:cs="Times New Roman"/>
          <w:bCs/>
          <w:i/>
          <w:iCs/>
          <w:color w:val="000000"/>
          <w:szCs w:val="20"/>
        </w:rPr>
      </w:pPr>
      <w:r w:rsidRPr="008C438F">
        <w:rPr>
          <w:rFonts w:ascii="Palatino Linotype" w:eastAsia="Calibri" w:hAnsi="Palatino Linotype" w:cs="Times New Roman"/>
          <w:bCs/>
          <w:i/>
          <w:iCs/>
          <w:color w:val="000000"/>
          <w:szCs w:val="20"/>
        </w:rPr>
        <w:t xml:space="preserve">…” (Sic) </w:t>
      </w:r>
    </w:p>
    <w:p w:rsidR="008C438F" w:rsidRPr="00081965" w:rsidRDefault="008C438F" w:rsidP="008C438F">
      <w:pPr>
        <w:spacing w:after="0" w:line="360" w:lineRule="auto"/>
        <w:jc w:val="both"/>
        <w:rPr>
          <w:rFonts w:ascii="Palatino Linotype" w:hAnsi="Palatino Linotype"/>
          <w:bCs/>
          <w:i/>
          <w:iCs/>
        </w:rPr>
      </w:pPr>
    </w:p>
    <w:p w:rsidR="00AF1499" w:rsidRDefault="000B2A76" w:rsidP="004A63C4">
      <w:pPr>
        <w:autoSpaceDE w:val="0"/>
        <w:autoSpaceDN w:val="0"/>
        <w:adjustRightInd w:val="0"/>
        <w:spacing w:line="360" w:lineRule="auto"/>
        <w:contextualSpacing/>
        <w:jc w:val="both"/>
        <w:rPr>
          <w:rFonts w:ascii="Palatino Linotype" w:hAnsi="Palatino Linotype"/>
          <w:sz w:val="23"/>
          <w:szCs w:val="23"/>
        </w:rPr>
      </w:pPr>
      <w:r>
        <w:rPr>
          <w:rFonts w:ascii="Palatino Linotype" w:hAnsi="Palatino Linotype"/>
          <w:sz w:val="23"/>
          <w:szCs w:val="23"/>
        </w:rPr>
        <w:t xml:space="preserve">Por lo que, previo análisis de las constancias y de la naturaleza de la información, la Ponencia determinó </w:t>
      </w:r>
      <w:r w:rsidR="00D07D24">
        <w:rPr>
          <w:rFonts w:ascii="Palatino Linotype" w:hAnsi="Palatino Linotype"/>
          <w:b/>
          <w:sz w:val="23"/>
          <w:szCs w:val="23"/>
        </w:rPr>
        <w:t>MODIFI</w:t>
      </w:r>
      <w:r w:rsidR="008E58A8" w:rsidRPr="008E58A8">
        <w:rPr>
          <w:rFonts w:ascii="Palatino Linotype" w:hAnsi="Palatino Linotype"/>
          <w:b/>
          <w:sz w:val="23"/>
          <w:szCs w:val="23"/>
        </w:rPr>
        <w:t>CAR</w:t>
      </w:r>
      <w:r w:rsidR="008E58A8">
        <w:rPr>
          <w:rFonts w:ascii="Palatino Linotype" w:hAnsi="Palatino Linotype"/>
          <w:sz w:val="23"/>
          <w:szCs w:val="23"/>
        </w:rPr>
        <w:t xml:space="preserve"> la respuesta y </w:t>
      </w:r>
      <w:r w:rsidR="00081965">
        <w:rPr>
          <w:rFonts w:ascii="Palatino Linotype" w:hAnsi="Palatino Linotype"/>
          <w:sz w:val="23"/>
          <w:szCs w:val="23"/>
        </w:rPr>
        <w:t>or</w:t>
      </w:r>
      <w:r w:rsidR="008E58A8">
        <w:rPr>
          <w:rFonts w:ascii="Palatino Linotype" w:hAnsi="Palatino Linotype"/>
          <w:sz w:val="23"/>
          <w:szCs w:val="23"/>
        </w:rPr>
        <w:t xml:space="preserve">denar la entrega de información, </w:t>
      </w:r>
      <w:r w:rsidR="00AF1499">
        <w:rPr>
          <w:rFonts w:ascii="Palatino Linotype" w:hAnsi="Palatino Linotype"/>
          <w:sz w:val="23"/>
          <w:szCs w:val="23"/>
        </w:rPr>
        <w:t xml:space="preserve"> posteriormente </w:t>
      </w:r>
      <w:r>
        <w:rPr>
          <w:rFonts w:ascii="Palatino Linotype" w:hAnsi="Palatino Linotype"/>
          <w:sz w:val="23"/>
          <w:szCs w:val="23"/>
        </w:rPr>
        <w:t xml:space="preserve">en su </w:t>
      </w:r>
      <w:r w:rsidRPr="008E58A8">
        <w:rPr>
          <w:rFonts w:ascii="Palatino Linotype" w:hAnsi="Palatino Linotype"/>
          <w:b/>
          <w:sz w:val="23"/>
          <w:szCs w:val="23"/>
        </w:rPr>
        <w:t>resolutivo SEGUNDO</w:t>
      </w:r>
      <w:r w:rsidR="00081965">
        <w:rPr>
          <w:rFonts w:ascii="Palatino Linotype" w:hAnsi="Palatino Linotype"/>
          <w:sz w:val="23"/>
          <w:szCs w:val="23"/>
        </w:rPr>
        <w:t>, precisar al Sujeto Obligado que deberá remitir al particular, lo siguiente</w:t>
      </w:r>
      <w:r w:rsidR="00AF1499">
        <w:rPr>
          <w:rFonts w:ascii="Palatino Linotype" w:hAnsi="Palatino Linotype"/>
          <w:sz w:val="23"/>
          <w:szCs w:val="23"/>
        </w:rPr>
        <w:t>:</w:t>
      </w:r>
    </w:p>
    <w:p w:rsidR="00AF1499" w:rsidRDefault="00AF1499" w:rsidP="00AF1499">
      <w:pPr>
        <w:autoSpaceDE w:val="0"/>
        <w:autoSpaceDN w:val="0"/>
        <w:adjustRightInd w:val="0"/>
        <w:spacing w:line="276" w:lineRule="auto"/>
        <w:ind w:left="567" w:right="990"/>
        <w:contextualSpacing/>
        <w:jc w:val="both"/>
        <w:rPr>
          <w:rFonts w:ascii="Palatino Linotype" w:hAnsi="Palatino Linotype"/>
          <w:b/>
          <w:bCs/>
          <w:i/>
          <w:szCs w:val="23"/>
        </w:rPr>
      </w:pPr>
    </w:p>
    <w:p w:rsidR="00081965" w:rsidRDefault="00AF1499" w:rsidP="00081965">
      <w:pPr>
        <w:autoSpaceDE w:val="0"/>
        <w:autoSpaceDN w:val="0"/>
        <w:adjustRightInd w:val="0"/>
        <w:spacing w:line="276" w:lineRule="auto"/>
        <w:ind w:left="567" w:right="990"/>
        <w:contextualSpacing/>
        <w:jc w:val="both"/>
        <w:rPr>
          <w:rFonts w:ascii="Palatino Linotype" w:hAnsi="Palatino Linotype"/>
          <w:b/>
          <w:bCs/>
          <w:i/>
          <w:szCs w:val="23"/>
        </w:rPr>
      </w:pPr>
      <w:r>
        <w:rPr>
          <w:rFonts w:ascii="Palatino Linotype" w:hAnsi="Palatino Linotype"/>
          <w:b/>
          <w:bCs/>
          <w:i/>
          <w:szCs w:val="23"/>
        </w:rPr>
        <w:t>“</w:t>
      </w:r>
      <w:r w:rsidR="00081965">
        <w:rPr>
          <w:rFonts w:ascii="Palatino Linotype" w:hAnsi="Palatino Linotype"/>
          <w:b/>
          <w:bCs/>
          <w:i/>
          <w:szCs w:val="23"/>
        </w:rPr>
        <w:t>…</w:t>
      </w:r>
    </w:p>
    <w:p w:rsidR="008C438F" w:rsidRPr="008C438F" w:rsidRDefault="008C438F" w:rsidP="008C438F">
      <w:pPr>
        <w:autoSpaceDE w:val="0"/>
        <w:autoSpaceDN w:val="0"/>
        <w:adjustRightInd w:val="0"/>
        <w:spacing w:line="276" w:lineRule="auto"/>
        <w:ind w:left="567" w:right="990"/>
        <w:contextualSpacing/>
        <w:jc w:val="both"/>
        <w:rPr>
          <w:rFonts w:ascii="Palatino Linotype" w:hAnsi="Palatino Linotype"/>
          <w:bCs/>
          <w:i/>
          <w:szCs w:val="23"/>
        </w:rPr>
      </w:pPr>
      <w:r w:rsidRPr="008C438F">
        <w:rPr>
          <w:rFonts w:ascii="Palatino Linotype" w:hAnsi="Palatino Linotype"/>
          <w:bCs/>
          <w:i/>
          <w:szCs w:val="23"/>
        </w:rPr>
        <w:t xml:space="preserve">Se </w:t>
      </w:r>
      <w:r w:rsidRPr="008C438F">
        <w:rPr>
          <w:rFonts w:ascii="Palatino Linotype" w:hAnsi="Palatino Linotype"/>
          <w:b/>
          <w:bCs/>
          <w:i/>
          <w:szCs w:val="23"/>
        </w:rPr>
        <w:t xml:space="preserve">ORDENA </w:t>
      </w:r>
      <w:r w:rsidRPr="008C438F">
        <w:rPr>
          <w:rFonts w:ascii="Palatino Linotype" w:hAnsi="Palatino Linotype"/>
          <w:bCs/>
          <w:i/>
          <w:szCs w:val="23"/>
        </w:rPr>
        <w:t>al Ente Recurrido, a efecto de que entregue, a través del Sistema de Acceso a la Información Mexiquense (SAIMEX), en versión pública, lo siguiente:</w:t>
      </w:r>
    </w:p>
    <w:p w:rsidR="008C438F" w:rsidRPr="008C438F" w:rsidRDefault="008C438F" w:rsidP="008C438F">
      <w:pPr>
        <w:autoSpaceDE w:val="0"/>
        <w:autoSpaceDN w:val="0"/>
        <w:adjustRightInd w:val="0"/>
        <w:spacing w:line="276" w:lineRule="auto"/>
        <w:ind w:left="567" w:right="990"/>
        <w:contextualSpacing/>
        <w:jc w:val="both"/>
        <w:rPr>
          <w:rFonts w:ascii="Palatino Linotype" w:hAnsi="Palatino Linotype"/>
          <w:bCs/>
          <w:i/>
          <w:szCs w:val="23"/>
        </w:rPr>
      </w:pPr>
    </w:p>
    <w:p w:rsidR="008C438F" w:rsidRPr="008C438F" w:rsidRDefault="008C438F" w:rsidP="008C438F">
      <w:pPr>
        <w:numPr>
          <w:ilvl w:val="0"/>
          <w:numId w:val="7"/>
        </w:numPr>
        <w:autoSpaceDE w:val="0"/>
        <w:autoSpaceDN w:val="0"/>
        <w:adjustRightInd w:val="0"/>
        <w:spacing w:line="276" w:lineRule="auto"/>
        <w:ind w:right="990"/>
        <w:contextualSpacing/>
        <w:jc w:val="both"/>
        <w:rPr>
          <w:rFonts w:ascii="Palatino Linotype" w:hAnsi="Palatino Linotype"/>
          <w:bCs/>
          <w:i/>
          <w:iCs/>
          <w:szCs w:val="23"/>
        </w:rPr>
      </w:pPr>
      <w:r w:rsidRPr="008C438F">
        <w:rPr>
          <w:rFonts w:ascii="Palatino Linotype" w:hAnsi="Palatino Linotype"/>
          <w:bCs/>
          <w:i/>
          <w:iCs/>
          <w:szCs w:val="23"/>
        </w:rPr>
        <w:t xml:space="preserve">Los recibos entregados en respuesta. </w:t>
      </w:r>
    </w:p>
    <w:p w:rsidR="008C438F" w:rsidRPr="008C438F" w:rsidRDefault="008C438F" w:rsidP="008C438F">
      <w:pPr>
        <w:autoSpaceDE w:val="0"/>
        <w:autoSpaceDN w:val="0"/>
        <w:adjustRightInd w:val="0"/>
        <w:spacing w:line="276" w:lineRule="auto"/>
        <w:ind w:left="567" w:right="990"/>
        <w:contextualSpacing/>
        <w:jc w:val="both"/>
        <w:rPr>
          <w:rFonts w:ascii="Palatino Linotype" w:hAnsi="Palatino Linotype"/>
          <w:bCs/>
          <w:i/>
          <w:iCs/>
          <w:szCs w:val="23"/>
        </w:rPr>
      </w:pPr>
    </w:p>
    <w:p w:rsidR="00AF1499" w:rsidRPr="008C438F" w:rsidRDefault="008C438F" w:rsidP="008C438F">
      <w:pPr>
        <w:autoSpaceDE w:val="0"/>
        <w:autoSpaceDN w:val="0"/>
        <w:adjustRightInd w:val="0"/>
        <w:spacing w:line="276" w:lineRule="auto"/>
        <w:ind w:left="567" w:right="990"/>
        <w:contextualSpacing/>
        <w:jc w:val="both"/>
        <w:rPr>
          <w:rFonts w:ascii="Palatino Linotype" w:hAnsi="Palatino Linotype"/>
          <w:bCs/>
          <w:i/>
          <w:iCs/>
          <w:szCs w:val="23"/>
          <w:lang w:val="es-ES"/>
        </w:rPr>
      </w:pPr>
      <w:r w:rsidRPr="008C438F">
        <w:rPr>
          <w:rFonts w:ascii="Palatino Linotype" w:hAnsi="Palatino Linotype"/>
          <w:bCs/>
          <w:i/>
          <w:iCs/>
          <w:szCs w:val="23"/>
          <w:lang w:val="es-ES"/>
        </w:rPr>
        <w:t>Además, deberá proporcionar el Acuerdo de Clasificación donde el Comité de Transparencia, confirme la eliminación de los datos establecidos en el Considerando QUINTO, en la versión pública, de conformidad con los artículos 49, fracciones II y VIII y 132, fracción II de la Ley de Transparencia y Acceso a la Información Pública del Estado de México y Municipios.</w:t>
      </w:r>
      <w:r w:rsidR="00AF1499" w:rsidRPr="00275288">
        <w:rPr>
          <w:rFonts w:ascii="Palatino Linotype" w:hAnsi="Palatino Linotype"/>
          <w:i/>
          <w:szCs w:val="23"/>
          <w:lang w:val="es-ES"/>
        </w:rPr>
        <w:t xml:space="preserve">” (Sic) </w:t>
      </w:r>
    </w:p>
    <w:p w:rsidR="00AF1499" w:rsidRDefault="00AF1499" w:rsidP="004A63C4">
      <w:pPr>
        <w:autoSpaceDE w:val="0"/>
        <w:autoSpaceDN w:val="0"/>
        <w:adjustRightInd w:val="0"/>
        <w:spacing w:line="360" w:lineRule="auto"/>
        <w:contextualSpacing/>
        <w:jc w:val="both"/>
        <w:rPr>
          <w:rFonts w:ascii="Palatino Linotype" w:hAnsi="Palatino Linotype"/>
          <w:sz w:val="23"/>
          <w:szCs w:val="23"/>
        </w:rPr>
      </w:pP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lang w:val="es-ES"/>
        </w:rPr>
        <w:lastRenderedPageBreak/>
        <w:t>En ese sentido</w:t>
      </w:r>
      <w:r w:rsidR="00EE5423">
        <w:rPr>
          <w:rFonts w:ascii="Palatino Linotype" w:hAnsi="Palatino Linotype"/>
          <w:sz w:val="23"/>
          <w:szCs w:val="23"/>
        </w:rPr>
        <w:t xml:space="preserve"> debe mencionarse que, toda vez que se determinó </w:t>
      </w:r>
      <w:r w:rsidR="00081965">
        <w:rPr>
          <w:rFonts w:ascii="Palatino Linotype" w:hAnsi="Palatino Linotype"/>
          <w:sz w:val="23"/>
          <w:szCs w:val="23"/>
        </w:rPr>
        <w:t xml:space="preserve">que </w:t>
      </w:r>
      <w:r w:rsidR="00081965" w:rsidRPr="00081965">
        <w:rPr>
          <w:rFonts w:ascii="Palatino Linotype" w:hAnsi="Palatino Linotype"/>
          <w:sz w:val="23"/>
          <w:szCs w:val="23"/>
        </w:rPr>
        <w:t>el Sujeto Obligado cuenta con una Dirección de Seguridad Pública, encargada de salvaguardar y garantizar el orden público y la paz social, así como de  la prevención, co</w:t>
      </w:r>
      <w:r w:rsidR="00F06A7B">
        <w:rPr>
          <w:rFonts w:ascii="Palatino Linotype" w:hAnsi="Palatino Linotype"/>
          <w:sz w:val="23"/>
          <w:szCs w:val="23"/>
        </w:rPr>
        <w:t xml:space="preserve">mbate y persecución de delitos, por lo que </w:t>
      </w:r>
      <w:r w:rsidR="00F06A7B" w:rsidRPr="00F06A7B">
        <w:rPr>
          <w:rFonts w:ascii="Palatino Linotype" w:hAnsi="Palatino Linotype"/>
          <w:b/>
          <w:sz w:val="23"/>
          <w:szCs w:val="23"/>
        </w:rPr>
        <w:t xml:space="preserve">para este Instituto </w:t>
      </w:r>
      <w:r w:rsidR="008E58A8">
        <w:rPr>
          <w:rFonts w:ascii="Palatino Linotype" w:hAnsi="Palatino Linotype"/>
          <w:b/>
          <w:bCs/>
          <w:color w:val="000000" w:themeColor="text1"/>
          <w:sz w:val="23"/>
          <w:szCs w:val="23"/>
        </w:rPr>
        <w:t>resultaba pertinente</w:t>
      </w:r>
      <w:r w:rsidR="00F06A7B" w:rsidRPr="00F06A7B">
        <w:rPr>
          <w:rFonts w:ascii="Palatino Linotype" w:hAnsi="Palatino Linotype"/>
          <w:b/>
          <w:bCs/>
          <w:color w:val="000000" w:themeColor="text1"/>
          <w:sz w:val="23"/>
          <w:szCs w:val="23"/>
        </w:rPr>
        <w:t xml:space="preserve"> </w:t>
      </w:r>
      <w:r w:rsidR="00D07D24" w:rsidRPr="00D07D24">
        <w:rPr>
          <w:rFonts w:ascii="Palatino Linotype" w:hAnsi="Palatino Linotype"/>
          <w:b/>
          <w:bCs/>
          <w:color w:val="000000" w:themeColor="text1"/>
          <w:sz w:val="23"/>
          <w:szCs w:val="23"/>
        </w:rPr>
        <w:t xml:space="preserve">la reserva del </w:t>
      </w:r>
      <w:r w:rsidR="008C438F" w:rsidRPr="008C438F">
        <w:rPr>
          <w:rFonts w:ascii="Palatino Linotype" w:hAnsi="Palatino Linotype"/>
          <w:b/>
          <w:bCs/>
          <w:color w:val="000000" w:themeColor="text1"/>
          <w:sz w:val="23"/>
          <w:szCs w:val="23"/>
        </w:rPr>
        <w:t>nombre de los elementos operativos de la Comisaría Municipal de Atlacomulco</w:t>
      </w:r>
      <w:r w:rsidR="00F06A7B" w:rsidRPr="00F06A7B">
        <w:rPr>
          <w:rFonts w:ascii="Palatino Linotype" w:hAnsi="Palatino Linotype"/>
          <w:bCs/>
          <w:color w:val="000000" w:themeColor="text1"/>
          <w:sz w:val="23"/>
          <w:szCs w:val="23"/>
        </w:rPr>
        <w:t xml:space="preserve">,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w:t>
      </w:r>
      <w:r w:rsidRPr="00A408AE">
        <w:rPr>
          <w:rFonts w:ascii="Palatino Linotype" w:hAnsi="Palatino Linotype"/>
          <w:sz w:val="23"/>
          <w:szCs w:val="23"/>
        </w:rPr>
        <w:lastRenderedPageBreak/>
        <w:t xml:space="preserve">de la información representa un riesgo real demostrable e identificable al superar el interés público de que se difunda atendiendo al principio de proporcionalidad y el medio menos restrictivo disponible para evitar perjuicio. </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rsidR="000B2A76"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rsidR="000B2A76" w:rsidRPr="0080347F" w:rsidRDefault="000B2A76" w:rsidP="000B2A76">
      <w:pPr>
        <w:pStyle w:val="Sinespaciado"/>
        <w:spacing w:line="276" w:lineRule="auto"/>
        <w:ind w:left="851" w:right="899"/>
        <w:jc w:val="both"/>
        <w:rPr>
          <w:rFonts w:ascii="Palatino Linotype" w:hAnsi="Palatino Linotype" w:cstheme="minorHAnsi"/>
          <w:i/>
          <w:sz w:val="22"/>
          <w:szCs w:val="22"/>
        </w:rPr>
      </w:pPr>
    </w:p>
    <w:p w:rsidR="000B2A76" w:rsidRDefault="000B2A76" w:rsidP="000B2A76">
      <w:pPr>
        <w:spacing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EA7BDA">
        <w:rPr>
          <w:rFonts w:ascii="Palatino Linotype" w:hAnsi="Palatino Linotype"/>
          <w:b/>
          <w:bCs/>
          <w:sz w:val="23"/>
          <w:szCs w:val="23"/>
        </w:rPr>
        <w:t>0</w:t>
      </w:r>
      <w:r w:rsidR="00E0457C">
        <w:rPr>
          <w:rFonts w:ascii="Palatino Linotype" w:hAnsi="Palatino Linotype"/>
          <w:b/>
          <w:bCs/>
          <w:sz w:val="23"/>
          <w:szCs w:val="23"/>
        </w:rPr>
        <w:t>2476</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B2A76" w:rsidRPr="00D732F2" w:rsidRDefault="000B2A76" w:rsidP="000B2A76">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rsidR="000B2A76" w:rsidRDefault="000B2A76" w:rsidP="000B2A76">
      <w:pPr>
        <w:jc w:val="both"/>
        <w:rPr>
          <w:rStyle w:val="normaltextrun"/>
          <w:rFonts w:ascii="Palatino Linotype" w:hAnsi="Palatino Linotype" w:cs="Segoe UI"/>
        </w:rPr>
      </w:pP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B2A76" w:rsidRDefault="000B2A76" w:rsidP="000B2A76">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rsidR="00D36CD9" w:rsidRDefault="000B2A76" w:rsidP="000B2A76">
      <w:pPr>
        <w:spacing w:before="240" w:after="240" w:line="360" w:lineRule="auto"/>
        <w:jc w:val="both"/>
        <w:rPr>
          <w:rFonts w:ascii="Palatino Linotype" w:hAnsi="Palatino Linotype"/>
          <w:sz w:val="23"/>
          <w:szCs w:val="23"/>
        </w:rPr>
      </w:pPr>
      <w:r>
        <w:rPr>
          <w:rFonts w:ascii="Palatino Linotype" w:hAnsi="Palatino Linotype"/>
          <w:sz w:val="23"/>
          <w:szCs w:val="23"/>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rsidR="000B2A76" w:rsidRDefault="000B2A76" w:rsidP="000B2A76">
      <w:pPr>
        <w:spacing w:before="240" w:after="240" w:line="360" w:lineRule="auto"/>
        <w:jc w:val="both"/>
        <w:rPr>
          <w:rFonts w:ascii="Palatino Linotype" w:hAnsi="Palatino Linotype"/>
          <w:sz w:val="23"/>
          <w:szCs w:val="23"/>
        </w:rPr>
      </w:pPr>
      <w:r w:rsidRPr="000D7039">
        <w:rPr>
          <w:rFonts w:ascii="Palatino Linotype" w:hAnsi="Palatino Linotype"/>
          <w:sz w:val="23"/>
          <w:szCs w:val="23"/>
        </w:rPr>
        <w:t>Lo expuesto, constituyen las razones y fu</w:t>
      </w:r>
      <w:r>
        <w:rPr>
          <w:rFonts w:ascii="Palatino Linotype" w:hAnsi="Palatino Linotype"/>
          <w:sz w:val="23"/>
          <w:szCs w:val="23"/>
        </w:rPr>
        <w:t xml:space="preserve">ndamentos que me llevan a emitir </w:t>
      </w:r>
      <w:r w:rsidRPr="00FB2266">
        <w:rPr>
          <w:rFonts w:ascii="Palatino Linotype" w:hAnsi="Palatino Linotype"/>
          <w:sz w:val="23"/>
          <w:szCs w:val="23"/>
        </w:rPr>
        <w:t>la opinión</w:t>
      </w:r>
      <w:r>
        <w:rPr>
          <w:rFonts w:ascii="Palatino Linotype" w:hAnsi="Palatino Linotype"/>
          <w:sz w:val="23"/>
          <w:szCs w:val="23"/>
        </w:rPr>
        <w:t xml:space="preserve"> </w:t>
      </w:r>
      <w:r w:rsidRPr="000D7039">
        <w:rPr>
          <w:rFonts w:ascii="Palatino Linotype" w:hAnsi="Palatino Linotype"/>
          <w:sz w:val="23"/>
          <w:szCs w:val="23"/>
        </w:rPr>
        <w:t xml:space="preserve">particular que se ha expresado. </w:t>
      </w:r>
    </w:p>
    <w:p w:rsidR="000B2A76" w:rsidRDefault="000B2A76" w:rsidP="000B2A76">
      <w:pPr>
        <w:spacing w:before="240" w:after="240" w:line="360" w:lineRule="auto"/>
        <w:jc w:val="both"/>
        <w:rPr>
          <w:rFonts w:ascii="Palatino Linotype" w:hAnsi="Palatino Linotype"/>
          <w:sz w:val="23"/>
          <w:szCs w:val="23"/>
        </w:rPr>
      </w:pPr>
    </w:p>
    <w:p w:rsidR="000B2A76" w:rsidRDefault="000B2A76" w:rsidP="000B2A76">
      <w:pPr>
        <w:spacing w:before="240" w:after="240" w:line="360" w:lineRule="auto"/>
        <w:jc w:val="both"/>
        <w:rPr>
          <w:rFonts w:ascii="Palatino Linotype" w:hAnsi="Palatino Linotype"/>
          <w:sz w:val="23"/>
          <w:szCs w:val="23"/>
        </w:rPr>
        <w:sectPr w:rsidR="000B2A76"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rsidR="000B2A76" w:rsidRPr="000D7039" w:rsidRDefault="000B2A76" w:rsidP="000B2A76">
      <w:pPr>
        <w:spacing w:before="240" w:after="240" w:line="360" w:lineRule="auto"/>
        <w:jc w:val="both"/>
        <w:rPr>
          <w:rFonts w:ascii="Palatino Linotype" w:hAnsi="Palatino Linotype"/>
          <w:sz w:val="23"/>
          <w:szCs w:val="23"/>
        </w:rPr>
      </w:pPr>
    </w:p>
    <w:p w:rsidR="000B2A76" w:rsidRPr="000D7039" w:rsidRDefault="000B2A76" w:rsidP="000B2A76">
      <w:pPr>
        <w:spacing w:before="240" w:after="240" w:line="360" w:lineRule="auto"/>
        <w:jc w:val="center"/>
        <w:rPr>
          <w:rFonts w:ascii="Palatino Linotype" w:hAnsi="Palatino Linotype"/>
          <w:b/>
          <w:sz w:val="23"/>
          <w:szCs w:val="23"/>
        </w:rPr>
      </w:pPr>
    </w:p>
    <w:p w:rsidR="000B2A76" w:rsidRPr="000D7039" w:rsidRDefault="000B2A76" w:rsidP="000B2A76">
      <w:pPr>
        <w:spacing w:after="0" w:line="240" w:lineRule="auto"/>
        <w:jc w:val="center"/>
        <w:rPr>
          <w:rFonts w:ascii="Palatino Linotype" w:hAnsi="Palatino Linotype"/>
          <w:sz w:val="23"/>
          <w:szCs w:val="23"/>
        </w:rPr>
      </w:pPr>
    </w:p>
    <w:p w:rsidR="000B2A76" w:rsidRPr="000D7039" w:rsidRDefault="000B2A76" w:rsidP="000B2A76">
      <w:pPr>
        <w:spacing w:before="240" w:after="240" w:line="360" w:lineRule="auto"/>
        <w:rPr>
          <w:rFonts w:ascii="Palatino Linotype" w:hAnsi="Palatino Linotype"/>
          <w:sz w:val="24"/>
          <w:szCs w:val="24"/>
        </w:rPr>
      </w:pPr>
    </w:p>
    <w:p w:rsidR="000B2A76" w:rsidRDefault="000B2A76" w:rsidP="000B2A76"/>
    <w:p w:rsidR="000B2A76" w:rsidRDefault="000B2A76" w:rsidP="000B2A76"/>
    <w:p w:rsidR="00A1078F" w:rsidRDefault="009E79E6"/>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73E" w:rsidRDefault="0082773E" w:rsidP="000B2A76">
      <w:pPr>
        <w:spacing w:after="0" w:line="240" w:lineRule="auto"/>
      </w:pPr>
      <w:r>
        <w:separator/>
      </w:r>
    </w:p>
  </w:endnote>
  <w:endnote w:type="continuationSeparator" w:id="0">
    <w:p w:rsidR="0082773E" w:rsidRDefault="0082773E"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E79E6">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E79E6">
      <w:rPr>
        <w:rFonts w:ascii="Arial" w:hAnsi="Arial" w:cs="Arial"/>
        <w:b/>
        <w:bCs/>
        <w:noProof/>
        <w:sz w:val="20"/>
        <w:szCs w:val="20"/>
      </w:rPr>
      <w:t>9</w:t>
    </w:r>
    <w:r w:rsidRPr="00986599">
      <w:rPr>
        <w:rFonts w:ascii="Arial" w:hAnsi="Arial" w:cs="Arial"/>
        <w:b/>
        <w:bCs/>
        <w:sz w:val="20"/>
        <w:szCs w:val="20"/>
      </w:rPr>
      <w:fldChar w:fldCharType="end"/>
    </w:r>
  </w:p>
  <w:p w:rsidR="00D758BE" w:rsidRDefault="009E79E6"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73E" w:rsidRDefault="0082773E" w:rsidP="000B2A76">
      <w:pPr>
        <w:spacing w:after="0" w:line="240" w:lineRule="auto"/>
      </w:pPr>
      <w:r>
        <w:separator/>
      </w:r>
    </w:p>
  </w:footnote>
  <w:footnote w:type="continuationSeparator" w:id="0">
    <w:p w:rsidR="0082773E" w:rsidRDefault="0082773E"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E79E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38E550CA" wp14:editId="50591D3D">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550CA"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5C38E6C" wp14:editId="3A3B6FDF">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8C438F">
      <w:rPr>
        <w:rFonts w:ascii="Palatino Linotype" w:hAnsi="Palatino Linotype" w:cs="Arial"/>
        <w:b/>
        <w:sz w:val="22"/>
        <w:szCs w:val="22"/>
      </w:rPr>
      <w:t>2476</w:t>
    </w:r>
    <w:r w:rsidRPr="00FB2266">
      <w:rPr>
        <w:rFonts w:ascii="Palatino Linotype" w:hAnsi="Palatino Linotype" w:cs="Arial"/>
        <w:b/>
        <w:sz w:val="22"/>
        <w:szCs w:val="22"/>
      </w:rPr>
      <w:t>/INFOEM/IP/RR/2022</w:t>
    </w:r>
  </w:p>
  <w:p w:rsidR="000B1C1F" w:rsidRPr="000D4A99" w:rsidRDefault="009E79E6"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9E79E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C2" w:rsidRPr="000D4A99" w:rsidRDefault="009E79E6" w:rsidP="007263BB">
    <w:pPr>
      <w:pStyle w:val="Encabezado"/>
      <w:jc w:val="right"/>
      <w:rPr>
        <w:rFonts w:ascii="Arial" w:hAnsi="Arial" w:cs="Arial"/>
        <w:sz w:val="20"/>
        <w:szCs w:val="20"/>
      </w:rPr>
    </w:pPr>
  </w:p>
  <w:p w:rsidR="00F029C2" w:rsidRPr="000D4A99" w:rsidRDefault="009E79E6" w:rsidP="007263BB">
    <w:pPr>
      <w:pStyle w:val="Encabezado"/>
      <w:jc w:val="right"/>
      <w:rPr>
        <w:rFonts w:ascii="Arial" w:hAnsi="Arial" w:cs="Arial"/>
        <w:sz w:val="20"/>
        <w:szCs w:val="20"/>
      </w:rPr>
    </w:pPr>
  </w:p>
  <w:p w:rsidR="00F029C2" w:rsidRPr="000D4A99" w:rsidRDefault="009E79E6" w:rsidP="007263BB">
    <w:pPr>
      <w:pStyle w:val="Encabezado"/>
      <w:jc w:val="right"/>
      <w:rPr>
        <w:rFonts w:ascii="Arial" w:hAnsi="Arial" w:cs="Arial"/>
        <w:sz w:val="20"/>
        <w:szCs w:val="20"/>
      </w:rPr>
    </w:pPr>
  </w:p>
  <w:p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rsidR="00F029C2" w:rsidRPr="000D4A99" w:rsidRDefault="009E79E6" w:rsidP="007263BB">
    <w:pPr>
      <w:pStyle w:val="Encabezado"/>
      <w:jc w:val="right"/>
      <w:rPr>
        <w:rFonts w:ascii="Palatino Linotype" w:hAnsi="Palatino Linotype" w:cs="Arial"/>
        <w:sz w:val="20"/>
        <w:szCs w:val="20"/>
      </w:rPr>
    </w:pPr>
  </w:p>
  <w:p w:rsidR="00F029C2" w:rsidRPr="000D4A99" w:rsidRDefault="009E79E6"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647129A"/>
    <w:multiLevelType w:val="hybridMultilevel"/>
    <w:tmpl w:val="B170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43469"/>
    <w:rsid w:val="00081965"/>
    <w:rsid w:val="000B2A76"/>
    <w:rsid w:val="000D4D54"/>
    <w:rsid w:val="001F772C"/>
    <w:rsid w:val="00275288"/>
    <w:rsid w:val="002A05DA"/>
    <w:rsid w:val="004A63C4"/>
    <w:rsid w:val="007213EF"/>
    <w:rsid w:val="0081741B"/>
    <w:rsid w:val="0082773E"/>
    <w:rsid w:val="008C438F"/>
    <w:rsid w:val="008E58A8"/>
    <w:rsid w:val="00977DEC"/>
    <w:rsid w:val="009E79E6"/>
    <w:rsid w:val="00A0212F"/>
    <w:rsid w:val="00A22313"/>
    <w:rsid w:val="00AF1499"/>
    <w:rsid w:val="00AF53CA"/>
    <w:rsid w:val="00B02D99"/>
    <w:rsid w:val="00BA53BA"/>
    <w:rsid w:val="00BD6E2C"/>
    <w:rsid w:val="00CF5368"/>
    <w:rsid w:val="00D07D24"/>
    <w:rsid w:val="00D36CD9"/>
    <w:rsid w:val="00E0457C"/>
    <w:rsid w:val="00E1501A"/>
    <w:rsid w:val="00E56A99"/>
    <w:rsid w:val="00EB4154"/>
    <w:rsid w:val="00EB7632"/>
    <w:rsid w:val="00EE5423"/>
    <w:rsid w:val="00EF5CE8"/>
    <w:rsid w:val="00F06A7B"/>
    <w:rsid w:val="00F76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1952</Words>
  <Characters>10739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cp:revision>
  <cp:lastPrinted>2022-07-11T15:20:00Z</cp:lastPrinted>
  <dcterms:created xsi:type="dcterms:W3CDTF">2022-07-11T15:20:00Z</dcterms:created>
  <dcterms:modified xsi:type="dcterms:W3CDTF">2022-07-11T15:21:00Z</dcterms:modified>
</cp:coreProperties>
</file>